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92337F107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12/31/2019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9460" w:hanging="9"/>
        <w:spacing w:after="0" w:line="312" w:lineRule="auto"/>
        <w:tabs>
          <w:tab w:leader="none" w:pos="9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78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CUSIP:</w:t>
            </w:r>
            <w:r>
              <w:rPr>
                <w:rFonts w:ascii="Arial" w:cs="Arial" w:eastAsia="Arial" w:hAnsi="Arial"/>
                <w:sz w:val="18"/>
                <w:szCs w:val="18"/>
                <w:color w:val="auto"/>
              </w:rPr>
              <w:t>92337F107</w:t>
            </w:r>
          </w:p>
        </w:tc>
        <w:tc>
          <w:tcPr>
            <w:tcW w:w="5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right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gridSpan w:val="2"/>
          </w:tcPr>
          <w:p>
            <w:pPr>
              <w:ind w:left="4980"/>
              <w:spacing w:after="0"/>
              <w:rPr>
                <w:sz w:val="20"/>
                <w:szCs w:val="20"/>
                <w:color w:val="auto"/>
              </w:rPr>
            </w:pPr>
            <w:r>
              <w:rPr>
                <w:rFonts w:ascii="Arial" w:cs="Arial" w:eastAsia="Arial" w:hAnsi="Arial"/>
                <w:sz w:val="18"/>
                <w:szCs w:val="18"/>
                <w:color w:val="auto"/>
                <w:w w:val="98"/>
              </w:rPr>
              <w:t>Page 2</w:t>
            </w:r>
          </w:p>
        </w:tc>
        <w:tc>
          <w:tcPr>
            <w:tcW w:w="0" w:type="dxa"/>
            <w:vAlign w:val="bottom"/>
          </w:tcPr>
          <w:p>
            <w:pPr>
              <w:spacing w:after="0"/>
              <w:rPr>
                <w:sz w:val="1"/>
                <w:szCs w:val="1"/>
                <w:color w:val="auto"/>
              </w:rPr>
            </w:pPr>
          </w:p>
        </w:tc>
      </w:tr>
      <w:tr>
        <w:trPr>
          <w:trHeight w:val="426"/>
        </w:trPr>
        <w:tc>
          <w:tcPr>
            <w:tcW w:w="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5"/>
              </w:rPr>
              <w:t>NAME OF REPORTING PERSONS</w:t>
            </w: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33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3"/>
              </w:rPr>
              <w:t>William Blair Investment Management, LLC</w:t>
            </w:r>
          </w:p>
        </w:tc>
        <w:tc>
          <w:tcPr>
            <w:tcW w:w="1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018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6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260" w:type="dxa"/>
            <w:vAlign w:val="bottom"/>
            <w:vMerge w:val="continue"/>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6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0180" w:type="dxa"/>
            <w:vAlign w:val="bottom"/>
            <w:tcBorders>
              <w:bottom w:val="single" w:sz="8" w:color="auto"/>
            </w:tcBorders>
            <w:gridSpan w:val="5"/>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01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tcBorders>
          </w:tcPr>
          <w:p>
            <w:pPr>
              <w:spacing w:after="0"/>
              <w:rPr>
                <w:sz w:val="24"/>
                <w:szCs w:val="24"/>
                <w:color w:val="auto"/>
              </w:rPr>
            </w:pPr>
          </w:p>
        </w:tc>
        <w:tc>
          <w:tcPr>
            <w:tcW w:w="26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3,243,225</w:t>
            </w: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20" w:type="dxa"/>
            <w:vAlign w:val="bottom"/>
            <w:tcBorders>
              <w:left w:val="single" w:sz="8" w:color="auto"/>
            </w:tcBorders>
          </w:tcPr>
          <w:p>
            <w:pPr>
              <w:spacing w:after="0"/>
              <w:rPr>
                <w:sz w:val="15"/>
                <w:szCs w:val="15"/>
                <w:color w:val="auto"/>
              </w:rPr>
            </w:pPr>
          </w:p>
        </w:tc>
        <w:tc>
          <w:tcPr>
            <w:tcW w:w="260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6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SHARED VOTING POWER</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6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6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7"/>
              </w:rPr>
              <w:t>OWNED BY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0</w:t>
            </w:r>
          </w:p>
        </w:tc>
        <w:tc>
          <w:tcPr>
            <w:tcW w:w="52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920" w:type="dxa"/>
            <w:vAlign w:val="bottom"/>
            <w:tcBorders>
              <w:left w:val="single" w:sz="8" w:color="auto"/>
            </w:tcBorders>
          </w:tcPr>
          <w:p>
            <w:pPr>
              <w:spacing w:after="0"/>
              <w:rPr>
                <w:sz w:val="2"/>
                <w:szCs w:val="2"/>
                <w:color w:val="auto"/>
              </w:rPr>
            </w:pPr>
          </w:p>
        </w:tc>
        <w:tc>
          <w:tcPr>
            <w:tcW w:w="26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5"/>
              </w:rPr>
              <w:t>EACH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20" w:type="dxa"/>
            <w:vAlign w:val="bottom"/>
            <w:tcBorders>
              <w:left w:val="single" w:sz="8" w:color="auto"/>
            </w:tcBorders>
          </w:tcPr>
          <w:p>
            <w:pPr>
              <w:spacing w:after="0"/>
              <w:rPr>
                <w:sz w:val="14"/>
                <w:szCs w:val="14"/>
                <w:color w:val="auto"/>
              </w:rPr>
            </w:pPr>
          </w:p>
        </w:tc>
        <w:tc>
          <w:tcPr>
            <w:tcW w:w="260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6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SOLE DISPOSITIVE POWER</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6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spacing w:after="0"/>
              <w:rPr>
                <w:sz w:val="22"/>
                <w:szCs w:val="22"/>
                <w:color w:val="auto"/>
              </w:rPr>
            </w:pPr>
          </w:p>
        </w:tc>
        <w:tc>
          <w:tcPr>
            <w:tcW w:w="26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1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3,569,401</w:t>
            </w:r>
          </w:p>
        </w:tc>
        <w:tc>
          <w:tcPr>
            <w:tcW w:w="526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SHARED DISPOSITIVE POWER</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1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3,569,401</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018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01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2A2A2A"/>
              </w:rPr>
              <w:t>7.30%</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101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1"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92337F107</w:t>
            </w:r>
          </w:p>
        </w:tc>
        <w:tc>
          <w:tcPr>
            <w:tcW w:w="3780" w:type="dxa"/>
            <w:vAlign w:val="bottom"/>
            <w:tcBorders>
              <w:top w:val="single" w:sz="8" w:color="auto"/>
              <w:bottom w:val="single" w:sz="8" w:color="auto"/>
              <w:right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3</w:t>
            </w:r>
          </w:p>
        </w:tc>
      </w:tr>
      <w:tr>
        <w:trPr>
          <w:trHeight w:val="627"/>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9360" w:type="dxa"/>
            <w:vAlign w:val="bottom"/>
            <w:gridSpan w:val="2"/>
          </w:tcPr>
          <w:p>
            <w:pPr>
              <w:ind w:left="56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2060" w:type="dxa"/>
            <w:vAlign w:val="bottom"/>
          </w:tcPr>
          <w:p>
            <w:pPr>
              <w:spacing w:after="0"/>
              <w:rPr>
                <w:sz w:val="20"/>
                <w:szCs w:val="20"/>
                <w:color w:val="auto"/>
              </w:rPr>
            </w:pPr>
          </w:p>
        </w:tc>
        <w:tc>
          <w:tcPr>
            <w:tcW w:w="9360" w:type="dxa"/>
            <w:vAlign w:val="bottom"/>
            <w:gridSpan w:val="2"/>
          </w:tcPr>
          <w:p>
            <w:pPr>
              <w:ind w:left="560"/>
              <w:spacing w:after="0"/>
              <w:rPr>
                <w:sz w:val="20"/>
                <w:szCs w:val="20"/>
                <w:color w:val="auto"/>
              </w:rPr>
            </w:pPr>
            <w:r>
              <w:rPr>
                <w:rFonts w:ascii="Arial" w:cs="Arial" w:eastAsia="Arial" w:hAnsi="Arial"/>
                <w:sz w:val="18"/>
                <w:szCs w:val="18"/>
                <w:color w:val="auto"/>
              </w:rPr>
              <w:t>Veracyte, Inc</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1(b).</w:t>
            </w:r>
          </w:p>
        </w:tc>
        <w:tc>
          <w:tcPr>
            <w:tcW w:w="9360" w:type="dxa"/>
            <w:vAlign w:val="bottom"/>
            <w:gridSpan w:val="2"/>
          </w:tcPr>
          <w:p>
            <w:pPr>
              <w:ind w:left="5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060" w:type="dxa"/>
            <w:vAlign w:val="bottom"/>
          </w:tcPr>
          <w:p>
            <w:pPr>
              <w:spacing w:after="0"/>
              <w:rPr>
                <w:sz w:val="20"/>
                <w:szCs w:val="20"/>
                <w:color w:val="auto"/>
              </w:rPr>
            </w:pPr>
          </w:p>
        </w:tc>
        <w:tc>
          <w:tcPr>
            <w:tcW w:w="9360" w:type="dxa"/>
            <w:vAlign w:val="bottom"/>
            <w:gridSpan w:val="2"/>
          </w:tcPr>
          <w:p>
            <w:pPr>
              <w:ind w:left="560"/>
              <w:spacing w:after="0"/>
              <w:rPr>
                <w:sz w:val="20"/>
                <w:szCs w:val="20"/>
                <w:color w:val="auto"/>
              </w:rPr>
            </w:pPr>
            <w:r>
              <w:rPr>
                <w:rFonts w:ascii="Arial" w:cs="Arial" w:eastAsia="Arial" w:hAnsi="Arial"/>
                <w:sz w:val="18"/>
                <w:szCs w:val="18"/>
                <w:color w:val="auto"/>
              </w:rPr>
              <w:t>6000 Shoreline Court, Suite 300, South San Francisco, CA 94080</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2(a).</w:t>
            </w:r>
          </w:p>
        </w:tc>
        <w:tc>
          <w:tcPr>
            <w:tcW w:w="9360" w:type="dxa"/>
            <w:vAlign w:val="bottom"/>
            <w:gridSpan w:val="2"/>
          </w:tcPr>
          <w:p>
            <w:pPr>
              <w:ind w:left="56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060" w:type="dxa"/>
            <w:vAlign w:val="bottom"/>
          </w:tcPr>
          <w:p>
            <w:pPr>
              <w:spacing w:after="0"/>
              <w:rPr>
                <w:sz w:val="20"/>
                <w:szCs w:val="20"/>
                <w:color w:val="auto"/>
              </w:rPr>
            </w:pPr>
          </w:p>
        </w:tc>
        <w:tc>
          <w:tcPr>
            <w:tcW w:w="9360" w:type="dxa"/>
            <w:vAlign w:val="bottom"/>
            <w:gridSpan w:val="2"/>
          </w:tcPr>
          <w:p>
            <w:pPr>
              <w:ind w:left="560"/>
              <w:spacing w:after="0"/>
              <w:rPr>
                <w:sz w:val="20"/>
                <w:szCs w:val="20"/>
                <w:color w:val="auto"/>
              </w:rPr>
            </w:pPr>
            <w:r>
              <w:rPr>
                <w:rFonts w:ascii="Arial" w:cs="Arial" w:eastAsia="Arial" w:hAnsi="Arial"/>
                <w:sz w:val="18"/>
                <w:szCs w:val="18"/>
                <w:color w:val="auto"/>
              </w:rPr>
              <w:t>William Blair Investment Management, LLC</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9360" w:type="dxa"/>
            <w:vAlign w:val="bottom"/>
            <w:gridSpan w:val="2"/>
          </w:tcPr>
          <w:p>
            <w:pPr>
              <w:ind w:left="56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060" w:type="dxa"/>
            <w:vAlign w:val="bottom"/>
          </w:tcPr>
          <w:p>
            <w:pPr>
              <w:spacing w:after="0"/>
              <w:rPr>
                <w:sz w:val="20"/>
                <w:szCs w:val="20"/>
                <w:color w:val="auto"/>
              </w:rPr>
            </w:pPr>
          </w:p>
        </w:tc>
        <w:tc>
          <w:tcPr>
            <w:tcW w:w="9360" w:type="dxa"/>
            <w:vAlign w:val="bottom"/>
            <w:gridSpan w:val="2"/>
          </w:tcPr>
          <w:p>
            <w:pPr>
              <w:ind w:left="56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2(c).</w:t>
            </w:r>
          </w:p>
        </w:tc>
        <w:tc>
          <w:tcPr>
            <w:tcW w:w="9360" w:type="dxa"/>
            <w:vAlign w:val="bottom"/>
            <w:gridSpan w:val="2"/>
          </w:tcPr>
          <w:p>
            <w:pPr>
              <w:ind w:left="56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2060" w:type="dxa"/>
            <w:vAlign w:val="bottom"/>
          </w:tcPr>
          <w:p>
            <w:pPr>
              <w:spacing w:after="0"/>
              <w:rPr>
                <w:sz w:val="20"/>
                <w:szCs w:val="20"/>
                <w:color w:val="auto"/>
              </w:rPr>
            </w:pPr>
          </w:p>
        </w:tc>
        <w:tc>
          <w:tcPr>
            <w:tcW w:w="93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2(d).</w:t>
            </w:r>
          </w:p>
        </w:tc>
        <w:tc>
          <w:tcPr>
            <w:tcW w:w="9360" w:type="dxa"/>
            <w:vAlign w:val="bottom"/>
            <w:gridSpan w:val="2"/>
          </w:tcPr>
          <w:p>
            <w:pPr>
              <w:ind w:left="56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060" w:type="dxa"/>
            <w:vAlign w:val="bottom"/>
          </w:tcPr>
          <w:p>
            <w:pPr>
              <w:spacing w:after="0"/>
              <w:rPr>
                <w:sz w:val="20"/>
                <w:szCs w:val="20"/>
                <w:color w:val="auto"/>
              </w:rPr>
            </w:pPr>
          </w:p>
        </w:tc>
        <w:tc>
          <w:tcPr>
            <w:tcW w:w="9360" w:type="dxa"/>
            <w:vAlign w:val="bottom"/>
            <w:gridSpan w:val="2"/>
          </w:tcPr>
          <w:p>
            <w:pPr>
              <w:ind w:left="560"/>
              <w:spacing w:after="0"/>
              <w:rPr>
                <w:sz w:val="20"/>
                <w:szCs w:val="20"/>
                <w:color w:val="auto"/>
              </w:rPr>
            </w:pPr>
            <w:r>
              <w:rPr>
                <w:rFonts w:ascii="Arial" w:cs="Arial" w:eastAsia="Arial" w:hAnsi="Arial"/>
                <w:sz w:val="18"/>
                <w:szCs w:val="18"/>
                <w:color w:val="auto"/>
              </w:rPr>
              <w:t>Common Stock</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2(e).</w:t>
            </w:r>
          </w:p>
        </w:tc>
        <w:tc>
          <w:tcPr>
            <w:tcW w:w="9360" w:type="dxa"/>
            <w:vAlign w:val="bottom"/>
            <w:gridSpan w:val="2"/>
          </w:tcPr>
          <w:p>
            <w:pPr>
              <w:ind w:left="56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2060" w:type="dxa"/>
            <w:vAlign w:val="bottom"/>
          </w:tcPr>
          <w:p>
            <w:pPr>
              <w:spacing w:after="0"/>
              <w:rPr>
                <w:sz w:val="20"/>
                <w:szCs w:val="20"/>
                <w:color w:val="auto"/>
              </w:rPr>
            </w:pPr>
          </w:p>
        </w:tc>
        <w:tc>
          <w:tcPr>
            <w:tcW w:w="9360" w:type="dxa"/>
            <w:vAlign w:val="bottom"/>
            <w:gridSpan w:val="2"/>
          </w:tcPr>
          <w:p>
            <w:pPr>
              <w:ind w:left="560"/>
              <w:spacing w:after="0"/>
              <w:rPr>
                <w:sz w:val="20"/>
                <w:szCs w:val="20"/>
                <w:color w:val="auto"/>
              </w:rPr>
            </w:pPr>
            <w:r>
              <w:rPr>
                <w:rFonts w:ascii="Arial" w:cs="Arial" w:eastAsia="Arial" w:hAnsi="Arial"/>
                <w:sz w:val="18"/>
                <w:szCs w:val="18"/>
                <w:color w:val="auto"/>
              </w:rPr>
              <w:t>92337F107</w:t>
            </w:r>
          </w:p>
        </w:tc>
      </w:tr>
      <w:tr>
        <w:trPr>
          <w:trHeight w:val="432"/>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9360" w:type="dxa"/>
            <w:vAlign w:val="bottom"/>
            <w:gridSpan w:val="2"/>
          </w:tcPr>
          <w:p>
            <w:pPr>
              <w:ind w:left="560"/>
              <w:spacing w:after="0"/>
              <w:rPr>
                <w:sz w:val="20"/>
                <w:szCs w:val="20"/>
                <w:color w:val="auto"/>
              </w:rPr>
            </w:pPr>
            <w:r>
              <w:rPr>
                <w:rFonts w:ascii="Arial" w:cs="Arial" w:eastAsia="Arial" w:hAnsi="Arial"/>
                <w:sz w:val="18"/>
                <w:szCs w:val="18"/>
                <w:b w:val="1"/>
                <w:bCs w:val="1"/>
                <w:color w:val="auto"/>
                <w:w w:val="92"/>
              </w:rPr>
              <w:t>If this statement is filed pursuant to §§ 240.13d-1(b), or 240.13d-2(b) or (c), check whether the person filing is a:</w:t>
            </w:r>
          </w:p>
        </w:tc>
      </w:tr>
    </w:tbl>
    <w:p>
      <w:pPr>
        <w:spacing w:after="0" w:line="202"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Bank as defined in Section 3(a)(6) of the Act (15 U.S.C. 78c);</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69"/>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w w:val="94"/>
              </w:rPr>
              <w:t>Investment company registered under Section 8 of the Investment Company Act of 1940 (15 U.S.C.</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80a-8);</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(e)</w:t>
            </w:r>
          </w:p>
        </w:tc>
        <w:tc>
          <w:tcPr>
            <w:tcW w:w="520" w:type="dxa"/>
            <w:vAlign w:val="bottom"/>
          </w:tcPr>
          <w:p>
            <w:pPr>
              <w:ind w:left="120"/>
              <w:spacing w:after="0"/>
              <w:rPr>
                <w:sz w:val="20"/>
                <w:szCs w:val="20"/>
                <w:color w:val="auto"/>
              </w:rPr>
            </w:pPr>
            <w:r>
              <w:rPr>
                <w:rFonts w:ascii="Arial" w:cs="Arial" w:eastAsia="Arial" w:hAnsi="Arial"/>
                <w:sz w:val="18"/>
                <w:szCs w:val="18"/>
                <w:color w:val="auto"/>
              </w:rPr>
              <w:t>x</w:t>
            </w:r>
          </w:p>
        </w:tc>
        <w:tc>
          <w:tcPr>
            <w:tcW w:w="7780" w:type="dxa"/>
            <w:vAlign w:val="bottom"/>
          </w:tcPr>
          <w:p>
            <w:pPr>
              <w:ind w:left="30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284"/>
        </w:trPr>
        <w:tc>
          <w:tcPr>
            <w:tcW w:w="320" w:type="dxa"/>
            <w:vAlign w:val="bottom"/>
          </w:tcPr>
          <w:p>
            <w:pPr>
              <w:ind w:left="20"/>
              <w:spacing w:after="0"/>
              <w:rPr>
                <w:sz w:val="20"/>
                <w:szCs w:val="20"/>
                <w:color w:val="auto"/>
              </w:rPr>
            </w:pPr>
            <w:r>
              <w:rPr>
                <w:rFonts w:ascii="Arial" w:cs="Arial" w:eastAsia="Arial" w:hAnsi="Arial"/>
                <w:sz w:val="18"/>
                <w:szCs w:val="18"/>
                <w:color w:val="auto"/>
              </w:rPr>
              <w:t>(f)</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(g)</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(h)</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w w:val="90"/>
              </w:rPr>
              <w:t>A savings association as defined in Section 3(b) of the Federal Deposit Insurance Act (12 U.S.C. 1813);</w:t>
            </w:r>
          </w:p>
        </w:tc>
      </w:tr>
      <w:tr>
        <w:trPr>
          <w:trHeight w:val="269"/>
        </w:trPr>
        <w:tc>
          <w:tcPr>
            <w:tcW w:w="320" w:type="dxa"/>
            <w:vAlign w:val="bottom"/>
          </w:tcPr>
          <w:p>
            <w:pPr>
              <w:ind w:left="20"/>
              <w:spacing w:after="0"/>
              <w:rPr>
                <w:sz w:val="20"/>
                <w:szCs w:val="20"/>
                <w:color w:val="auto"/>
              </w:rPr>
            </w:pPr>
            <w:r>
              <w:rPr>
                <w:rFonts w:ascii="Arial" w:cs="Arial" w:eastAsia="Arial" w:hAnsi="Arial"/>
                <w:sz w:val="18"/>
                <w:szCs w:val="18"/>
                <w:color w:val="auto"/>
              </w:rPr>
              <w:t>(i)</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the Investment Company Act (15 U.S.C. 80a-3);</w:t>
            </w:r>
          </w:p>
        </w:tc>
      </w:tr>
      <w:tr>
        <w:trPr>
          <w:trHeight w:val="284"/>
        </w:trPr>
        <w:tc>
          <w:tcPr>
            <w:tcW w:w="320" w:type="dxa"/>
            <w:vAlign w:val="bottom"/>
          </w:tcPr>
          <w:p>
            <w:pPr>
              <w:ind w:left="20"/>
              <w:spacing w:after="0"/>
              <w:rPr>
                <w:sz w:val="20"/>
                <w:szCs w:val="20"/>
                <w:color w:val="auto"/>
              </w:rPr>
            </w:pPr>
            <w:r>
              <w:rPr>
                <w:rFonts w:ascii="Arial" w:cs="Arial" w:eastAsia="Arial" w:hAnsi="Arial"/>
                <w:sz w:val="18"/>
                <w:szCs w:val="18"/>
                <w:color w:val="auto"/>
              </w:rPr>
              <w:t>(j)</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A non-U.S. institution in accordance with § 240.13d-1(b)(1)(ii)(J);</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(k)</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Group, in accordance with § 240.13d-1(b)(1)(ii)(K).</w:t>
            </w:r>
          </w:p>
        </w:tc>
      </w:tr>
    </w:tbl>
    <w:p>
      <w:pPr>
        <w:spacing w:after="0" w:line="26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198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CUSIP:</w:t>
            </w:r>
            <w:r>
              <w:rPr>
                <w:rFonts w:ascii="Arial" w:cs="Arial" w:eastAsia="Arial" w:hAnsi="Arial"/>
                <w:sz w:val="18"/>
                <w:szCs w:val="18"/>
                <w:color w:val="auto"/>
              </w:rPr>
              <w:t>92337F107</w:t>
            </w:r>
          </w:p>
        </w:tc>
        <w:tc>
          <w:tcPr>
            <w:tcW w:w="104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right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4</w:t>
            </w:r>
          </w:p>
        </w:tc>
      </w:tr>
      <w:tr>
        <w:trPr>
          <w:trHeight w:val="627"/>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9440" w:type="dxa"/>
            <w:vAlign w:val="bottom"/>
            <w:gridSpan w:val="3"/>
          </w:tcPr>
          <w:p>
            <w:pPr>
              <w:ind w:left="52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520"/>
              <w:spacing w:after="0"/>
              <w:rPr>
                <w:sz w:val="20"/>
                <w:szCs w:val="20"/>
                <w:color w:val="auto"/>
              </w:rPr>
            </w:pPr>
            <w:r>
              <w:rPr>
                <w:rFonts w:ascii="Arial" w:cs="Arial" w:eastAsia="Arial" w:hAnsi="Arial"/>
                <w:sz w:val="18"/>
                <w:szCs w:val="18"/>
                <w:color w:val="auto"/>
                <w:w w:val="93"/>
              </w:rPr>
              <w:t>Provide the following information regarding the aggregate number and percentage of the class of securities of the issuer</w:t>
            </w:r>
          </w:p>
        </w:tc>
      </w:tr>
      <w:tr>
        <w:trPr>
          <w:trHeight w:val="230"/>
        </w:trPr>
        <w:tc>
          <w:tcPr>
            <w:tcW w:w="1980" w:type="dxa"/>
            <w:vAlign w:val="bottom"/>
          </w:tcPr>
          <w:p>
            <w:pPr>
              <w:spacing w:after="0"/>
              <w:rPr>
                <w:sz w:val="20"/>
                <w:szCs w:val="20"/>
                <w:color w:val="auto"/>
              </w:rPr>
            </w:pPr>
          </w:p>
        </w:tc>
        <w:tc>
          <w:tcPr>
            <w:tcW w:w="9440" w:type="dxa"/>
            <w:vAlign w:val="bottom"/>
            <w:gridSpan w:val="3"/>
          </w:tcPr>
          <w:p>
            <w:pPr>
              <w:ind w:left="520"/>
              <w:spacing w:after="0"/>
              <w:rPr>
                <w:sz w:val="20"/>
                <w:szCs w:val="20"/>
                <w:color w:val="auto"/>
              </w:rPr>
            </w:pPr>
            <w:r>
              <w:rPr>
                <w:rFonts w:ascii="Arial" w:cs="Arial" w:eastAsia="Arial" w:hAnsi="Arial"/>
                <w:sz w:val="18"/>
                <w:szCs w:val="18"/>
                <w:color w:val="auto"/>
              </w:rPr>
              <w:t>identified in Item 1.</w:t>
            </w:r>
          </w:p>
        </w:tc>
      </w:tr>
      <w:tr>
        <w:trPr>
          <w:trHeight w:val="432"/>
        </w:trPr>
        <w:tc>
          <w:tcPr>
            <w:tcW w:w="1980" w:type="dxa"/>
            <w:vAlign w:val="bottom"/>
          </w:tcPr>
          <w:p>
            <w:pPr>
              <w:spacing w:after="0"/>
              <w:rPr>
                <w:sz w:val="24"/>
                <w:szCs w:val="24"/>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rPr>
              <w:t>(a)</w:t>
            </w:r>
          </w:p>
        </w:tc>
        <w:tc>
          <w:tcPr>
            <w:tcW w:w="8400" w:type="dxa"/>
            <w:vAlign w:val="bottom"/>
            <w:gridSpan w:val="2"/>
          </w:tcPr>
          <w:p>
            <w:pPr>
              <w:ind w:left="180"/>
              <w:spacing w:after="0"/>
              <w:rPr>
                <w:sz w:val="20"/>
                <w:szCs w:val="20"/>
                <w:color w:val="auto"/>
              </w:rPr>
            </w:pPr>
            <w:r>
              <w:rPr>
                <w:rFonts w:ascii="Arial" w:cs="Arial" w:eastAsia="Arial" w:hAnsi="Arial"/>
                <w:sz w:val="18"/>
                <w:szCs w:val="18"/>
                <w:color w:val="auto"/>
              </w:rPr>
              <w:t>Amount beneficially owned: 3,569,401</w:t>
            </w:r>
          </w:p>
        </w:tc>
      </w:tr>
      <w:tr>
        <w:trPr>
          <w:trHeight w:val="432"/>
        </w:trPr>
        <w:tc>
          <w:tcPr>
            <w:tcW w:w="1980" w:type="dxa"/>
            <w:vAlign w:val="bottom"/>
          </w:tcPr>
          <w:p>
            <w:pPr>
              <w:spacing w:after="0"/>
              <w:rPr>
                <w:sz w:val="24"/>
                <w:szCs w:val="24"/>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rPr>
              <w:t>(b)</w:t>
            </w:r>
          </w:p>
        </w:tc>
        <w:tc>
          <w:tcPr>
            <w:tcW w:w="8400" w:type="dxa"/>
            <w:vAlign w:val="bottom"/>
            <w:gridSpan w:val="2"/>
          </w:tcPr>
          <w:p>
            <w:pPr>
              <w:ind w:left="18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color w:val="2A2A2A"/>
              </w:rPr>
              <w:t>7.30%</w:t>
            </w:r>
          </w:p>
        </w:tc>
      </w:tr>
      <w:tr>
        <w:trPr>
          <w:trHeight w:val="432"/>
        </w:trPr>
        <w:tc>
          <w:tcPr>
            <w:tcW w:w="1980" w:type="dxa"/>
            <w:vAlign w:val="bottom"/>
          </w:tcPr>
          <w:p>
            <w:pPr>
              <w:spacing w:after="0"/>
              <w:rPr>
                <w:sz w:val="24"/>
                <w:szCs w:val="24"/>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rPr>
              <w:t>(c)</w:t>
            </w:r>
          </w:p>
        </w:tc>
        <w:tc>
          <w:tcPr>
            <w:tcW w:w="8400" w:type="dxa"/>
            <w:vAlign w:val="bottom"/>
            <w:gridSpan w:val="2"/>
          </w:tcPr>
          <w:p>
            <w:pPr>
              <w:ind w:left="180"/>
              <w:spacing w:after="0"/>
              <w:rPr>
                <w:sz w:val="20"/>
                <w:szCs w:val="20"/>
                <w:color w:val="auto"/>
              </w:rPr>
            </w:pPr>
            <w:r>
              <w:rPr>
                <w:rFonts w:ascii="Arial" w:cs="Arial" w:eastAsia="Arial" w:hAnsi="Arial"/>
                <w:sz w:val="18"/>
                <w:szCs w:val="18"/>
                <w:color w:val="auto"/>
              </w:rPr>
              <w:t>Number of shares as to which the person has:</w:t>
            </w:r>
          </w:p>
        </w:tc>
      </w:tr>
    </w:tbl>
    <w:p>
      <w:pPr>
        <w:spacing w:after="0" w:line="202" w:lineRule="exact"/>
        <w:rPr>
          <w:sz w:val="20"/>
          <w:szCs w:val="20"/>
          <w:color w:val="auto"/>
        </w:rPr>
      </w:pPr>
    </w:p>
    <w:p>
      <w:pPr>
        <w:ind w:left="3300"/>
        <w:spacing w:after="0"/>
        <w:tabs>
          <w:tab w:leader="none" w:pos="37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Sole power to vote or to direct the vote: 3,243,225</w:t>
      </w:r>
    </w:p>
    <w:p>
      <w:pPr>
        <w:spacing w:after="0" w:line="225" w:lineRule="exact"/>
        <w:rPr>
          <w:sz w:val="20"/>
          <w:szCs w:val="20"/>
          <w:color w:val="auto"/>
        </w:rPr>
      </w:pPr>
    </w:p>
    <w:p>
      <w:pPr>
        <w:ind w:left="3280"/>
        <w:spacing w:after="0"/>
        <w:tabs>
          <w:tab w:leader="none" w:pos="37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0</w:t>
      </w:r>
    </w:p>
    <w:p>
      <w:pPr>
        <w:spacing w:after="0" w:line="225" w:lineRule="exact"/>
        <w:rPr>
          <w:sz w:val="20"/>
          <w:szCs w:val="20"/>
          <w:color w:val="auto"/>
        </w:rPr>
      </w:pPr>
    </w:p>
    <w:p>
      <w:pPr>
        <w:ind w:left="3260"/>
        <w:spacing w:after="0"/>
        <w:tabs>
          <w:tab w:leader="none" w:pos="3760" w:val="left"/>
        </w:tabs>
        <w:rPr>
          <w:sz w:val="20"/>
          <w:szCs w:val="20"/>
          <w:color w:val="auto"/>
        </w:rPr>
      </w:pPr>
      <w:r>
        <w:rPr>
          <w:rFonts w:ascii="Arial" w:cs="Arial" w:eastAsia="Arial" w:hAnsi="Arial"/>
          <w:sz w:val="18"/>
          <w:szCs w:val="18"/>
          <w:color w:val="auto"/>
        </w:rPr>
        <w:t>(iii)</w:t>
        <w:tab/>
        <w:t>Sole power to dispose or to direct the disposition of: 3,569,401</w:t>
      </w:r>
    </w:p>
    <w:p>
      <w:pPr>
        <w:spacing w:after="0" w:line="225" w:lineRule="exact"/>
        <w:rPr>
          <w:sz w:val="20"/>
          <w:szCs w:val="20"/>
          <w:color w:val="auto"/>
        </w:rPr>
      </w:pPr>
    </w:p>
    <w:p>
      <w:pPr>
        <w:jc w:val="center"/>
        <w:ind w:left="2960"/>
        <w:spacing w:after="0"/>
        <w:tabs>
          <w:tab w:leader="none" w:pos="240" w:val="left"/>
        </w:tabs>
        <w:rPr>
          <w:sz w:val="20"/>
          <w:szCs w:val="20"/>
          <w:color w:val="auto"/>
        </w:rPr>
      </w:pPr>
      <w:r>
        <w:rPr>
          <w:rFonts w:ascii="Arial" w:cs="Arial" w:eastAsia="Arial" w:hAnsi="Arial"/>
          <w:sz w:val="18"/>
          <w:szCs w:val="18"/>
          <w:color w:val="auto"/>
        </w:rPr>
        <w:t>(iv)</w:t>
        <w:tab/>
        <w:t>Shared power to dispose or to direct the disposition of: 0</w:t>
      </w:r>
    </w:p>
    <w:p>
      <w:pPr>
        <w:sectPr>
          <w:pgSz w:w="11900" w:h="16838" w:orient="portrait"/>
          <w:cols w:equalWidth="0" w:num="1">
            <w:col w:w="11420"/>
          </w:cols>
          <w:pgMar w:left="240" w:top="687" w:right="2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beneficial owner of more than 5 percent of the class of securities, check the following. </w:t>
      </w: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 Parent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w:t>
      </w:r>
    </w:p>
    <w:p>
      <w:pPr>
        <w:spacing w:after="0" w:line="32"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jc w:val="both"/>
        <w:ind w:left="2500" w:right="100"/>
        <w:spacing w:after="0" w:line="255" w:lineRule="auto"/>
        <w:rPr>
          <w:sz w:val="20"/>
          <w:szCs w:val="20"/>
          <w:color w:val="auto"/>
        </w:rPr>
      </w:pPr>
      <w:r>
        <w:rPr>
          <w:rFonts w:ascii="Arial" w:cs="Arial" w:eastAsia="Arial" w:hAnsi="Arial"/>
          <w:sz w:val="18"/>
          <w:szCs w:val="18"/>
          <w:color w:val="auto"/>
        </w:rPr>
        <w:t>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5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92337F107</w:t>
            </w: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53"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February 10, 2020</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ind w:left="60"/>
              <w:spacing w:after="0"/>
              <w:rPr>
                <w:sz w:val="20"/>
                <w:szCs w:val="20"/>
                <w:color w:val="auto"/>
              </w:rPr>
            </w:pPr>
            <w:r>
              <w:rPr>
                <w:rFonts w:ascii="Arial" w:cs="Arial" w:eastAsia="Arial" w:hAnsi="Arial"/>
                <w:sz w:val="18"/>
                <w:szCs w:val="18"/>
                <w:color w:val="auto"/>
              </w:rPr>
              <w:t>/s/ Stephanie Braming</w:t>
            </w:r>
          </w:p>
        </w:tc>
      </w:tr>
      <w:tr>
        <w:trPr>
          <w:trHeight w:val="41"/>
        </w:trPr>
        <w:tc>
          <w:tcPr>
            <w:tcW w:w="10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ind w:left="60"/>
              <w:spacing w:after="0"/>
              <w:rPr>
                <w:sz w:val="20"/>
                <w:szCs w:val="20"/>
                <w:color w:val="auto"/>
              </w:rPr>
            </w:pPr>
            <w:r>
              <w:rPr>
                <w:rFonts w:ascii="Arial" w:cs="Arial" w:eastAsia="Arial" w:hAnsi="Arial"/>
                <w:sz w:val="18"/>
                <w:szCs w:val="18"/>
                <w:color w:val="auto"/>
              </w:rPr>
              <w:t>Stephanie Braming</w:t>
            </w:r>
          </w:p>
        </w:tc>
      </w:tr>
      <w:tr>
        <w:trPr>
          <w:trHeight w:val="41"/>
        </w:trPr>
        <w:tc>
          <w:tcPr>
            <w:tcW w:w="10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60"/>
              <w:spacing w:after="0"/>
              <w:rPr>
                <w:sz w:val="20"/>
                <w:szCs w:val="20"/>
                <w:color w:val="auto"/>
              </w:rPr>
            </w:pPr>
            <w:r>
              <w:rPr>
                <w:rFonts w:ascii="Arial" w:cs="Arial" w:eastAsia="Arial" w:hAnsi="Arial"/>
                <w:sz w:val="18"/>
                <w:szCs w:val="18"/>
                <w:color w:val="auto"/>
              </w:rPr>
              <w:t>Partner, Global Head of Investment Management</w:t>
            </w:r>
          </w:p>
        </w:tc>
      </w:tr>
      <w:tr>
        <w:trPr>
          <w:trHeight w:val="41"/>
        </w:trPr>
        <w:tc>
          <w:tcPr>
            <w:tcW w:w="10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2020-02-10T11:03:57Z</dcterms:created>
  <dcterms:modified xsi:type="dcterms:W3CDTF">2020-02-10T11:03:57Z</dcterms:modified>
</cp:coreProperties>
</file>