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May 10, 2016</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333-204368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206375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Post-Effective Amendment No. 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w:t>
      </w:r>
    </w:p>
    <w:p>
      <w:pPr>
        <w:jc w:val="center"/>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197485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VERACYTE,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206375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Delaware</w:t>
            </w:r>
          </w:p>
        </w:tc>
        <w:tc>
          <w:tcPr>
            <w:tcW w:w="4880" w:type="dxa"/>
            <w:vAlign w:val="bottom"/>
          </w:tcPr>
          <w:p>
            <w:pPr>
              <w:jc w:val="right"/>
              <w:ind w:right="2239"/>
              <w:spacing w:after="0"/>
              <w:rPr>
                <w:sz w:val="20"/>
                <w:szCs w:val="20"/>
                <w:color w:val="auto"/>
              </w:rPr>
            </w:pPr>
            <w:r>
              <w:rPr>
                <w:rFonts w:ascii="Arial" w:cs="Arial" w:eastAsia="Arial" w:hAnsi="Arial"/>
                <w:sz w:val="16"/>
                <w:szCs w:val="16"/>
                <w:b w:val="1"/>
                <w:bCs w:val="1"/>
                <w:color w:val="auto"/>
              </w:rPr>
              <w:t>8071</w:t>
            </w:r>
          </w:p>
        </w:tc>
        <w:tc>
          <w:tcPr>
            <w:tcW w:w="2360" w:type="dxa"/>
            <w:vAlign w:val="bottom"/>
          </w:tcPr>
          <w:p>
            <w:pPr>
              <w:jc w:val="center"/>
              <w:ind w:left="799"/>
              <w:spacing w:after="0"/>
              <w:rPr>
                <w:sz w:val="20"/>
                <w:szCs w:val="20"/>
                <w:color w:val="auto"/>
              </w:rPr>
            </w:pPr>
            <w:r>
              <w:rPr>
                <w:rFonts w:ascii="Arial" w:cs="Arial" w:eastAsia="Arial" w:hAnsi="Arial"/>
                <w:sz w:val="16"/>
                <w:szCs w:val="16"/>
                <w:b w:val="1"/>
                <w:bCs w:val="1"/>
                <w:color w:val="auto"/>
                <w:w w:val="93"/>
              </w:rPr>
              <w:t>20-5455398</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color w:val="auto"/>
                <w:w w:val="93"/>
              </w:rPr>
              <w:t>(State or Other Jurisdiction of</w:t>
            </w:r>
          </w:p>
        </w:tc>
        <w:tc>
          <w:tcPr>
            <w:tcW w:w="4880" w:type="dxa"/>
            <w:vAlign w:val="bottom"/>
          </w:tcPr>
          <w:p>
            <w:pPr>
              <w:jc w:val="center"/>
              <w:spacing w:after="0"/>
              <w:rPr>
                <w:sz w:val="20"/>
                <w:szCs w:val="20"/>
                <w:color w:val="auto"/>
              </w:rPr>
            </w:pPr>
            <w:r>
              <w:rPr>
                <w:rFonts w:ascii="Arial" w:cs="Arial" w:eastAsia="Arial" w:hAnsi="Arial"/>
                <w:sz w:val="16"/>
                <w:szCs w:val="16"/>
                <w:color w:val="auto"/>
                <w:w w:val="93"/>
              </w:rPr>
              <w:t>(Primary Standard Industrial Classification Code)</w:t>
            </w:r>
          </w:p>
        </w:tc>
        <w:tc>
          <w:tcPr>
            <w:tcW w:w="2360" w:type="dxa"/>
            <w:vAlign w:val="bottom"/>
          </w:tcPr>
          <w:p>
            <w:pPr>
              <w:jc w:val="center"/>
              <w:ind w:left="799"/>
              <w:spacing w:after="0"/>
              <w:rPr>
                <w:sz w:val="20"/>
                <w:szCs w:val="20"/>
                <w:color w:val="auto"/>
              </w:rPr>
            </w:pPr>
            <w:r>
              <w:rPr>
                <w:rFonts w:ascii="Arial" w:cs="Arial" w:eastAsia="Arial" w:hAnsi="Arial"/>
                <w:sz w:val="16"/>
                <w:szCs w:val="16"/>
                <w:color w:val="auto"/>
                <w:w w:val="95"/>
              </w:rPr>
              <w:t>(I.R.S. Employer</w:t>
            </w:r>
          </w:p>
        </w:tc>
      </w:tr>
      <w:tr>
        <w:trPr>
          <w:trHeight w:val="206"/>
        </w:trPr>
        <w:tc>
          <w:tcPr>
            <w:tcW w:w="2760" w:type="dxa"/>
            <w:vAlign w:val="bottom"/>
          </w:tcPr>
          <w:p>
            <w:pPr>
              <w:jc w:val="center"/>
              <w:ind w:right="699"/>
              <w:spacing w:after="0"/>
              <w:rPr>
                <w:sz w:val="20"/>
                <w:szCs w:val="20"/>
                <w:color w:val="auto"/>
              </w:rPr>
            </w:pPr>
            <w:r>
              <w:rPr>
                <w:rFonts w:ascii="Arial" w:cs="Arial" w:eastAsia="Arial" w:hAnsi="Arial"/>
                <w:sz w:val="16"/>
                <w:szCs w:val="16"/>
                <w:color w:val="auto"/>
                <w:w w:val="93"/>
              </w:rPr>
              <w:t>Incorporation or Organization)</w:t>
            </w:r>
          </w:p>
        </w:tc>
        <w:tc>
          <w:tcPr>
            <w:tcW w:w="4880" w:type="dxa"/>
            <w:vAlign w:val="bottom"/>
          </w:tcPr>
          <w:p>
            <w:pPr>
              <w:spacing w:after="0"/>
              <w:rPr>
                <w:sz w:val="17"/>
                <w:szCs w:val="17"/>
                <w:color w:val="auto"/>
              </w:rPr>
            </w:pPr>
          </w:p>
        </w:tc>
        <w:tc>
          <w:tcPr>
            <w:tcW w:w="2360" w:type="dxa"/>
            <w:vAlign w:val="bottom"/>
          </w:tcPr>
          <w:p>
            <w:pPr>
              <w:jc w:val="center"/>
              <w:ind w:left="799"/>
              <w:spacing w:after="0"/>
              <w:rPr>
                <w:sz w:val="20"/>
                <w:szCs w:val="20"/>
                <w:color w:val="auto"/>
              </w:rPr>
            </w:pPr>
            <w:r>
              <w:rPr>
                <w:rFonts w:ascii="Arial" w:cs="Arial" w:eastAsia="Arial" w:hAnsi="Arial"/>
                <w:sz w:val="16"/>
                <w:szCs w:val="16"/>
                <w:color w:val="auto"/>
                <w:w w:val="94"/>
              </w:rPr>
              <w:t>Identification Number)</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6000 Shoreline Court, Suite 300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 San Francisco, California 94080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243- 6300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212725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Bonnie H. Anderson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VERACYTE,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6000 Shoreline Court, Suite 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 San Francisco, California 94080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243- 6300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212725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44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3400" w:type="dxa"/>
            <w:vAlign w:val="bottom"/>
          </w:tcPr>
          <w:p>
            <w:pPr>
              <w:ind w:left="1980"/>
              <w:spacing w:after="0"/>
              <w:rPr>
                <w:sz w:val="20"/>
                <w:szCs w:val="20"/>
                <w:color w:val="auto"/>
              </w:rPr>
            </w:pPr>
            <w:r>
              <w:rPr>
                <w:rFonts w:ascii="Arial" w:cs="Arial" w:eastAsia="Arial" w:hAnsi="Arial"/>
                <w:sz w:val="16"/>
                <w:szCs w:val="16"/>
                <w:b w:val="1"/>
                <w:bCs w:val="1"/>
                <w:color w:val="auto"/>
              </w:rPr>
              <w:t>Copies to:</w:t>
            </w:r>
          </w:p>
        </w:tc>
        <w:tc>
          <w:tcPr>
            <w:tcW w:w="4180" w:type="dxa"/>
            <w:vAlign w:val="bottom"/>
          </w:tcPr>
          <w:p>
            <w:pPr>
              <w:spacing w:after="0"/>
              <w:rPr>
                <w:sz w:val="18"/>
                <w:szCs w:val="18"/>
                <w:color w:val="auto"/>
              </w:rPr>
            </w:pPr>
          </w:p>
        </w:tc>
      </w:tr>
      <w:tr>
        <w:trPr>
          <w:trHeight w:val="401"/>
        </w:trPr>
        <w:tc>
          <w:tcPr>
            <w:tcW w:w="2940" w:type="dxa"/>
            <w:vAlign w:val="bottom"/>
          </w:tcPr>
          <w:p>
            <w:pPr>
              <w:jc w:val="center"/>
              <w:ind w:right="339"/>
              <w:spacing w:after="0"/>
              <w:rPr>
                <w:sz w:val="20"/>
                <w:szCs w:val="20"/>
                <w:color w:val="auto"/>
              </w:rPr>
            </w:pPr>
            <w:r>
              <w:rPr>
                <w:rFonts w:ascii="Arial" w:cs="Arial" w:eastAsia="Arial" w:hAnsi="Arial"/>
                <w:sz w:val="16"/>
                <w:szCs w:val="16"/>
                <w:b w:val="1"/>
                <w:bCs w:val="1"/>
                <w:color w:val="auto"/>
                <w:w w:val="96"/>
              </w:rPr>
              <w:t>Gabriella A. Lombardi</w:t>
            </w:r>
          </w:p>
        </w:tc>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1"/>
              </w:rPr>
              <w:t>Stanton D. Wong</w:t>
            </w:r>
          </w:p>
        </w:tc>
        <w:tc>
          <w:tcPr>
            <w:tcW w:w="4180" w:type="dxa"/>
            <w:vAlign w:val="bottom"/>
          </w:tcPr>
          <w:p>
            <w:pPr>
              <w:jc w:val="center"/>
              <w:ind w:left="359"/>
              <w:spacing w:after="0"/>
              <w:rPr>
                <w:sz w:val="20"/>
                <w:szCs w:val="20"/>
                <w:color w:val="auto"/>
              </w:rPr>
            </w:pPr>
            <w:r>
              <w:rPr>
                <w:rFonts w:ascii="Arial" w:cs="Arial" w:eastAsia="Arial" w:hAnsi="Arial"/>
                <w:sz w:val="16"/>
                <w:szCs w:val="16"/>
                <w:b w:val="1"/>
                <w:bCs w:val="1"/>
                <w:color w:val="auto"/>
                <w:w w:val="90"/>
              </w:rPr>
              <w:t>Julie A. Brooks</w:t>
            </w:r>
          </w:p>
        </w:tc>
      </w:tr>
      <w:tr>
        <w:trPr>
          <w:trHeight w:val="203"/>
        </w:trPr>
        <w:tc>
          <w:tcPr>
            <w:tcW w:w="2940" w:type="dxa"/>
            <w:vAlign w:val="bottom"/>
          </w:tcPr>
          <w:p>
            <w:pPr>
              <w:jc w:val="center"/>
              <w:ind w:right="339"/>
              <w:spacing w:after="0"/>
              <w:rPr>
                <w:sz w:val="20"/>
                <w:szCs w:val="20"/>
                <w:color w:val="auto"/>
              </w:rPr>
            </w:pPr>
            <w:r>
              <w:rPr>
                <w:rFonts w:ascii="Arial" w:cs="Arial" w:eastAsia="Arial" w:hAnsi="Arial"/>
                <w:sz w:val="16"/>
                <w:szCs w:val="16"/>
                <w:color w:val="auto"/>
                <w:w w:val="95"/>
              </w:rPr>
              <w:t>Pillsbury Winthrop Shaw Pittman LLP</w:t>
            </w:r>
          </w:p>
        </w:tc>
        <w:tc>
          <w:tcPr>
            <w:tcW w:w="3400" w:type="dxa"/>
            <w:vAlign w:val="bottom"/>
          </w:tcPr>
          <w:p>
            <w:pPr>
              <w:jc w:val="center"/>
              <w:spacing w:after="0"/>
              <w:rPr>
                <w:sz w:val="20"/>
                <w:szCs w:val="20"/>
                <w:color w:val="auto"/>
              </w:rPr>
            </w:pPr>
            <w:r>
              <w:rPr>
                <w:rFonts w:ascii="Arial" w:cs="Arial" w:eastAsia="Arial" w:hAnsi="Arial"/>
                <w:sz w:val="16"/>
                <w:szCs w:val="16"/>
                <w:color w:val="auto"/>
                <w:w w:val="94"/>
              </w:rPr>
              <w:t>Pillsbury Winthrop Shaw Pittman LLP</w:t>
            </w:r>
          </w:p>
        </w:tc>
        <w:tc>
          <w:tcPr>
            <w:tcW w:w="4180" w:type="dxa"/>
            <w:vAlign w:val="bottom"/>
          </w:tcPr>
          <w:p>
            <w:pPr>
              <w:jc w:val="center"/>
              <w:ind w:left="379"/>
              <w:spacing w:after="0"/>
              <w:rPr>
                <w:sz w:val="20"/>
                <w:szCs w:val="20"/>
                <w:color w:val="auto"/>
              </w:rPr>
            </w:pPr>
            <w:r>
              <w:rPr>
                <w:rFonts w:ascii="Arial" w:cs="Arial" w:eastAsia="Arial" w:hAnsi="Arial"/>
                <w:sz w:val="16"/>
                <w:szCs w:val="16"/>
                <w:color w:val="auto"/>
                <w:w w:val="90"/>
              </w:rPr>
              <w:t>Executive Vice President, General Counsel and Secretary</w:t>
            </w:r>
          </w:p>
        </w:tc>
      </w:tr>
      <w:tr>
        <w:trPr>
          <w:trHeight w:val="203"/>
        </w:trPr>
        <w:tc>
          <w:tcPr>
            <w:tcW w:w="2940" w:type="dxa"/>
            <w:vAlign w:val="bottom"/>
          </w:tcPr>
          <w:p>
            <w:pPr>
              <w:jc w:val="center"/>
              <w:ind w:right="359"/>
              <w:spacing w:after="0"/>
              <w:rPr>
                <w:sz w:val="20"/>
                <w:szCs w:val="20"/>
                <w:color w:val="auto"/>
              </w:rPr>
            </w:pPr>
            <w:r>
              <w:rPr>
                <w:rFonts w:ascii="Arial" w:cs="Arial" w:eastAsia="Arial" w:hAnsi="Arial"/>
                <w:sz w:val="16"/>
                <w:szCs w:val="16"/>
                <w:color w:val="auto"/>
                <w:w w:val="90"/>
              </w:rPr>
              <w:t>2550 Hanover Street</w:t>
            </w:r>
          </w:p>
        </w:tc>
        <w:tc>
          <w:tcPr>
            <w:tcW w:w="3400" w:type="dxa"/>
            <w:vAlign w:val="bottom"/>
          </w:tcPr>
          <w:p>
            <w:pPr>
              <w:jc w:val="center"/>
              <w:spacing w:after="0"/>
              <w:rPr>
                <w:sz w:val="20"/>
                <w:szCs w:val="20"/>
                <w:color w:val="auto"/>
              </w:rPr>
            </w:pPr>
            <w:r>
              <w:rPr>
                <w:rFonts w:ascii="Arial" w:cs="Arial" w:eastAsia="Arial" w:hAnsi="Arial"/>
                <w:sz w:val="16"/>
                <w:szCs w:val="16"/>
                <w:color w:val="auto"/>
                <w:w w:val="90"/>
              </w:rPr>
              <w:t>P.O. Box 2824</w:t>
            </w:r>
          </w:p>
        </w:tc>
        <w:tc>
          <w:tcPr>
            <w:tcW w:w="4180" w:type="dxa"/>
            <w:vAlign w:val="bottom"/>
          </w:tcPr>
          <w:p>
            <w:pPr>
              <w:jc w:val="center"/>
              <w:ind w:left="359"/>
              <w:spacing w:after="0"/>
              <w:rPr>
                <w:sz w:val="20"/>
                <w:szCs w:val="20"/>
                <w:color w:val="auto"/>
              </w:rPr>
            </w:pPr>
            <w:r>
              <w:rPr>
                <w:rFonts w:ascii="Arial" w:cs="Arial" w:eastAsia="Arial" w:hAnsi="Arial"/>
                <w:sz w:val="16"/>
                <w:szCs w:val="16"/>
                <w:color w:val="auto"/>
                <w:w w:val="91"/>
              </w:rPr>
              <w:t>Veracyte, Inc.</w:t>
            </w:r>
          </w:p>
        </w:tc>
      </w:tr>
      <w:tr>
        <w:trPr>
          <w:trHeight w:val="203"/>
        </w:trPr>
        <w:tc>
          <w:tcPr>
            <w:tcW w:w="2940" w:type="dxa"/>
            <w:vAlign w:val="bottom"/>
          </w:tcPr>
          <w:p>
            <w:pPr>
              <w:jc w:val="center"/>
              <w:ind w:right="339"/>
              <w:spacing w:after="0"/>
              <w:rPr>
                <w:sz w:val="20"/>
                <w:szCs w:val="20"/>
                <w:color w:val="auto"/>
              </w:rPr>
            </w:pPr>
            <w:r>
              <w:rPr>
                <w:rFonts w:ascii="Arial" w:cs="Arial" w:eastAsia="Arial" w:hAnsi="Arial"/>
                <w:sz w:val="16"/>
                <w:szCs w:val="16"/>
                <w:color w:val="auto"/>
                <w:w w:val="94"/>
              </w:rPr>
              <w:t>Palo Alto, California 94304</w:t>
            </w:r>
          </w:p>
        </w:tc>
        <w:tc>
          <w:tcPr>
            <w:tcW w:w="3400" w:type="dxa"/>
            <w:vAlign w:val="bottom"/>
          </w:tcPr>
          <w:p>
            <w:pPr>
              <w:jc w:val="center"/>
              <w:spacing w:after="0"/>
              <w:rPr>
                <w:sz w:val="20"/>
                <w:szCs w:val="20"/>
                <w:color w:val="auto"/>
              </w:rPr>
            </w:pPr>
            <w:r>
              <w:rPr>
                <w:rFonts w:ascii="Arial" w:cs="Arial" w:eastAsia="Arial" w:hAnsi="Arial"/>
                <w:sz w:val="16"/>
                <w:szCs w:val="16"/>
                <w:color w:val="auto"/>
                <w:w w:val="92"/>
              </w:rPr>
              <w:t>San Francisco, California 94126</w:t>
            </w:r>
          </w:p>
        </w:tc>
        <w:tc>
          <w:tcPr>
            <w:tcW w:w="4180" w:type="dxa"/>
            <w:vAlign w:val="bottom"/>
          </w:tcPr>
          <w:p>
            <w:pPr>
              <w:jc w:val="center"/>
              <w:ind w:left="359"/>
              <w:spacing w:after="0"/>
              <w:rPr>
                <w:sz w:val="20"/>
                <w:szCs w:val="20"/>
                <w:color w:val="auto"/>
              </w:rPr>
            </w:pPr>
            <w:r>
              <w:rPr>
                <w:rFonts w:ascii="Arial" w:cs="Arial" w:eastAsia="Arial" w:hAnsi="Arial"/>
                <w:sz w:val="16"/>
                <w:szCs w:val="16"/>
                <w:color w:val="auto"/>
                <w:w w:val="92"/>
              </w:rPr>
              <w:t>6000 Shoreline Court, Suite 300</w:t>
            </w:r>
          </w:p>
        </w:tc>
      </w:tr>
      <w:tr>
        <w:trPr>
          <w:trHeight w:val="203"/>
        </w:trPr>
        <w:tc>
          <w:tcPr>
            <w:tcW w:w="2940" w:type="dxa"/>
            <w:vAlign w:val="bottom"/>
          </w:tcPr>
          <w:p>
            <w:pPr>
              <w:jc w:val="center"/>
              <w:ind w:right="339"/>
              <w:spacing w:after="0"/>
              <w:rPr>
                <w:sz w:val="20"/>
                <w:szCs w:val="20"/>
                <w:color w:val="auto"/>
              </w:rPr>
            </w:pPr>
            <w:r>
              <w:rPr>
                <w:rFonts w:ascii="Arial" w:cs="Arial" w:eastAsia="Arial" w:hAnsi="Arial"/>
                <w:sz w:val="16"/>
                <w:szCs w:val="16"/>
                <w:color w:val="auto"/>
                <w:w w:val="90"/>
              </w:rPr>
              <w:t>Telephone: (650) 233-4500</w:t>
            </w:r>
          </w:p>
        </w:tc>
        <w:tc>
          <w:tcPr>
            <w:tcW w:w="3400" w:type="dxa"/>
            <w:vAlign w:val="bottom"/>
          </w:tcPr>
          <w:p>
            <w:pPr>
              <w:jc w:val="center"/>
              <w:spacing w:after="0"/>
              <w:rPr>
                <w:sz w:val="20"/>
                <w:szCs w:val="20"/>
                <w:color w:val="auto"/>
              </w:rPr>
            </w:pPr>
            <w:r>
              <w:rPr>
                <w:rFonts w:ascii="Arial" w:cs="Arial" w:eastAsia="Arial" w:hAnsi="Arial"/>
                <w:sz w:val="16"/>
                <w:szCs w:val="16"/>
                <w:color w:val="auto"/>
                <w:w w:val="91"/>
              </w:rPr>
              <w:t>Telephone: (415) 983-1000</w:t>
            </w:r>
          </w:p>
        </w:tc>
        <w:tc>
          <w:tcPr>
            <w:tcW w:w="4180" w:type="dxa"/>
            <w:vAlign w:val="bottom"/>
          </w:tcPr>
          <w:p>
            <w:pPr>
              <w:jc w:val="center"/>
              <w:ind w:left="359"/>
              <w:spacing w:after="0"/>
              <w:rPr>
                <w:sz w:val="20"/>
                <w:szCs w:val="20"/>
                <w:color w:val="auto"/>
              </w:rPr>
            </w:pPr>
            <w:r>
              <w:rPr>
                <w:rFonts w:ascii="Arial" w:cs="Arial" w:eastAsia="Arial" w:hAnsi="Arial"/>
                <w:sz w:val="16"/>
                <w:szCs w:val="16"/>
                <w:color w:val="auto"/>
                <w:w w:val="91"/>
              </w:rPr>
              <w:t>South San Francisco, California 94080</w:t>
            </w:r>
          </w:p>
        </w:tc>
      </w:tr>
      <w:tr>
        <w:trPr>
          <w:trHeight w:val="206"/>
        </w:trPr>
        <w:tc>
          <w:tcPr>
            <w:tcW w:w="2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180" w:type="dxa"/>
            <w:vAlign w:val="bottom"/>
          </w:tcPr>
          <w:p>
            <w:pPr>
              <w:jc w:val="center"/>
              <w:ind w:left="359"/>
              <w:spacing w:after="0"/>
              <w:rPr>
                <w:sz w:val="20"/>
                <w:szCs w:val="20"/>
                <w:color w:val="auto"/>
              </w:rPr>
            </w:pPr>
            <w:r>
              <w:rPr>
                <w:rFonts w:ascii="Arial" w:cs="Arial" w:eastAsia="Arial" w:hAnsi="Arial"/>
                <w:sz w:val="16"/>
                <w:szCs w:val="16"/>
                <w:color w:val="auto"/>
                <w:w w:val="93"/>
              </w:rPr>
              <w:t>(650) 243- 6300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201295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Approximate date of commencement of proposed sale to the public: </w:t>
      </w:r>
      <w:r>
        <w:rPr>
          <w:rFonts w:ascii="Arial" w:cs="Arial" w:eastAsia="Arial" w:hAnsi="Arial"/>
          <w:sz w:val="16"/>
          <w:szCs w:val="16"/>
          <w:b w:val="1"/>
          <w:bCs w:val="1"/>
          <w:color w:val="auto"/>
        </w:rPr>
        <w:t>Not applicable.</w:t>
      </w:r>
    </w:p>
    <w:p>
      <w:pPr>
        <w:spacing w:after="0" w:line="225" w:lineRule="exact"/>
        <w:rPr>
          <w:sz w:val="24"/>
          <w:szCs w:val="24"/>
          <w:color w:val="auto"/>
        </w:rPr>
      </w:pPr>
    </w:p>
    <w:p>
      <w:pPr>
        <w:ind w:right="40" w:firstLine="486"/>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159" w:lineRule="exact"/>
        <w:rPr>
          <w:sz w:val="24"/>
          <w:szCs w:val="24"/>
          <w:color w:val="auto"/>
        </w:rPr>
      </w:pPr>
    </w:p>
    <w:p>
      <w:pPr>
        <w:ind w:right="620" w:firstLine="486"/>
        <w:spacing w:after="0" w:line="29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9" w:lineRule="exact"/>
        <w:rPr>
          <w:sz w:val="24"/>
          <w:szCs w:val="24"/>
          <w:color w:val="auto"/>
        </w:rPr>
      </w:pPr>
    </w:p>
    <w:p>
      <w:pPr>
        <w:ind w:right="520" w:firstLine="486"/>
        <w:spacing w:after="0" w:line="29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59" w:lineRule="exact"/>
        <w:rPr>
          <w:sz w:val="24"/>
          <w:szCs w:val="24"/>
          <w:color w:val="auto"/>
        </w:rPr>
      </w:pPr>
    </w:p>
    <w:p>
      <w:pPr>
        <w:ind w:right="500" w:firstLine="486"/>
        <w:spacing w:after="0" w:line="293"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ectPr>
          <w:pgSz w:w="11900" w:h="16838" w:orient="portrait"/>
          <w:cols w:equalWidth="0" w:num="1">
            <w:col w:w="11420"/>
          </w:cols>
          <w:pgMar w:left="240" w:top="436" w:right="239" w:bottom="0" w:gutter="0" w:footer="0" w:header="0"/>
        </w:sectPr>
      </w:pPr>
    </w:p>
    <w:bookmarkStart w:id="1" w:name="page2"/>
    <w:bookmarkEnd w:id="1"/>
    <w:p>
      <w:pPr>
        <w:ind w:right="80" w:firstLine="486"/>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ind w:left="380"/>
              <w:spacing w:after="0"/>
              <w:rPr>
                <w:sz w:val="20"/>
                <w:szCs w:val="20"/>
                <w:color w:val="auto"/>
              </w:rPr>
            </w:pPr>
            <w:r>
              <w:rPr>
                <w:rFonts w:ascii="Arial" w:cs="Arial" w:eastAsia="Arial" w:hAnsi="Arial"/>
                <w:sz w:val="16"/>
                <w:szCs w:val="16"/>
                <w:color w:val="auto"/>
              </w:rPr>
              <w:t>Large accelerated filer o</w:t>
            </w:r>
          </w:p>
        </w:tc>
        <w:tc>
          <w:tcPr>
            <w:tcW w:w="2180" w:type="dxa"/>
            <w:vAlign w:val="bottom"/>
          </w:tcPr>
          <w:p>
            <w:pPr>
              <w:ind w:left="420"/>
              <w:spacing w:after="0"/>
              <w:rPr>
                <w:sz w:val="20"/>
                <w:szCs w:val="20"/>
                <w:color w:val="auto"/>
              </w:rPr>
            </w:pPr>
            <w:r>
              <w:rPr>
                <w:rFonts w:ascii="Arial" w:cs="Arial" w:eastAsia="Arial" w:hAnsi="Arial"/>
                <w:sz w:val="16"/>
                <w:szCs w:val="16"/>
                <w:color w:val="auto"/>
              </w:rPr>
              <w:t>Accelerated filer x</w:t>
            </w:r>
          </w:p>
        </w:tc>
        <w:tc>
          <w:tcPr>
            <w:tcW w:w="4020" w:type="dxa"/>
            <w:vAlign w:val="bottom"/>
          </w:tcPr>
          <w:p>
            <w:pPr>
              <w:jc w:val="center"/>
              <w:spacing w:after="0"/>
              <w:rPr>
                <w:sz w:val="20"/>
                <w:szCs w:val="20"/>
                <w:color w:val="auto"/>
              </w:rPr>
            </w:pPr>
            <w:r>
              <w:rPr>
                <w:rFonts w:ascii="Arial" w:cs="Arial" w:eastAsia="Arial" w:hAnsi="Arial"/>
                <w:sz w:val="16"/>
                <w:szCs w:val="16"/>
                <w:color w:val="auto"/>
                <w:w w:val="91"/>
              </w:rPr>
              <w:t>Non-accelerated filer o</w:t>
            </w:r>
          </w:p>
        </w:tc>
        <w:tc>
          <w:tcPr>
            <w:tcW w:w="2840" w:type="dxa"/>
            <w:vAlign w:val="bottom"/>
          </w:tcPr>
          <w:p>
            <w:pPr>
              <w:ind w:left="500"/>
              <w:spacing w:after="0"/>
              <w:rPr>
                <w:sz w:val="20"/>
                <w:szCs w:val="20"/>
                <w:color w:val="auto"/>
              </w:rPr>
            </w:pPr>
            <w:r>
              <w:rPr>
                <w:rFonts w:ascii="Arial" w:cs="Arial" w:eastAsia="Arial" w:hAnsi="Arial"/>
                <w:sz w:val="16"/>
                <w:szCs w:val="16"/>
                <w:color w:val="auto"/>
              </w:rPr>
              <w:t>Smaller reporting company o</w:t>
            </w:r>
          </w:p>
        </w:tc>
        <w:tc>
          <w:tcPr>
            <w:tcW w:w="4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2"/>
              </w:rPr>
              <w:t>(Do not check if a smaller reporting company)</w:t>
            </w: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238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34"/>
        </w:trPr>
        <w:tc>
          <w:tcPr>
            <w:tcW w:w="238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This Post-Effective Amendment No. 2 relates to the Shelf Registration Statement on Form S-3 (Registration No. 333-204368) of Veracyte Inc., a Delaware corporation (the “Registrant”), which was initially filed with the Securities and Exchange Commission on May 21, 2015 and was declared effective on June 5, 2015 (the “Registration Statement”). The Registration Statement was filed with respect to the offer and resale by the selling stockholders named in the prospectus from time to time of 4,907,975 shares of common stock, par value $0.001 per share of the Registrant. The Registrant is no longer obligated to keep the Registration Statement effective pursuant to the Registrant’s agreement with the selling stockholders named in the prospectus.</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Pursuant to the undertaking made by the Registrant in the Registration Statement to remove from registration by means of a post-effective amendment any of the securities being registered that remain unsold at the termination of the offering, the Registrant is filing this Post-Effective Amendment No. 2 to the Registration Statement to terminate the effectiveness of such Registration Statement and to deregister all shares of common stock registered thereunder that remain unsold as of the date hereof.</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Post-Effective Amendment to the Registration Statement to be signed on its behalf by the undersigned, thereunto duly authorized in the City of South San Francisco, State of California, on May 10,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Bonnie H.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33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2019-12-08T13:47:14Z</dcterms:created>
  <dcterms:modified xsi:type="dcterms:W3CDTF">2019-12-08T13:47:14Z</dcterms:modified>
</cp:coreProperties>
</file>