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10-Q/A</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2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96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001-36156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80"/>
          </w:cols>
          <w:pgMar w:left="240" w:top="233" w:right="379" w:bottom="46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98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320"/>
          </w:cols>
          <w:pgMar w:left="240" w:top="233" w:right="379" w:bottom="464" w:gutter="0" w:footer="0" w:header="0"/>
          <w:type w:val="continuous"/>
        </w:sectPr>
      </w:pP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7000 Shoreline Court, Suite 250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80"/>
          </w:cols>
          <w:pgMar w:left="240" w:top="233" w:right="379" w:bottom="464" w:gutter="0" w:footer="0" w:header="0"/>
          <w:type w:val="continuous"/>
        </w:sectPr>
      </w:pP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80" w:firstLine="25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20" w:firstLine="25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259"/>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233" w:right="379" w:bottom="464" w:gutter="0" w:footer="0" w:header="0"/>
          <w:type w:val="continuous"/>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(Do not check if a</w:t>
      </w: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46" w:lineRule="exact"/>
        <w:rPr>
          <w:sz w:val="24"/>
          <w:szCs w:val="24"/>
          <w:color w:val="auto"/>
        </w:rPr>
      </w:pPr>
    </w:p>
    <w:p>
      <w:pPr>
        <w:sectPr>
          <w:pgSz w:w="11900" w:h="16838" w:orient="portrait"/>
          <w:cols w:equalWidth="0" w:num="4">
            <w:col w:w="2340" w:space="720"/>
            <w:col w:w="1980" w:space="720"/>
            <w:col w:w="2440" w:space="720"/>
            <w:col w:w="2360"/>
          </w:cols>
          <w:pgMar w:left="240" w:top="233" w:right="379" w:bottom="464" w:gutter="0" w:footer="0" w:header="0"/>
          <w:type w:val="continuous"/>
        </w:sectPr>
      </w:pPr>
    </w:p>
    <w:p>
      <w:pPr>
        <w:spacing w:after="0" w:line="34" w:lineRule="exact"/>
        <w:rPr>
          <w:sz w:val="24"/>
          <w:szCs w:val="24"/>
          <w:color w:val="auto"/>
        </w:rPr>
      </w:pPr>
    </w:p>
    <w:p>
      <w:pPr>
        <w:ind w:left="2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260"/>
        <w:spacing w:after="0"/>
        <w:rPr>
          <w:sz w:val="20"/>
          <w:szCs w:val="20"/>
          <w:color w:val="auto"/>
        </w:rPr>
      </w:pPr>
      <w:r>
        <w:rPr>
          <w:rFonts w:ascii="Arial" w:cs="Arial" w:eastAsia="Arial" w:hAnsi="Arial"/>
          <w:sz w:val="18"/>
          <w:szCs w:val="18"/>
          <w:color w:val="auto"/>
        </w:rPr>
        <w:t>As of May 1, 2015, there were 27,462,532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233" w:right="379" w:bottom="464"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Veracyte, Inc. (“we”, “our” or the “Company”) is filing this Amendment No. 1 to its Quarterly Report on Form 10-Q for the quarterly period ended March 30, 2015 filed with the Securities and Exchange Commission on May 15, 2015 (the “Original Filing”). This Amendment is being filed solely to revise the Company’s filing status on the cover page hereof, to revise the disclosure in Part I, Item 4. Controls and Procedures — (a) Evaluation of Disclosure Controls and Procedures, and to include new certifications of the Chief Executive Officer and Chief Financial Officer, respectively, pursuant to Section 302 of the Sarbanes-Oxley Act of 2002.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described above, this Amendment No. 1 does not otherwise amend or update any exhibit to or disclosure set forth in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78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rPr>
              <w:t>VERACYTE, INC.</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780" w:type="dxa"/>
            <w:vAlign w:val="bottom"/>
            <w:gridSpan w:val="3"/>
          </w:tcPr>
          <w:p>
            <w:pPr>
              <w:jc w:val="center"/>
              <w:ind w:right="3720"/>
              <w:spacing w:after="0"/>
              <w:rPr>
                <w:sz w:val="20"/>
                <w:szCs w:val="20"/>
                <w:color w:val="auto"/>
              </w:rPr>
            </w:pPr>
            <w:r>
              <w:rPr>
                <w:rFonts w:ascii="Arial" w:cs="Arial" w:eastAsia="Arial" w:hAnsi="Arial"/>
                <w:sz w:val="18"/>
                <w:szCs w:val="18"/>
                <w:b w:val="1"/>
                <w:bCs w:val="1"/>
                <w:color w:val="auto"/>
              </w:rPr>
              <w:t>INDEX</w:t>
            </w:r>
          </w:p>
        </w:tc>
        <w:tc>
          <w:tcPr>
            <w:tcW w:w="0" w:type="dxa"/>
            <w:vAlign w:val="bottom"/>
          </w:tcPr>
          <w:p>
            <w:pPr>
              <w:spacing w:after="0"/>
              <w:rPr>
                <w:sz w:val="1"/>
                <w:szCs w:val="1"/>
                <w:color w:val="auto"/>
              </w:rPr>
            </w:pPr>
          </w:p>
        </w:tc>
      </w:tr>
      <w:tr>
        <w:trPr>
          <w:trHeight w:val="342"/>
        </w:trPr>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300" w:type="dxa"/>
            <w:vAlign w:val="bottom"/>
            <w:gridSpan w:val="7"/>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380" w:type="dxa"/>
            <w:vAlign w:val="bottom"/>
            <w:vMerge w:val="restart"/>
          </w:tcPr>
          <w:p>
            <w:pPr>
              <w:spacing w:after="0"/>
              <w:rPr>
                <w:sz w:val="14"/>
                <w:szCs w:val="14"/>
                <w:color w:val="auto"/>
              </w:rPr>
            </w:pPr>
          </w:p>
        </w:tc>
        <w:tc>
          <w:tcPr>
            <w:tcW w:w="672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0000EE"/>
            </w:tcBorders>
            <w:gridSpan w:val="7"/>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67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Item 4. Controls and Procedures</w:t>
              </w:r>
            </w:hyperlink>
          </w:p>
        </w:tc>
        <w:tc>
          <w:tcPr>
            <w:tcW w:w="1160" w:type="dxa"/>
            <w:vAlign w:val="bottom"/>
            <w:gridSpan w:val="3"/>
          </w:tcPr>
          <w:p>
            <w:pPr>
              <w:spacing w:after="0"/>
              <w:rPr>
                <w:sz w:val="17"/>
                <w:szCs w:val="17"/>
                <w:color w:val="auto"/>
              </w:rPr>
            </w:pPr>
          </w:p>
        </w:tc>
        <w:tc>
          <w:tcPr>
            <w:tcW w:w="77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II. — OTHER INFORMATION</w:t>
              </w:r>
            </w:hyperlink>
          </w:p>
        </w:tc>
        <w:tc>
          <w:tcPr>
            <w:tcW w:w="680" w:type="dxa"/>
            <w:vAlign w:val="bottom"/>
            <w:gridSpan w:val="2"/>
          </w:tcPr>
          <w:p>
            <w:pPr>
              <w:spacing w:after="0"/>
              <w:rPr>
                <w:sz w:val="17"/>
                <w:szCs w:val="17"/>
                <w:color w:val="auto"/>
              </w:rPr>
            </w:pPr>
          </w:p>
        </w:tc>
        <w:tc>
          <w:tcPr>
            <w:tcW w:w="6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00" w:type="dxa"/>
            <w:vAlign w:val="bottom"/>
            <w:gridSpan w:val="7"/>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6. Exhibits</w:t>
              </w:r>
            </w:hyperlink>
          </w:p>
        </w:tc>
        <w:tc>
          <w:tcPr>
            <w:tcW w:w="77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7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SIGNATURES</w:t>
              </w:r>
            </w:hyperlink>
          </w:p>
        </w:tc>
        <w:tc>
          <w:tcPr>
            <w:tcW w:w="77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7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EXHIBIT INDEX</w:t>
              </w:r>
            </w:hyperlink>
          </w:p>
        </w:tc>
        <w:tc>
          <w:tcPr>
            <w:tcW w:w="77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80" w:type="dxa"/>
            <w:vAlign w:val="bottom"/>
            <w:gridSpan w:val="3"/>
          </w:tcPr>
          <w:p>
            <w:pPr>
              <w:jc w:val="center"/>
              <w:ind w:right="37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7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68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80" w:type="dxa"/>
            <w:vAlign w:val="bottom"/>
            <w:gridSpan w:val="3"/>
          </w:tcPr>
          <w:p>
            <w:pPr>
              <w:jc w:val="center"/>
              <w:ind w:right="3720"/>
              <w:spacing w:after="0"/>
              <w:rPr>
                <w:sz w:val="20"/>
                <w:szCs w:val="20"/>
                <w:color w:val="auto"/>
              </w:rPr>
            </w:pPr>
            <w:r>
              <w:rPr>
                <w:rFonts w:ascii="Arial" w:cs="Arial" w:eastAsia="Arial" w:hAnsi="Arial"/>
                <w:sz w:val="18"/>
                <w:szCs w:val="18"/>
                <w:b w:val="1"/>
                <w:bCs w:val="1"/>
                <w:color w:val="auto"/>
              </w:rPr>
              <w:t>PART I. — FINANCIAL INFORMATION</w:t>
            </w:r>
          </w:p>
        </w:tc>
        <w:tc>
          <w:tcPr>
            <w:tcW w:w="0" w:type="dxa"/>
            <w:vAlign w:val="bottom"/>
          </w:tcPr>
          <w:p>
            <w:pPr>
              <w:spacing w:after="0"/>
              <w:rPr>
                <w:sz w:val="1"/>
                <w:szCs w:val="1"/>
                <w:color w:val="auto"/>
              </w:rPr>
            </w:pPr>
          </w:p>
        </w:tc>
      </w:tr>
      <w:tr>
        <w:trPr>
          <w:trHeight w:val="432"/>
        </w:trPr>
        <w:tc>
          <w:tcPr>
            <w:tcW w:w="3680" w:type="dxa"/>
            <w:vAlign w:val="bottom"/>
            <w:gridSpan w:val="8"/>
          </w:tcPr>
          <w:p>
            <w:pPr>
              <w:spacing w:after="0"/>
              <w:rPr>
                <w:sz w:val="20"/>
                <w:szCs w:val="20"/>
                <w:color w:val="auto"/>
              </w:rPr>
            </w:pPr>
            <w:r>
              <w:rPr>
                <w:rFonts w:ascii="Arial" w:cs="Arial" w:eastAsia="Arial" w:hAnsi="Arial"/>
                <w:sz w:val="18"/>
                <w:szCs w:val="18"/>
                <w:b w:val="1"/>
                <w:bCs w:val="1"/>
                <w:color w:val="auto"/>
              </w:rPr>
              <w:t>Item 4. Controls and Procedures</w:t>
            </w:r>
          </w:p>
        </w:tc>
        <w:tc>
          <w:tcPr>
            <w:tcW w:w="6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 After that evaluation, we subsequently determined that we were an accelerated filer as of December 31, 2014 and that, as a result, our Quarterly Report on Form 10-Q was filed late. Our Chief Executive Officer and Chief Financial Officer have re-evaluated the effectiveness of our disclosure controls and procedures as of the end of the period covered by this report. Based upon that re-evaluation, our Chief Executive Officer and Chief Financial Officer have concluded that our disclosure controls and procedures were not effective to provide reasonable assurance that our Quarterly Report on Form 10-Q would be filed within the period specified in the SEC rules and forms, in particular those relating to our filing status and related deadlines. We have made refinements to the process by which we assess our filing status and the related filing deadlines for our Forms 10-K and 10-Q, and communicate such status and filing deadlines to the persons responsible for preparation of such Forms. Our Chief Executive Officer and Chief Financial Officer have concluded that our disclosure controls and procedures were effective at the reasonable assurance level as of the date of this Quarterly Report on Form 10-Q/A.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March 31, 2015 that have materially affected, or are reasonably likely to materially affect, our internal control over financial reporting.</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60"/>
          </w:cols>
          <w:pgMar w:left="240" w:top="36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Amended and Restated Change of Control and Severance Agreement, effective as of May 14, 2015, between Bonnie Anderson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4"/>
              </w:rPr>
              <w:t>Amended and Restated Change of Control and Severance Agreement, effective as of May 14, 2015, between Shelly Guyer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2"/>
              </w:rPr>
              <w:t>Amended and Restated Change of Control and Severance Agreement, effective as of May 14, 2015, between Christopher Hall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10.4#^</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5"/>
              </w:rPr>
              <w:t>Amended and Restated Change of Control and Severance Agreement, effective as of May 14, 2015, between Julie Brooks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Principal Executive Officer’s Certification Pursuant to Section 302 of the Sarbanes- 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Filed (furnished, with respect to 32.1 and 32.2) with the Original Filing.</w:t>
      </w:r>
    </w:p>
    <w:p>
      <w:pPr>
        <w:spacing w:after="0" w:line="225" w:lineRule="exact"/>
        <w:rPr>
          <w:sz w:val="20"/>
          <w:szCs w:val="20"/>
          <w:color w:val="auto"/>
        </w:rPr>
      </w:pPr>
    </w:p>
    <w:p>
      <w:pPr>
        <w:ind w:right="100" w:firstLine="8"/>
        <w:spacing w:after="0" w:line="259"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9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25,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2"/>
          </w:tcPr>
          <w:p>
            <w:pPr>
              <w:ind w:left="422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2"/>
          </w:tcPr>
          <w:p>
            <w:pPr>
              <w:ind w:left="4220"/>
              <w:spacing w:after="0"/>
              <w:rPr>
                <w:sz w:val="20"/>
                <w:szCs w:val="20"/>
                <w:color w:val="auto"/>
              </w:rPr>
            </w:pPr>
            <w:r>
              <w:rPr>
                <w:rFonts w:ascii="Arial" w:cs="Arial" w:eastAsia="Arial" w:hAnsi="Arial"/>
                <w:sz w:val="18"/>
                <w:szCs w:val="18"/>
                <w:color w:val="auto"/>
              </w:rPr>
              <w:t>By:   /s/ Shelly D. Guyer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ind w:left="4280"/>
              <w:spacing w:after="0"/>
              <w:rPr>
                <w:sz w:val="20"/>
                <w:szCs w:val="20"/>
                <w:color w:val="auto"/>
              </w:rPr>
            </w:pPr>
            <w:r>
              <w:rPr>
                <w:rFonts w:ascii="Arial" w:cs="Arial" w:eastAsia="Arial" w:hAnsi="Arial"/>
                <w:sz w:val="18"/>
                <w:szCs w:val="18"/>
                <w:color w:val="auto"/>
              </w:rPr>
              <w:t>3</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74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2"/>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9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1"/>
              </w:rPr>
              <w:t>Amended and Restated Change of Control and Severance Agreement, effective as of May 14, 2015, between Bonnie Anderson and the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w w:val="94"/>
              </w:rPr>
              <w:t>Amended and Restated Change of Control and Severance Agreement, effective as of May 14, 2015, between Shelly Guyer and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w w:val="92"/>
              </w:rPr>
              <w:t>Amended and Restated Change of Control and Severance Agreement, effective as of May 14, 2015, between Christopher Hall and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w w:val="95"/>
              </w:rPr>
              <w:t>Amended and Restated Change of Control and Severance Agreement, effective as of May 14, 2015, between Julie Brooks and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Officer’s Certification Pursuant to Section 302 of the Sarbanes- 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-3191510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-3191510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t># Indicates management contract or compensatory plan or arrangement.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Filed (furnished, with respect to Exhibits 32.1 and 32.2) with the Original Filing.</w:t>
      </w:r>
    </w:p>
    <w:p>
      <w:pPr>
        <w:spacing w:after="0" w:line="225" w:lineRule="exact"/>
        <w:rPr>
          <w:sz w:val="20"/>
          <w:szCs w:val="20"/>
          <w:color w:val="auto"/>
        </w:rPr>
      </w:pPr>
    </w:p>
    <w:p>
      <w:pPr>
        <w:ind w:firstLine="8"/>
        <w:spacing w:after="0" w:line="259"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247"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Anderson, certify that:</w:t>
      </w:r>
    </w:p>
    <w:p>
      <w:pPr>
        <w:spacing w:after="0" w:line="225" w:lineRule="exact"/>
        <w:rPr>
          <w:sz w:val="20"/>
          <w:szCs w:val="20"/>
          <w:color w:val="auto"/>
        </w:rPr>
      </w:pPr>
    </w:p>
    <w:p>
      <w:pPr>
        <w:ind w:left="1380" w:hanging="724"/>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Amendment No. 1 to Quarterly Report on Form 10-Q/A of Veracyte, Inc.;</w:t>
      </w:r>
    </w:p>
    <w:p>
      <w:pPr>
        <w:spacing w:after="0" w:line="225" w:lineRule="exact"/>
        <w:rPr>
          <w:rFonts w:ascii="Arial" w:cs="Arial" w:eastAsia="Arial" w:hAnsi="Arial"/>
          <w:sz w:val="18"/>
          <w:szCs w:val="18"/>
          <w:color w:val="auto"/>
        </w:rPr>
      </w:pPr>
    </w:p>
    <w:p>
      <w:pPr>
        <w:jc w:val="both"/>
        <w:ind w:right="260" w:firstLine="656"/>
        <w:spacing w:after="0" w:line="264" w:lineRule="auto"/>
        <w:tabs>
          <w:tab w:leader="none" w:pos="1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420" w:firstLine="656"/>
        <w:spacing w:after="0" w:line="308" w:lineRule="auto"/>
        <w:tabs>
          <w:tab w:leader="none" w:pos="1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20" w:firstLine="645"/>
        <w:spacing w:after="0" w:line="264" w:lineRule="auto"/>
        <w:tabs>
          <w:tab w:leader="none" w:pos="198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20" w:firstLine="645"/>
        <w:spacing w:after="0" w:line="264" w:lineRule="auto"/>
        <w:tabs>
          <w:tab w:leader="none" w:pos="199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320" w:firstLine="645"/>
        <w:spacing w:after="0" w:line="342" w:lineRule="auto"/>
        <w:tabs>
          <w:tab w:leader="none" w:pos="2033"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firstLine="645"/>
        <w:spacing w:after="0" w:line="264" w:lineRule="auto"/>
        <w:tabs>
          <w:tab w:leader="none" w:pos="1998"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80" w:firstLine="656"/>
        <w:spacing w:after="0" w:line="342" w:lineRule="auto"/>
        <w:tabs>
          <w:tab w:leader="none" w:pos="1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20" w:firstLine="645"/>
        <w:spacing w:after="0" w:line="308" w:lineRule="auto"/>
        <w:tabs>
          <w:tab w:leader="none" w:pos="1988"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20" w:firstLine="645"/>
        <w:spacing w:after="0" w:line="277" w:lineRule="auto"/>
        <w:tabs>
          <w:tab w:leader="none" w:pos="1998"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25, 2015</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Bonnie H. Anderson</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-130810</wp:posOffset>
            </wp:positionV>
            <wp:extent cx="3559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Shelly Guyer, certify that:</w:t>
      </w:r>
    </w:p>
    <w:p>
      <w:pPr>
        <w:spacing w:after="0" w:line="225"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Amendment No. 1 to Quarterly Report on Form 10-Q/A of Veracyte, Inc.;</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48"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5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firstLine="645"/>
        <w:spacing w:after="0" w:line="342" w:lineRule="auto"/>
        <w:tabs>
          <w:tab w:leader="none" w:pos="1961"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1958"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60" w:firstLine="645"/>
        <w:spacing w:after="0" w:line="308" w:lineRule="auto"/>
        <w:tabs>
          <w:tab w:leader="none" w:pos="1948"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58"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25, 2015</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Shelly D. Guyer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-130810</wp:posOffset>
            </wp:positionV>
            <wp:extent cx="34988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2019-12-29T15:17:30Z</dcterms:created>
  <dcterms:modified xsi:type="dcterms:W3CDTF">2019-12-29T15:17:30Z</dcterms:modified>
</cp:coreProperties>
</file>