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25, 2013</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001-36156</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20-5455398</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540"/>
          </w:cols>
          <w:pgMar w:left="240" w:top="544" w:right="199" w:bottom="0" w:gutter="0" w:footer="0" w:header="0"/>
          <w:type w:val="continuous"/>
        </w:sectPr>
      </w:pPr>
    </w:p>
    <w:p>
      <w:pPr>
        <w:spacing w:after="0" w:line="7" w:lineRule="exact"/>
        <w:rPr>
          <w:sz w:val="24"/>
          <w:szCs w:val="24"/>
          <w:color w:val="auto"/>
        </w:rPr>
      </w:pPr>
    </w:p>
    <w:p>
      <w:pPr>
        <w:jc w:val="center"/>
        <w:ind w:right="1500"/>
        <w:spacing w:after="0"/>
        <w:rPr>
          <w:sz w:val="20"/>
          <w:szCs w:val="20"/>
          <w:color w:val="auto"/>
        </w:rPr>
      </w:pPr>
      <w:r>
        <w:rPr>
          <w:rFonts w:ascii="Arial" w:cs="Arial" w:eastAsia="Arial" w:hAnsi="Arial"/>
          <w:sz w:val="16"/>
          <w:szCs w:val="16"/>
          <w:b w:val="1"/>
          <w:bCs w:val="1"/>
          <w:color w:val="auto"/>
        </w:rPr>
        <w:t>7000 Shoreline Court, Suite 250, South San Francisco, California</w:t>
      </w:r>
    </w:p>
    <w:p>
      <w:pPr>
        <w:spacing w:after="0" w:line="50" w:lineRule="exact"/>
        <w:rPr>
          <w:sz w:val="24"/>
          <w:szCs w:val="24"/>
          <w:color w:val="auto"/>
        </w:rPr>
      </w:pPr>
    </w:p>
    <w:p>
      <w:pPr>
        <w:jc w:val="center"/>
        <w:ind w:right="15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080"/>
        <w:spacing w:after="0"/>
        <w:rPr>
          <w:sz w:val="20"/>
          <w:szCs w:val="20"/>
          <w:color w:val="auto"/>
        </w:rPr>
      </w:pPr>
      <w:r>
        <w:rPr>
          <w:rFonts w:ascii="Arial" w:cs="Arial" w:eastAsia="Arial" w:hAnsi="Arial"/>
          <w:sz w:val="18"/>
          <w:szCs w:val="18"/>
          <w:b w:val="1"/>
          <w:bCs w:val="1"/>
          <w:color w:val="auto"/>
        </w:rPr>
        <w:t>94080</w:t>
      </w:r>
    </w:p>
    <w:p>
      <w:pPr>
        <w:spacing w:after="0" w:line="27" w:lineRule="exact"/>
        <w:rPr>
          <w:sz w:val="24"/>
          <w:szCs w:val="24"/>
          <w:color w:val="auto"/>
        </w:rPr>
      </w:pPr>
    </w:p>
    <w:p>
      <w:pPr>
        <w:jc w:val="center"/>
        <w:ind w:right="208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880" w:space="720"/>
            <w:col w:w="2860"/>
          </w:cols>
          <w:pgMar w:left="240" w:top="544" w:right="199" w:bottom="0" w:gutter="0" w:footer="0" w:header="0"/>
          <w:type w:val="continuous"/>
        </w:sectPr>
      </w:pP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9"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On November 25, 2013, Veracyte, Inc. issued a press release announcing its financial results for the fiscal quarter ended September 30, 2013. The full text of the press release is furnished as Exhibit 99.1 to this report.</w:t>
      </w:r>
    </w:p>
    <w:p>
      <w:pPr>
        <w:spacing w:after="0" w:line="170" w:lineRule="exact"/>
        <w:rPr>
          <w:sz w:val="24"/>
          <w:szCs w:val="24"/>
          <w:color w:val="auto"/>
        </w:rPr>
      </w:pPr>
    </w:p>
    <w:p>
      <w:pPr>
        <w:ind w:right="340"/>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340" w:type="dxa"/>
            <w:vAlign w:val="bottom"/>
            <w:gridSpan w:val="3"/>
          </w:tcPr>
          <w:p>
            <w:pPr>
              <w:jc w:val="right"/>
              <w:ind w:right="7368"/>
              <w:spacing w:after="0"/>
              <w:rPr>
                <w:sz w:val="20"/>
                <w:szCs w:val="20"/>
                <w:color w:val="auto"/>
              </w:rPr>
            </w:pPr>
            <w:r>
              <w:rPr>
                <w:rFonts w:ascii="Arial" w:cs="Arial" w:eastAsia="Arial" w:hAnsi="Arial"/>
                <w:sz w:val="18"/>
                <w:szCs w:val="18"/>
                <w:b w:val="1"/>
                <w:bCs w:val="1"/>
                <w:color w:val="auto"/>
                <w:w w:val="96"/>
              </w:rPr>
              <w:t>Financial Statements and Exhibits.</w:t>
            </w:r>
          </w:p>
        </w:tc>
        <w:tc>
          <w:tcPr>
            <w:tcW w:w="40" w:type="dxa"/>
            <w:vAlign w:val="bottom"/>
          </w:tcPr>
          <w:p>
            <w:pPr>
              <w:spacing w:after="0"/>
              <w:rPr>
                <w:sz w:val="20"/>
                <w:szCs w:val="20"/>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(d) Exhibits</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tcBorders>
              <w:bottom w:val="single" w:sz="8" w:color="auto"/>
            </w:tcBorders>
          </w:tcPr>
          <w:p>
            <w:pPr>
              <w:jc w:val="right"/>
              <w:ind w:right="4448"/>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08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10000" w:type="dxa"/>
            <w:vAlign w:val="bottom"/>
            <w:gridSpan w:val="2"/>
          </w:tcPr>
          <w:p>
            <w:pPr>
              <w:jc w:val="right"/>
              <w:ind w:right="4988"/>
              <w:spacing w:after="0"/>
              <w:rPr>
                <w:sz w:val="20"/>
                <w:szCs w:val="20"/>
                <w:color w:val="auto"/>
              </w:rPr>
            </w:pPr>
            <w:r>
              <w:rPr>
                <w:rFonts w:ascii="Arial" w:cs="Arial" w:eastAsia="Arial" w:hAnsi="Arial"/>
                <w:sz w:val="18"/>
                <w:szCs w:val="18"/>
                <w:color w:val="auto"/>
                <w:w w:val="92"/>
              </w:rPr>
              <w:t>Press Release issued by Veracyte, Inc. dated November 25, 2013.</w:t>
            </w:r>
          </w:p>
        </w:tc>
        <w:tc>
          <w:tcPr>
            <w:tcW w:w="40" w:type="dxa"/>
            <w:vAlign w:val="bottom"/>
          </w:tcPr>
          <w:p>
            <w:pPr>
              <w:spacing w:after="0"/>
              <w:rPr>
                <w:sz w:val="24"/>
                <w:szCs w:val="24"/>
                <w:color w:val="auto"/>
              </w:rPr>
            </w:pPr>
          </w:p>
        </w:tc>
      </w:tr>
      <w:tr>
        <w:trPr>
          <w:trHeight w:val="432"/>
        </w:trPr>
        <w:tc>
          <w:tcPr>
            <w:tcW w:w="1080" w:type="dxa"/>
            <w:vAlign w:val="bottom"/>
          </w:tcPr>
          <w:p>
            <w:pPr>
              <w:spacing w:after="0"/>
              <w:rPr>
                <w:sz w:val="24"/>
                <w:szCs w:val="24"/>
                <w:color w:val="auto"/>
              </w:rPr>
            </w:pPr>
          </w:p>
        </w:tc>
        <w:tc>
          <w:tcPr>
            <w:tcW w:w="10340" w:type="dxa"/>
            <w:vAlign w:val="bottom"/>
            <w:gridSpan w:val="3"/>
          </w:tcPr>
          <w:p>
            <w:pPr>
              <w:jc w:val="right"/>
              <w:ind w:right="5588"/>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0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7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680" w:firstLine="50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4"/>
          <w:szCs w:val="24"/>
          <w:color w:val="auto"/>
        </w:rPr>
      </w:pPr>
    </w:p>
    <w:p>
      <w:pPr>
        <w:ind w:left="540"/>
        <w:spacing w:after="0"/>
        <w:rPr>
          <w:sz w:val="20"/>
          <w:szCs w:val="20"/>
          <w:color w:val="auto"/>
        </w:rPr>
      </w:pPr>
      <w:r>
        <w:rPr>
          <w:rFonts w:ascii="Arial" w:cs="Arial" w:eastAsia="Arial" w:hAnsi="Arial"/>
          <w:sz w:val="18"/>
          <w:szCs w:val="18"/>
          <w:color w:val="auto"/>
        </w:rPr>
        <w:t>Dated: November 25, 2013</w:t>
      </w:r>
    </w:p>
    <w:p>
      <w:pPr>
        <w:sectPr>
          <w:pgSz w:w="11900" w:h="16838" w:orient="portrait"/>
          <w:cols w:equalWidth="0" w:num="1">
            <w:col w:w="11460"/>
          </w:cols>
          <w:pgMar w:left="240" w:top="544" w:right="199" w:bottom="0" w:gutter="0" w:footer="0" w:header="0"/>
          <w:type w:val="continuous"/>
        </w:sectPr>
      </w:pPr>
    </w:p>
    <w:bookmarkStart w:id="1" w:name="page2"/>
    <w:bookmarkEnd w:id="1"/>
    <w:p>
      <w:pPr>
        <w:ind w:left="5720"/>
        <w:spacing w:after="0"/>
        <w:rPr>
          <w:sz w:val="20"/>
          <w:szCs w:val="20"/>
          <w:color w:val="auto"/>
        </w:rPr>
      </w:pPr>
      <w:r>
        <w:rPr>
          <w:rFonts w:ascii="Arial" w:cs="Arial" w:eastAsia="Arial" w:hAnsi="Arial"/>
          <w:sz w:val="18"/>
          <w:szCs w:val="18"/>
          <w:color w:val="auto"/>
        </w:rPr>
        <w:t>Veracyte,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40" w:type="dxa"/>
            <w:vAlign w:val="bottom"/>
          </w:tcPr>
          <w:p>
            <w:pPr>
              <w:ind w:left="394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0"/>
                <w:szCs w:val="20"/>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D. Guyer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40" w:type="dxa"/>
            <w:vAlign w:val="bottom"/>
          </w:tcPr>
          <w:p>
            <w:pPr>
              <w:ind w:left="3940"/>
              <w:spacing w:after="0" w:line="195" w:lineRule="exact"/>
              <w:rPr>
                <w:sz w:val="20"/>
                <w:szCs w:val="20"/>
                <w:color w:val="auto"/>
              </w:rPr>
            </w:pPr>
            <w:r>
              <w:rPr>
                <w:rFonts w:ascii="Arial" w:cs="Arial" w:eastAsia="Arial" w:hAnsi="Arial"/>
                <w:sz w:val="18"/>
                <w:szCs w:val="18"/>
                <w:color w:val="auto"/>
                <w:w w:val="90"/>
              </w:rPr>
              <w:t>Name:</w:t>
            </w:r>
          </w:p>
        </w:tc>
        <w:tc>
          <w:tcPr>
            <w:tcW w:w="26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40" w:type="dxa"/>
            <w:vAlign w:val="bottom"/>
          </w:tcPr>
          <w:p>
            <w:pPr>
              <w:ind w:left="3940"/>
              <w:spacing w:after="0"/>
              <w:rPr>
                <w:sz w:val="20"/>
                <w:szCs w:val="20"/>
                <w:color w:val="auto"/>
              </w:rPr>
            </w:pPr>
            <w:r>
              <w:rPr>
                <w:rFonts w:ascii="Arial" w:cs="Arial" w:eastAsia="Arial" w:hAnsi="Arial"/>
                <w:sz w:val="18"/>
                <w:szCs w:val="18"/>
                <w:color w:val="auto"/>
              </w:rPr>
              <w:t>Title:</w:t>
            </w:r>
          </w:p>
        </w:tc>
        <w:tc>
          <w:tcPr>
            <w:tcW w:w="2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Pr>
          <w:p>
            <w:pPr>
              <w:spacing w:after="0"/>
              <w:rPr>
                <w:sz w:val="24"/>
                <w:szCs w:val="24"/>
                <w:color w:val="auto"/>
              </w:rPr>
            </w:pPr>
          </w:p>
        </w:tc>
        <w:tc>
          <w:tcPr>
            <w:tcW w:w="4680" w:type="dxa"/>
            <w:vAlign w:val="bottom"/>
            <w:gridSpan w:val="2"/>
          </w:tcPr>
          <w:p>
            <w:pPr>
              <w:jc w:val="center"/>
              <w:ind w:left="3570"/>
              <w:spacing w:after="0"/>
              <w:rPr>
                <w:sz w:val="20"/>
                <w:szCs w:val="20"/>
                <w:color w:val="auto"/>
              </w:rPr>
            </w:pPr>
            <w:r>
              <w:rPr>
                <w:rFonts w:ascii="Arial" w:cs="Arial" w:eastAsia="Arial" w:hAnsi="Arial"/>
                <w:sz w:val="18"/>
                <w:szCs w:val="18"/>
                <w:color w:val="auto"/>
                <w:w w:val="99"/>
              </w:rPr>
              <w:t>3</w:t>
            </w:r>
          </w:p>
        </w:tc>
        <w:tc>
          <w:tcPr>
            <w:tcW w:w="2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5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640" w:type="dxa"/>
            <w:vAlign w:val="bottom"/>
            <w:tcBorders>
              <w:bottom w:val="single" w:sz="8" w:color="010101"/>
            </w:tcBorders>
            <w:gridSpan w:val="3"/>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40" w:type="dxa"/>
            <w:vAlign w:val="bottom"/>
            <w:gridSpan w:val="3"/>
          </w:tcPr>
          <w:p>
            <w:pPr>
              <w:jc w:val="center"/>
              <w:ind w:right="1670"/>
              <w:spacing w:after="0"/>
              <w:rPr>
                <w:sz w:val="20"/>
                <w:szCs w:val="20"/>
                <w:color w:val="auto"/>
              </w:rPr>
            </w:pPr>
            <w:r>
              <w:rPr>
                <w:rFonts w:ascii="Arial" w:cs="Arial" w:eastAsia="Arial" w:hAnsi="Arial"/>
                <w:sz w:val="18"/>
                <w:szCs w:val="18"/>
                <w:b w:val="1"/>
                <w:bCs w:val="1"/>
                <w:color w:val="auto"/>
              </w:rPr>
              <w:t>INDEX TO EXHIBITS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5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240" w:type="dxa"/>
            <w:vAlign w:val="bottom"/>
          </w:tcPr>
          <w:p>
            <w:pPr>
              <w:spacing w:after="0"/>
              <w:rPr>
                <w:sz w:val="14"/>
                <w:szCs w:val="14"/>
                <w:color w:val="auto"/>
              </w:rPr>
            </w:pPr>
          </w:p>
        </w:tc>
        <w:tc>
          <w:tcPr>
            <w:tcW w:w="4440" w:type="dxa"/>
            <w:vAlign w:val="bottom"/>
            <w:tcBorders>
              <w:bottom w:val="single" w:sz="8" w:color="auto"/>
            </w:tcBorders>
          </w:tcPr>
          <w:p>
            <w:pPr>
              <w:spacing w:after="0"/>
              <w:rPr>
                <w:sz w:val="14"/>
                <w:szCs w:val="14"/>
                <w:color w:val="auto"/>
              </w:rPr>
            </w:pPr>
          </w:p>
        </w:tc>
        <w:tc>
          <w:tcPr>
            <w:tcW w:w="5200" w:type="dxa"/>
            <w:vAlign w:val="bottom"/>
            <w:tcBorders>
              <w:bottom w:val="single" w:sz="8" w:color="auto"/>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540" w:type="dxa"/>
            <w:vAlign w:val="bottom"/>
          </w:tcPr>
          <w:p>
            <w:pPr>
              <w:spacing w:after="0"/>
              <w:rPr>
                <w:sz w:val="20"/>
                <w:szCs w:val="20"/>
                <w:color w:val="auto"/>
              </w:rPr>
            </w:pPr>
            <w:r>
              <w:rPr>
                <w:rFonts w:ascii="Arial" w:cs="Arial" w:eastAsia="Arial" w:hAnsi="Arial"/>
                <w:sz w:val="18"/>
                <w:szCs w:val="18"/>
                <w:color w:val="auto"/>
              </w:rPr>
              <w:t>99.1</w:t>
            </w:r>
          </w:p>
        </w:tc>
        <w:tc>
          <w:tcPr>
            <w:tcW w:w="4680" w:type="dxa"/>
            <w:vAlign w:val="bottom"/>
            <w:gridSpan w:val="2"/>
          </w:tcPr>
          <w:p>
            <w:pPr>
              <w:ind w:left="240"/>
              <w:spacing w:after="0"/>
              <w:rPr>
                <w:sz w:val="20"/>
                <w:szCs w:val="20"/>
                <w:color w:val="auto"/>
              </w:rPr>
            </w:pPr>
            <w:r>
              <w:rPr>
                <w:rFonts w:ascii="Arial" w:cs="Arial" w:eastAsia="Arial" w:hAnsi="Arial"/>
                <w:sz w:val="18"/>
                <w:szCs w:val="18"/>
                <w:color w:val="auto"/>
              </w:rPr>
              <w:t>Press release dated November 25, 2013</w:t>
            </w:r>
          </w:p>
        </w:tc>
        <w:tc>
          <w:tcPr>
            <w:tcW w:w="2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40" w:type="dxa"/>
            <w:vAlign w:val="bottom"/>
          </w:tcPr>
          <w:p>
            <w:pPr>
              <w:spacing w:after="0"/>
              <w:rPr>
                <w:sz w:val="24"/>
                <w:szCs w:val="24"/>
                <w:color w:val="auto"/>
              </w:rPr>
            </w:pPr>
          </w:p>
        </w:tc>
        <w:tc>
          <w:tcPr>
            <w:tcW w:w="4680" w:type="dxa"/>
            <w:vAlign w:val="bottom"/>
            <w:gridSpan w:val="2"/>
          </w:tcPr>
          <w:p>
            <w:pPr>
              <w:jc w:val="center"/>
              <w:ind w:left="3570"/>
              <w:spacing w:after="0"/>
              <w:rPr>
                <w:sz w:val="20"/>
                <w:szCs w:val="20"/>
                <w:color w:val="auto"/>
              </w:rPr>
            </w:pPr>
            <w:r>
              <w:rPr>
                <w:rFonts w:ascii="Arial" w:cs="Arial" w:eastAsia="Arial" w:hAnsi="Arial"/>
                <w:sz w:val="18"/>
                <w:szCs w:val="18"/>
                <w:color w:val="auto"/>
                <w:w w:val="99"/>
              </w:rPr>
              <w:t>4</w:t>
            </w:r>
          </w:p>
        </w:tc>
        <w:tc>
          <w:tcPr>
            <w:tcW w:w="2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5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4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49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-1504315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-1504315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DRAFT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 Announces Third Quarter 2013 Financial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3Q Revenue Reached $5.6 Million, Increasing 74% Compared to Prior Year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Coverage and Reimbursement Continue to Expand for Afirma</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Gene Expression Classifier (GEC) —</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Company Successfully Completed Initial Public Offering on November 4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Conference Call Today at 5 p.m. ET —</w:t>
      </w:r>
    </w:p>
    <w:p>
      <w:pPr>
        <w:spacing w:after="0" w:line="22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 xml:space="preserve">South San Francisco, Calif. — November 25, 2013 — </w:t>
      </w:r>
      <w:r>
        <w:rPr>
          <w:rFonts w:ascii="Arial" w:cs="Arial" w:eastAsia="Arial" w:hAnsi="Arial"/>
          <w:sz w:val="18"/>
          <w:szCs w:val="18"/>
          <w:color w:val="auto"/>
        </w:rPr>
        <w:t>Veracyte, Inc. (Nasdaq: VCYT) today reported financial results for the third quarter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2013, and provided an update on recent business progress. Revenue was $5.6 million for the third quarter of 2013, versus $3.2 million for the third quarter of 2012, an increase of 74%. Revenue for the first nine months of 2013 was $15.0 million, compared to $7.2 million for the first nine months of 2012, an increase of 110%.</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strong financial performance, including a 74% increase in year-over-year third quarter revenues, reflects both growing physician adoption and increased payer coverage and reimbursement for our Afirma solution. The results demonstrate increasing recognition of the value our product delivers in helping patients avoid unnecessary surgeries, while reducing healthcare costs,” said Bonnie H. Anderson, Veracyte’s president and chief executive officer. “Further, our recently completed initial public offering marks a significant milestone for the company, and we are encouraged by the interest of a high-caliber group of investors. These proceeds will enable us to accelerate our sales and marketing efforts in response to recent positive payer coverage decisions for our Afirma GEC. With our growth in adoption and reimbursement and the proceeds from our IPO, we believe we are well-positioned to advance the long-term growth of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Highlights</w:t>
      </w:r>
    </w:p>
    <w:p>
      <w:pPr>
        <w:spacing w:after="0" w:line="229" w:lineRule="exact"/>
        <w:rPr>
          <w:sz w:val="20"/>
          <w:szCs w:val="20"/>
          <w:color w:val="auto"/>
        </w:rPr>
      </w:pPr>
    </w:p>
    <w:p>
      <w:pPr>
        <w:ind w:left="980" w:right="140" w:hanging="648"/>
        <w:spacing w:after="0" w:line="277"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Obtained positive medical coverage policies for the Afirma GEC from Humana in July and SelectHealth, a part of Intermountain Healthcare, in August, following a positive coverage decision by Aetna in June.</w:t>
      </w:r>
    </w:p>
    <w:p>
      <w:pPr>
        <w:spacing w:after="0" w:line="170" w:lineRule="exact"/>
        <w:rPr>
          <w:rFonts w:ascii="Arial" w:cs="Arial" w:eastAsia="Arial" w:hAnsi="Arial"/>
          <w:sz w:val="18"/>
          <w:szCs w:val="18"/>
          <w:color w:val="auto"/>
        </w:rPr>
      </w:pPr>
    </w:p>
    <w:p>
      <w:pPr>
        <w:ind w:left="980" w:right="140" w:hanging="648"/>
        <w:spacing w:after="0" w:line="234"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Positive data from the first long-term, multicenter outcome study confirming the clinical validity and durable clinical utility of the Afirma GEC were published online in the </w:t>
      </w:r>
      <w:r>
        <w:rPr>
          <w:rFonts w:ascii="Arial" w:cs="Arial" w:eastAsia="Arial" w:hAnsi="Arial"/>
          <w:sz w:val="18"/>
          <w:szCs w:val="18"/>
          <w:i w:val="1"/>
          <w:iCs w:val="1"/>
          <w:color w:val="auto"/>
        </w:rPr>
        <w:t>Journal of Clinical Endocrinology &amp; Metabolism</w:t>
      </w:r>
      <w:r>
        <w:rPr>
          <w:rFonts w:ascii="Arial" w:cs="Arial" w:eastAsia="Arial" w:hAnsi="Arial"/>
          <w:sz w:val="18"/>
          <w:szCs w:val="18"/>
          <w:color w:val="auto"/>
        </w:rPr>
        <w:t xml:space="preserve"> and presented at the 83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Annual Meeting of the American Thyroid Association (ATA).</w:t>
      </w:r>
    </w:p>
    <w:p>
      <w:pPr>
        <w:spacing w:after="0" w:line="202" w:lineRule="exact"/>
        <w:rPr>
          <w:rFonts w:ascii="Arial" w:cs="Arial" w:eastAsia="Arial" w:hAnsi="Arial"/>
          <w:sz w:val="18"/>
          <w:szCs w:val="18"/>
          <w:color w:val="auto"/>
        </w:rPr>
      </w:pPr>
    </w:p>
    <w:p>
      <w:pPr>
        <w:ind w:left="980" w:right="220" w:hanging="648"/>
        <w:spacing w:after="0" w:line="234"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Positive findings presented at the American Society of Cytopathology’s 61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Annual Scientific Meeting suggest that the Afirma GEC, when supplemented with an additional gene set, can accurately identify medullary thyroid cancer (MTC) pre-operatively among thyroid nodule fine needle aspiration (FNA) samples that are indeterminate by cytopathology.</w:t>
      </w:r>
    </w:p>
    <w:p>
      <w:pPr>
        <w:spacing w:after="0" w:line="202" w:lineRule="exact"/>
        <w:rPr>
          <w:rFonts w:ascii="Arial" w:cs="Arial" w:eastAsia="Arial" w:hAnsi="Arial"/>
          <w:sz w:val="18"/>
          <w:szCs w:val="18"/>
          <w:color w:val="auto"/>
        </w:rPr>
      </w:pPr>
    </w:p>
    <w:p>
      <w:pPr>
        <w:ind w:left="940" w:hanging="608"/>
        <w:spacing w:after="0"/>
        <w:tabs>
          <w:tab w:leader="none" w:pos="94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Received a New York State Department of Health clinical laboratory permit for Veracyte’s CLIA laboratory facility located in Austin, Texas.</w:t>
      </w:r>
    </w:p>
    <w:p>
      <w:pPr>
        <w:spacing w:after="0" w:line="236" w:lineRule="exact"/>
        <w:rPr>
          <w:rFonts w:ascii="Arial" w:cs="Arial" w:eastAsia="Arial" w:hAnsi="Arial"/>
          <w:sz w:val="17"/>
          <w:szCs w:val="17"/>
          <w:color w:val="auto"/>
        </w:rPr>
      </w:pPr>
    </w:p>
    <w:p>
      <w:pPr>
        <w:ind w:left="940" w:hanging="608"/>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Completed an IPO on November 4, 2013, raising gross proceeds of $65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2013 Financial Results</w:t>
      </w:r>
    </w:p>
    <w:p>
      <w:pPr>
        <w:spacing w:after="0" w:line="229" w:lineRule="exact"/>
        <w:rPr>
          <w:sz w:val="20"/>
          <w:szCs w:val="20"/>
          <w:color w:val="auto"/>
        </w:rPr>
      </w:pPr>
    </w:p>
    <w:p>
      <w:pPr>
        <w:ind w:left="940" w:hanging="608"/>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as of September 30, 2013 totaled $15.4 million.</w:t>
      </w:r>
    </w:p>
    <w:p>
      <w:pPr>
        <w:spacing w:after="0" w:line="225" w:lineRule="exact"/>
        <w:rPr>
          <w:rFonts w:ascii="Arial" w:cs="Arial" w:eastAsia="Arial" w:hAnsi="Arial"/>
          <w:sz w:val="18"/>
          <w:szCs w:val="18"/>
          <w:color w:val="auto"/>
        </w:rPr>
      </w:pPr>
    </w:p>
    <w:p>
      <w:pPr>
        <w:ind w:left="980" w:right="140" w:hanging="648"/>
        <w:spacing w:after="0" w:line="308" w:lineRule="auto"/>
        <w:tabs>
          <w:tab w:leader="none" w:pos="944"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 received 12,417 FNA samples during the third quarter of 2013, compared to 7,052 FNA samples during the same period in 2012, an increase of 76%. Afirma GEC tests continued to be performed at a rate of approximately 20% of FNA samples received.</w:t>
      </w:r>
    </w:p>
    <w:p>
      <w:pPr>
        <w:spacing w:after="0" w:line="146" w:lineRule="exact"/>
        <w:rPr>
          <w:rFonts w:ascii="Arial" w:cs="Arial" w:eastAsia="Arial" w:hAnsi="Arial"/>
          <w:sz w:val="17"/>
          <w:szCs w:val="17"/>
          <w:color w:val="auto"/>
        </w:rPr>
      </w:pPr>
    </w:p>
    <w:p>
      <w:pPr>
        <w:ind w:left="940" w:hanging="608"/>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for the third quarter of 2013 was $5.6 million, compared with revenue of $3.2 million for the comparable period in 2012.</w:t>
      </w:r>
    </w:p>
    <w:p>
      <w:pPr>
        <w:spacing w:after="0" w:line="225" w:lineRule="exact"/>
        <w:rPr>
          <w:rFonts w:ascii="Arial" w:cs="Arial" w:eastAsia="Arial" w:hAnsi="Arial"/>
          <w:sz w:val="18"/>
          <w:szCs w:val="18"/>
          <w:color w:val="auto"/>
        </w:rPr>
      </w:pPr>
    </w:p>
    <w:p>
      <w:pPr>
        <w:ind w:left="980" w:right="40" w:hanging="648"/>
        <w:spacing w:after="0" w:line="255"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operating expenses for the third quarter of 2013 were $11.7 million, compared with total operating expenses of $8.2 million for the comparable period in 2012. Cost of revenue was $3.1 million for the third quarter of 2013, compared with $2.0 million for the comparable period in 2012. Research and development expenses were $2.0 million for the three months ended September 30, 2013, compared to $1.7 million for the same period in 2012. Selling and marketing expenses were $3.3 million for the third quarter of 2013, compared with $2.3 million for the third quarter of 2012. General and administrative expenses were $3.2 million for the third quarter 2013, compared with $2.1 million for the same period in 2012.</w:t>
      </w:r>
    </w:p>
    <w:p>
      <w:pPr>
        <w:spacing w:after="0" w:line="193" w:lineRule="exact"/>
        <w:rPr>
          <w:rFonts w:ascii="Arial" w:cs="Arial" w:eastAsia="Arial" w:hAnsi="Arial"/>
          <w:sz w:val="18"/>
          <w:szCs w:val="18"/>
          <w:color w:val="auto"/>
        </w:rPr>
      </w:pPr>
    </w:p>
    <w:p>
      <w:pPr>
        <w:ind w:left="980" w:right="60" w:hanging="648"/>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loss for the third quarter of 2013 was $6.3 million, or $6.59 per common share, compared to a net loss of $4.9 million, or $7.49 per common share for the same period in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Veracyte will host a live conference call and webcast today at 5 p.m. Eastern Time to discuss the company’s financial results and provide a general business update. The live webcast and subsequent replay may be accessed by visiting Veracyte’s website at http://investor.veracyte.com. Please connect to the company’s website at least 15 minutes prior to the live webcast to ensure adequate time for any necessary software download. Alternatively, please call (855) 541-0980 (U.S.) or (970) 315-0440 (international) to listen to the live conference call. The conference ID number for the live call is 98673982. Please dial in approximately 10 minutes prior to the call. The webcast will be available on the company’s website for 14 days approximately two hours following completion of the call.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 Inc.</w:t>
      </w:r>
    </w:p>
    <w:p>
      <w:pPr>
        <w:sectPr>
          <w:pgSz w:w="11900" w:h="16838" w:orient="portrait"/>
          <w:cols w:equalWidth="0" w:num="1">
            <w:col w:w="11420"/>
          </w:cols>
          <w:pgMar w:left="240" w:top="121" w:right="239" w:bottom="0" w:gutter="0" w:footer="0" w:header="0"/>
        </w:sectPr>
      </w:pPr>
    </w:p>
    <w:bookmarkStart w:id="3" w:name="page4"/>
    <w:bookmarkEnd w:id="3"/>
    <w:p>
      <w:pPr>
        <w:ind w:right="80"/>
        <w:spacing w:after="0" w:line="286" w:lineRule="auto"/>
        <w:rPr>
          <w:sz w:val="20"/>
          <w:szCs w:val="20"/>
          <w:color w:val="auto"/>
        </w:rPr>
      </w:pPr>
      <w:r>
        <w:rPr>
          <w:rFonts w:ascii="Arial" w:cs="Arial" w:eastAsia="Arial" w:hAnsi="Arial"/>
          <w:sz w:val="16"/>
          <w:szCs w:val="16"/>
          <w:color w:val="auto"/>
        </w:rPr>
        <w:t xml:space="preserve">Veracyte is focused on discovering, developing and commercializing molecular cytology solutions that enable physicians to make more informed treatment decisions at an early stage in patient care, thus helping patients avoid unnecessary invasive procedures while reducing healthcare costs. Veracyte’s first commercial solution, the Afirma Thyroid FNA Analysis, includes the Gene Expression Classifier (GEC). Over 525,000 fine needle aspiration (FNA) biopsies are performed each year in the United States on thyroid nodules suspicious for cancer, with up to 30% of FNAs yielding indeterminate results using cytopathology alone. Traditionally, most of these patients have undergone surgery to remove all or part of their thyroids, yet in 70% to 80% of cases, the nodules prove to be benign and thus the surgery was unnecessary. The GEC helps physicians reduce the number of unnecessary surgeries by employing a proprietary 142-gene signature to determine pre-operatively whether thyroid nodules previously classified by cytopathology as indeterminate can be reclassified as benign. The clinical utility and cost effectiveness of the GEC have been demonstrated in studies published in peer-reviewed journals and the clinical validity of the GEC has been demonstrated in a study published in </w:t>
      </w:r>
      <w:r>
        <w:rPr>
          <w:rFonts w:ascii="Arial" w:cs="Arial" w:eastAsia="Arial" w:hAnsi="Arial"/>
          <w:sz w:val="16"/>
          <w:szCs w:val="16"/>
          <w:i w:val="1"/>
          <w:iCs w:val="1"/>
          <w:color w:val="auto"/>
        </w:rPr>
        <w:t>The New England Journal of Medicine</w:t>
      </w:r>
      <w:r>
        <w:rPr>
          <w:rFonts w:ascii="Arial" w:cs="Arial" w:eastAsia="Arial" w:hAnsi="Arial"/>
          <w:sz w:val="16"/>
          <w:szCs w:val="16"/>
          <w:color w:val="auto"/>
        </w:rPr>
        <w:t xml:space="preserve"> in 2012. Since the commercial launch of Afirma in January 2011, Veracyte has received over 60,000 FNA samples for evaluation using Afirma and has performed approximately 12,000 GECs to resolve indeterminate cytopathology results. Veracyte has obtained positive coverage decisions for Afirma from Aetna, Humana, Medicare and UnitedHealthcare. Collectively, these payers represent more than 100 million covered lives. Afirma is marketed and sold in the United States through a global co-promotion agreement with Genzyme Corporation, a subsidiary of Sanofi. Veracyte estimates the global market for Afirma to be $800 million. The company intends to expand its molecular cytology franchise to other clinical areas and is in late biomarker discovery for its first product in pulmonology.</w:t>
      </w:r>
    </w:p>
    <w:p>
      <w:pPr>
        <w:spacing w:after="0" w:line="17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Veracyte and Afirma are trademarks of Veracyte, Inc. This press release also contains trademarks and trade names that are the property of their respective owners.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i w:val="1"/>
          <w:iCs w:val="1"/>
          <w:color w:val="auto"/>
        </w:rPr>
        <w:t>This press release contains forward-looking statements within the meaning of the Private Securities Litigation Reform Act of 1995, including statements relating to the potential benefits of the Afirma GEC to patients, physicians and payers; the company’s belief that the proceeds from its IPO will enable it to accelerate its sales and marketing efforts; the company’s belief that it is well-positioned to advance long-term growth; the ability of the company’s test to change clinical outcomes; the potential of the Afirma GEC, supplemented by an additional gene set, to identify patients with MTC and the value of expanding the test to this patient population; the estimated size of the global market for Afirma; and the company’s intent to expand its molecular cytology business into other clinical areas. Forward-looking statements involve risks and uncertainties which could cause actual results to differ materially, and reported results should not be considered as an indication of future performance. These risks and uncertainties include, but are not limited to: our limited operating history and history of losses; our ability to increase usage of and reimbursement for Afirma; our dependence on a few payers for a significant portion of our revenue; the complexity, time and expense associated with billing and collecting from payers for our test; laws and regulations applicable to our business, including potential regulation by the FDA; our dependence on strategic relationships; our ability to develop and commercialize new products and the timing of commercialization; the outcome of clinical studies; the applicability of clinical results to actual outcomes; our ability to compete; our ability to expand into international markets; our ability to obtain capital when needed; and other risks detailed under the heading “Risk Factors” in our filings with the Securities and Exchange Commission. These forward-looking statements speak only as of the date hereof and Veracyte specifically disclaims any obligation to update these forward-looking statements.</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6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5"/>
          </w:tcPr>
          <w:p>
            <w:pPr>
              <w:ind w:left="70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September 30,</w:t>
            </w: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53"/>
              <w:spacing w:after="0" w:line="119" w:lineRule="exact"/>
              <w:rPr>
                <w:sz w:val="20"/>
                <w:szCs w:val="20"/>
                <w:color w:val="auto"/>
              </w:rPr>
            </w:pPr>
            <w:r>
              <w:rPr>
                <w:rFonts w:ascii="Arial" w:cs="Arial" w:eastAsia="Arial" w:hAnsi="Arial"/>
                <w:sz w:val="13"/>
                <w:szCs w:val="13"/>
                <w:b w:val="1"/>
                <w:bCs w:val="1"/>
                <w:color w:val="auto"/>
              </w:rPr>
              <w:t>September 30,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September 30,</w:t>
            </w: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53"/>
              <w:spacing w:after="0" w:line="119" w:lineRule="exact"/>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5,594</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15,046</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9,136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5,940</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4,887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8,609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3,244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2,103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8,772</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5,721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11,695</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32,457</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(6,101)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(17,411)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(13,813)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(2,146)</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2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(6.59)</w:t>
            </w:r>
          </w:p>
        </w:tc>
        <w:tc>
          <w:tcPr>
            <w:tcW w:w="3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(7.49)</w:t>
            </w: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(22.87)</w:t>
            </w:r>
          </w:p>
        </w:tc>
        <w:tc>
          <w:tcPr>
            <w:tcW w:w="2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(21.40)</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472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w w:val="93"/>
              </w:rPr>
              <w:t>Shares used to compute net loss per common share, basic and</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955,890</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659,129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860,957</w:t>
            </w:r>
          </w:p>
        </w:tc>
        <w:tc>
          <w:tcPr>
            <w:tcW w:w="16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645,306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514"/>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BALANCE SHEETS</w:t>
      </w:r>
    </w:p>
    <w:p>
      <w:pPr>
        <w:sectPr>
          <w:pgSz w:w="11900" w:h="16838" w:orient="portrait"/>
          <w:cols w:equalWidth="0" w:num="1">
            <w:col w:w="11460"/>
          </w:cols>
          <w:pgMar w:left="240" w:top="341" w:right="199" w:bottom="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6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196"/>
        </w:trPr>
        <w:tc>
          <w:tcPr>
            <w:tcW w:w="7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15,426</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14,002</w:t>
            </w:r>
          </w:p>
        </w:tc>
        <w:tc>
          <w:tcPr>
            <w:tcW w:w="80" w:type="dxa"/>
            <w:vAlign w:val="bottom"/>
            <w:shd w:val="clear" w:color="auto" w:fill="CCEEFF"/>
          </w:tcPr>
          <w:p>
            <w:pPr>
              <w:spacing w:after="0"/>
              <w:rPr>
                <w:sz w:val="18"/>
                <w:szCs w:val="18"/>
                <w:color w:val="auto"/>
              </w:rPr>
            </w:pPr>
          </w:p>
        </w:tc>
      </w:tr>
      <w:tr>
        <w:trPr>
          <w:trHeight w:val="202"/>
        </w:trPr>
        <w:tc>
          <w:tcPr>
            <w:tcW w:w="7680" w:type="dxa"/>
            <w:vAlign w:val="bottom"/>
          </w:tcPr>
          <w:p>
            <w:pPr>
              <w:ind w:left="180"/>
              <w:spacing w:after="0" w:line="201" w:lineRule="exact"/>
              <w:rPr>
                <w:sz w:val="20"/>
                <w:szCs w:val="20"/>
                <w:color w:val="auto"/>
              </w:rPr>
            </w:pPr>
            <w:r>
              <w:rPr>
                <w:rFonts w:ascii="Arial" w:cs="Arial" w:eastAsia="Arial" w:hAnsi="Arial"/>
                <w:sz w:val="18"/>
                <w:szCs w:val="18"/>
                <w:color w:val="auto"/>
                <w:w w:val="92"/>
              </w:rPr>
              <w:t>Accounts receivable, net of allowance of $364 and $222 as of September 30, 2013 and December 31,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680" w:type="dxa"/>
            <w:vAlign w:val="bottom"/>
          </w:tcPr>
          <w:p>
            <w:pPr>
              <w:ind w:left="360"/>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714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569</w:t>
            </w:r>
          </w:p>
        </w:tc>
        <w:tc>
          <w:tcPr>
            <w:tcW w:w="80" w:type="dxa"/>
            <w:vAlign w:val="bottom"/>
          </w:tcPr>
          <w:p>
            <w:pPr>
              <w:spacing w:after="0"/>
              <w:rPr>
                <w:sz w:val="20"/>
                <w:szCs w:val="20"/>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Supplies inventory</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1,050</w:t>
            </w:r>
          </w:p>
        </w:tc>
        <w:tc>
          <w:tcPr>
            <w:tcW w:w="80" w:type="dxa"/>
            <w:vAlign w:val="bottom"/>
            <w:shd w:val="clear" w:color="auto" w:fill="CCEEFF"/>
          </w:tcPr>
          <w:p>
            <w:pPr>
              <w:spacing w:after="0"/>
              <w:rPr>
                <w:sz w:val="18"/>
                <w:szCs w:val="18"/>
                <w:color w:val="auto"/>
              </w:rPr>
            </w:pP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2,938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710</w:t>
            </w:r>
          </w:p>
        </w:tc>
        <w:tc>
          <w:tcPr>
            <w:tcW w:w="80" w:type="dxa"/>
            <w:vAlign w:val="bottom"/>
          </w:tcPr>
          <w:p>
            <w:pPr>
              <w:spacing w:after="0"/>
              <w:rPr>
                <w:sz w:val="18"/>
                <w:szCs w:val="18"/>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r>
      <w:tr>
        <w:trPr>
          <w:trHeight w:val="210"/>
        </w:trPr>
        <w:tc>
          <w:tcPr>
            <w:tcW w:w="768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20,470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2,446</w:t>
            </w:r>
          </w:p>
        </w:tc>
        <w:tc>
          <w:tcPr>
            <w:tcW w:w="80" w:type="dxa"/>
            <w:vAlign w:val="bottom"/>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8"/>
                <w:szCs w:val="18"/>
                <w:color w:val="auto"/>
              </w:rPr>
            </w:pPr>
          </w:p>
        </w:tc>
      </w:tr>
      <w:tr>
        <w:trPr>
          <w:trHeight w:val="250"/>
        </w:trPr>
        <w:tc>
          <w:tcPr>
            <w:tcW w:w="768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23,571</w:t>
            </w:r>
          </w:p>
        </w:tc>
        <w:tc>
          <w:tcPr>
            <w:tcW w:w="3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19,067</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70"/>
        </w:trPr>
        <w:tc>
          <w:tcPr>
            <w:tcW w:w="768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Convertible Preferred Stock, and Stockholders’ (Deficit) Equity</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5,604</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1,888</w:t>
            </w:r>
          </w:p>
        </w:tc>
        <w:tc>
          <w:tcPr>
            <w:tcW w:w="80" w:type="dxa"/>
            <w:vAlign w:val="bottom"/>
            <w:shd w:val="clear" w:color="auto" w:fill="CCEEFF"/>
          </w:tcPr>
          <w:p>
            <w:pPr>
              <w:spacing w:after="0"/>
              <w:rPr>
                <w:sz w:val="18"/>
                <w:szCs w:val="18"/>
                <w:color w:val="auto"/>
              </w:rPr>
            </w:pP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4,416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4,020</w:t>
            </w:r>
          </w:p>
        </w:tc>
        <w:tc>
          <w:tcPr>
            <w:tcW w:w="80" w:type="dxa"/>
            <w:vAlign w:val="bottom"/>
          </w:tcPr>
          <w:p>
            <w:pPr>
              <w:spacing w:after="0"/>
              <w:rPr>
                <w:sz w:val="18"/>
                <w:szCs w:val="18"/>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Genzyme co-promotion fee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CEEFF"/>
          </w:tcPr>
          <w:p>
            <w:pPr>
              <w:spacing w:after="0"/>
              <w:rPr>
                <w:sz w:val="18"/>
                <w:szCs w:val="18"/>
                <w:color w:val="auto"/>
              </w:rPr>
            </w:pP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Preferred stock liability</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583</w:t>
            </w:r>
          </w:p>
        </w:tc>
        <w:tc>
          <w:tcPr>
            <w:tcW w:w="80" w:type="dxa"/>
            <w:vAlign w:val="bottom"/>
          </w:tcPr>
          <w:p>
            <w:pPr>
              <w:spacing w:after="0"/>
              <w:rPr>
                <w:sz w:val="18"/>
                <w:szCs w:val="18"/>
                <w:color w:val="auto"/>
              </w:rPr>
            </w:pPr>
          </w:p>
        </w:tc>
      </w:tr>
      <w:tr>
        <w:trPr>
          <w:trHeight w:val="210"/>
        </w:trPr>
        <w:tc>
          <w:tcPr>
            <w:tcW w:w="76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12,520</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Long-term debt, net of discount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4,863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Deferred rent, net of current portion</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Preferred stock warrant liability</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Deferred Genzyme co-promotion fee, net of current portion</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3,239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5,114</w:t>
            </w:r>
          </w:p>
        </w:tc>
        <w:tc>
          <w:tcPr>
            <w:tcW w:w="80" w:type="dxa"/>
            <w:vAlign w:val="bottom"/>
            <w:shd w:val="clear" w:color="auto" w:fill="CCEEFF"/>
          </w:tcPr>
          <w:p>
            <w:pPr>
              <w:spacing w:after="0"/>
              <w:rPr>
                <w:sz w:val="18"/>
                <w:szCs w:val="18"/>
                <w:color w:val="auto"/>
              </w:rPr>
            </w:pPr>
          </w:p>
        </w:tc>
      </w:tr>
      <w:tr>
        <w:trPr>
          <w:trHeight w:val="210"/>
        </w:trPr>
        <w:tc>
          <w:tcPr>
            <w:tcW w:w="768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21,124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7680" w:type="dxa"/>
            <w:vAlign w:val="bottom"/>
          </w:tcPr>
          <w:p>
            <w:pPr>
              <w:spacing w:after="0" w:line="201" w:lineRule="exact"/>
              <w:rPr>
                <w:sz w:val="20"/>
                <w:szCs w:val="20"/>
                <w:color w:val="auto"/>
              </w:rPr>
            </w:pPr>
            <w:r>
              <w:rPr>
                <w:rFonts w:ascii="Arial" w:cs="Arial" w:eastAsia="Arial" w:hAnsi="Arial"/>
                <w:sz w:val="18"/>
                <w:szCs w:val="18"/>
                <w:color w:val="auto"/>
              </w:rPr>
              <w:t>Convertible preferred stock; $0.001 par value, 60,187,700 and 59,147,999 shares authorized at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w w:val="94"/>
              </w:rPr>
              <w:t>September 30, 2013 (unaudited) and December 31, 2012, respectively; 59,989,268 and 53,084,507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shares issued and outstanding at September 30, 2013 (unaudited) and December 31, 2012,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68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79,022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63,372</w:t>
            </w:r>
          </w:p>
        </w:tc>
        <w:tc>
          <w:tcPr>
            <w:tcW w:w="80" w:type="dxa"/>
            <w:vAlign w:val="bottom"/>
          </w:tcPr>
          <w:p>
            <w:pPr>
              <w:spacing w:after="0"/>
              <w:rPr>
                <w:sz w:val="20"/>
                <w:szCs w:val="20"/>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7680" w:type="dxa"/>
            <w:vAlign w:val="bottom"/>
          </w:tcPr>
          <w:p>
            <w:pPr>
              <w:spacing w:after="0" w:line="201" w:lineRule="exact"/>
              <w:rPr>
                <w:sz w:val="20"/>
                <w:szCs w:val="20"/>
                <w:color w:val="auto"/>
              </w:rPr>
            </w:pPr>
            <w:r>
              <w:rPr>
                <w:rFonts w:ascii="Arial" w:cs="Arial" w:eastAsia="Arial" w:hAnsi="Arial"/>
                <w:sz w:val="18"/>
                <w:szCs w:val="18"/>
                <w:color w:val="auto"/>
                <w:w w:val="90"/>
              </w:rPr>
              <w:t>Common stock, $0.001 par value; 77,000,000 shares authorized; 992,578 and 667,684 shares issued and</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680" w:type="dxa"/>
            <w:vAlign w:val="bottom"/>
          </w:tcPr>
          <w:p>
            <w:pPr>
              <w:ind w:left="180"/>
              <w:spacing w:after="0"/>
              <w:rPr>
                <w:sz w:val="20"/>
                <w:szCs w:val="20"/>
                <w:color w:val="auto"/>
              </w:rPr>
            </w:pPr>
            <w:r>
              <w:rPr>
                <w:rFonts w:ascii="Arial" w:cs="Arial" w:eastAsia="Arial" w:hAnsi="Arial"/>
                <w:sz w:val="18"/>
                <w:szCs w:val="18"/>
                <w:color w:val="auto"/>
              </w:rPr>
              <w:t>outstanding at September 30, 2013 (unaudited) and December 31, 2012, respectively</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3,181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1,597</w:t>
            </w:r>
          </w:p>
        </w:tc>
        <w:tc>
          <w:tcPr>
            <w:tcW w:w="80" w:type="dxa"/>
            <w:vAlign w:val="bottom"/>
            <w:shd w:val="clear" w:color="auto" w:fill="CCEEFF"/>
          </w:tcPr>
          <w:p>
            <w:pPr>
              <w:spacing w:after="0"/>
              <w:rPr>
                <w:sz w:val="18"/>
                <w:szCs w:val="18"/>
                <w:color w:val="auto"/>
              </w:rPr>
            </w:pP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(79,757)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(60,069)</w:t>
            </w:r>
          </w:p>
        </w:tc>
      </w:tr>
      <w:tr>
        <w:trPr>
          <w:trHeight w:val="210"/>
        </w:trPr>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(deficit) equity</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(76,575)</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(58,471)</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7680" w:type="dxa"/>
            <w:vAlign w:val="bottom"/>
          </w:tcPr>
          <w:p>
            <w:pPr>
              <w:spacing w:after="0"/>
              <w:rPr>
                <w:sz w:val="20"/>
                <w:szCs w:val="20"/>
                <w:color w:val="auto"/>
              </w:rPr>
            </w:pPr>
            <w:r>
              <w:rPr>
                <w:rFonts w:ascii="Arial" w:cs="Arial" w:eastAsia="Arial" w:hAnsi="Arial"/>
                <w:sz w:val="18"/>
                <w:szCs w:val="18"/>
                <w:color w:val="auto"/>
              </w:rPr>
              <w:t>Total liabilities, convertible preferred stock, and stockholders’ (deficit) equity</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23,571</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Source: Veracyte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Angeli Kolhatkar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Burns McClellan,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212-213-0006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akolhatkar@burnsmc.com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2019-12-07T15:26:59Z</dcterms:created>
  <dcterms:modified xsi:type="dcterms:W3CDTF">2019-12-07T15:26:59Z</dcterms:modified>
</cp:coreProperties>
</file>