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8751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87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Hanna John Walter JR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6000 SHORELINE COURT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300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4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VERACYTE,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VCYT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Commercial Officer</w:t>
      </w:r>
    </w:p>
    <w:p>
      <w:pPr>
        <w:spacing w:after="0" w:line="5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20"/>
            <w:col w:w="334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13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-2486660</wp:posOffset>
            </wp:positionH>
            <wp:positionV relativeFrom="paragraph">
              <wp:posOffset>266065</wp:posOffset>
            </wp:positionV>
            <wp:extent cx="6968490" cy="17278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27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jc w:val="center"/>
              <w:ind w:left="45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11,294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85,818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07/20/2020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11,294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32.0518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6"/>
                <w:vertAlign w:val="superscript"/>
              </w:rPr>
              <w:t>(2)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4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2.4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75,177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47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07/21/2020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653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32.36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74,524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8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07/20/2020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11,294</w:t>
            </w: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09/20/2021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9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11,294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2.4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07/21/2020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 w:line="26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653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09/20/2021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1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-2399030</wp:posOffset>
            </wp:positionV>
            <wp:extent cx="7033895" cy="253809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53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transactions on this Form 4 were made pursuant to a Rule 10b5-1 plan adopted by the reporting person on August 14, 2019.</w:t>
      </w:r>
    </w:p>
    <w:p>
      <w:pPr>
        <w:spacing w:after="0" w:line="43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2"/>
        <w:spacing w:after="0" w:line="24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weighted average sales price. Sale prices for the transactions range from $32.00 to $32.32. Detailed information regarding the number of shares sold at each separate price will be provided to the SEC, the issuer or a shareholder upon request.</w:t>
      </w:r>
    </w:p>
    <w:p>
      <w:pPr>
        <w:spacing w:after="0" w:line="2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is fully vested.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Keith Kennedy, as Attorney- </w:t>
      </w:r>
      <w:r>
        <w:rPr>
          <w:rFonts w:ascii="Arial" w:cs="Arial" w:eastAsia="Arial" w:hAnsi="Arial"/>
          <w:sz w:val="33"/>
          <w:szCs w:val="33"/>
          <w:color w:val="0000FF"/>
          <w:vertAlign w:val="subscript"/>
        </w:rPr>
        <w:t>07/22/2020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001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81127" TargetMode="External"/><Relationship Id="rId14" Type="http://schemas.openxmlformats.org/officeDocument/2006/relationships/hyperlink" Target="http://www.sec.gov/cgi-bin/browse-edgar?action=getcompany&amp;CIK=00013841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2020-07-22T17:17:01Z</dcterms:created>
  <dcterms:modified xsi:type="dcterms:W3CDTF">2020-07-22T17:17:01Z</dcterms:modified>
</cp:coreProperties>
</file>