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3, 2021</w:t>
      </w:r>
    </w:p>
    <w:p>
      <w:pPr>
        <w:spacing w:after="0" w:line="31"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5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VERACYTE, INC.</w:t>
      </w:r>
    </w:p>
    <w:p>
      <w:pPr>
        <w:spacing w:after="0" w:line="5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9" w:lineRule="exact"/>
        <w:rPr>
          <w:sz w:val="24"/>
          <w:szCs w:val="24"/>
          <w:color w:val="auto"/>
        </w:rPr>
      </w:pPr>
    </w:p>
    <w:tbl>
      <w:tblPr>
        <w:tblLayout w:type="fixed"/>
        <w:tblInd w:w="1940" w:type="dxa"/>
        <w:tblCellMar>
          <w:top w:w="0" w:type="dxa"/>
          <w:left w:w="0" w:type="dxa"/>
          <w:bottom w:w="0" w:type="dxa"/>
          <w:right w:w="0" w:type="dxa"/>
        </w:tblCellMar>
      </w:tblPr>
      <w:tr>
        <w:trPr>
          <w:trHeight w:val="214"/>
        </w:trPr>
        <w:tc>
          <w:tcPr>
            <w:tcW w:w="3860" w:type="dxa"/>
            <w:vAlign w:val="bottom"/>
          </w:tcPr>
          <w:p>
            <w:pPr>
              <w:jc w:val="center"/>
              <w:ind w:right="18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8"/>
                <w:szCs w:val="18"/>
                <w:b w:val="1"/>
                <w:bCs w:val="1"/>
                <w:color w:val="auto"/>
              </w:rPr>
              <w:t>20-5455398</w:t>
            </w:r>
          </w:p>
        </w:tc>
      </w:tr>
      <w:tr>
        <w:trPr>
          <w:trHeight w:val="148"/>
        </w:trPr>
        <w:tc>
          <w:tcPr>
            <w:tcW w:w="3860" w:type="dxa"/>
            <w:vAlign w:val="bottom"/>
          </w:tcPr>
          <w:p>
            <w:pPr>
              <w:jc w:val="center"/>
              <w:ind w:right="1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60" w:type="dxa"/>
            <w:vAlign w:val="bottom"/>
          </w:tcPr>
          <w:p>
            <w:pPr>
              <w:jc w:val="center"/>
              <w:ind w:right="186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4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6000 Shoreline Court, Suite 300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(650) 243-6300</w:t>
      </w:r>
    </w:p>
    <w:p>
      <w:pPr>
        <w:spacing w:after="0" w:line="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125095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Bonnie H. Anderson</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6000 Shoreline Court, Suite 300</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(650) 243-6300</w:t>
      </w:r>
    </w:p>
    <w:p>
      <w:pPr>
        <w:spacing w:after="0" w:line="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5" w:lineRule="exact"/>
        <w:rPr>
          <w:sz w:val="24"/>
          <w:szCs w:val="24"/>
          <w:color w:val="auto"/>
        </w:rPr>
      </w:pPr>
    </w:p>
    <w:tbl>
      <w:tblPr>
        <w:tblLayout w:type="fixed"/>
        <w:tblInd w:w="2120" w:type="dxa"/>
        <w:tblCellMar>
          <w:top w:w="0" w:type="dxa"/>
          <w:left w:w="0" w:type="dxa"/>
          <w:bottom w:w="0" w:type="dxa"/>
          <w:right w:w="0" w:type="dxa"/>
        </w:tblCellMar>
      </w:tblPr>
      <w:tr>
        <w:trPr>
          <w:trHeight w:val="238"/>
        </w:trPr>
        <w:tc>
          <w:tcPr>
            <w:tcW w:w="2340" w:type="dxa"/>
            <w:vAlign w:val="bottom"/>
          </w:tcPr>
          <w:p>
            <w:pPr>
              <w:spacing w:after="0"/>
              <w:rPr>
                <w:sz w:val="20"/>
                <w:szCs w:val="20"/>
                <w:color w:val="auto"/>
              </w:rPr>
            </w:pPr>
          </w:p>
        </w:tc>
        <w:tc>
          <w:tcPr>
            <w:tcW w:w="4980" w:type="dxa"/>
            <w:vAlign w:val="bottom"/>
          </w:tcPr>
          <w:p>
            <w:pPr>
              <w:ind w:left="80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205"/>
        </w:trPr>
        <w:tc>
          <w:tcPr>
            <w:tcW w:w="2340" w:type="dxa"/>
            <w:vAlign w:val="bottom"/>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Douglas N. Cogen, Esq.</w:t>
            </w:r>
          </w:p>
        </w:tc>
        <w:tc>
          <w:tcPr>
            <w:tcW w:w="4980" w:type="dxa"/>
            <w:vAlign w:val="bottom"/>
          </w:tcPr>
          <w:p>
            <w:pPr>
              <w:jc w:val="center"/>
              <w:ind w:left="2945"/>
              <w:spacing w:after="0"/>
              <w:rPr>
                <w:sz w:val="20"/>
                <w:szCs w:val="20"/>
                <w:color w:val="auto"/>
              </w:rPr>
            </w:pPr>
            <w:r>
              <w:rPr>
                <w:rFonts w:ascii="Times New Roman" w:cs="Times New Roman" w:eastAsia="Times New Roman" w:hAnsi="Times New Roman"/>
                <w:sz w:val="14"/>
                <w:szCs w:val="14"/>
                <w:b w:val="1"/>
                <w:bCs w:val="1"/>
                <w:color w:val="auto"/>
              </w:rPr>
              <w:t>James H. Erlinger III, Esq.</w:t>
            </w:r>
          </w:p>
        </w:tc>
      </w:tr>
      <w:tr>
        <w:trPr>
          <w:trHeight w:val="148"/>
        </w:trPr>
        <w:tc>
          <w:tcPr>
            <w:tcW w:w="2340" w:type="dxa"/>
            <w:vAlign w:val="bottom"/>
          </w:tcPr>
          <w:p>
            <w:pPr>
              <w:jc w:val="center"/>
              <w:ind w:right="708"/>
              <w:spacing w:after="0" w:line="149" w:lineRule="exact"/>
              <w:rPr>
                <w:sz w:val="20"/>
                <w:szCs w:val="20"/>
                <w:color w:val="auto"/>
              </w:rPr>
            </w:pPr>
            <w:r>
              <w:rPr>
                <w:rFonts w:ascii="Times New Roman" w:cs="Times New Roman" w:eastAsia="Times New Roman" w:hAnsi="Times New Roman"/>
                <w:sz w:val="14"/>
                <w:szCs w:val="14"/>
                <w:b w:val="1"/>
                <w:bCs w:val="1"/>
                <w:color w:val="auto"/>
              </w:rPr>
              <w:t>Ran D. Ben-Tzur, Esq</w:t>
            </w:r>
          </w:p>
        </w:tc>
        <w:tc>
          <w:tcPr>
            <w:tcW w:w="4980" w:type="dxa"/>
            <w:vAlign w:val="bottom"/>
          </w:tcPr>
          <w:p>
            <w:pPr>
              <w:jc w:val="center"/>
              <w:ind w:left="2945"/>
              <w:spacing w:after="0" w:line="149" w:lineRule="exact"/>
              <w:rPr>
                <w:sz w:val="20"/>
                <w:szCs w:val="20"/>
                <w:color w:val="auto"/>
              </w:rPr>
            </w:pPr>
            <w:r>
              <w:rPr>
                <w:rFonts w:ascii="Times New Roman" w:cs="Times New Roman" w:eastAsia="Times New Roman" w:hAnsi="Times New Roman"/>
                <w:sz w:val="14"/>
                <w:szCs w:val="14"/>
                <w:b w:val="1"/>
                <w:bCs w:val="1"/>
                <w:color w:val="auto"/>
              </w:rPr>
              <w:t>Yina Dong, Esq.</w:t>
            </w:r>
          </w:p>
        </w:tc>
      </w:tr>
      <w:tr>
        <w:trPr>
          <w:trHeight w:val="148"/>
        </w:trPr>
        <w:tc>
          <w:tcPr>
            <w:tcW w:w="2340" w:type="dxa"/>
            <w:vAlign w:val="bottom"/>
          </w:tcPr>
          <w:p>
            <w:pPr>
              <w:jc w:val="center"/>
              <w:ind w:right="708"/>
              <w:spacing w:after="0" w:line="149" w:lineRule="exact"/>
              <w:rPr>
                <w:sz w:val="20"/>
                <w:szCs w:val="20"/>
                <w:color w:val="auto"/>
              </w:rPr>
            </w:pPr>
            <w:r>
              <w:rPr>
                <w:rFonts w:ascii="Times New Roman" w:cs="Times New Roman" w:eastAsia="Times New Roman" w:hAnsi="Times New Roman"/>
                <w:sz w:val="14"/>
                <w:szCs w:val="14"/>
                <w:b w:val="1"/>
                <w:bCs w:val="1"/>
                <w:color w:val="auto"/>
              </w:rPr>
              <w:t>Fenwick &amp; West LLP</w:t>
            </w:r>
          </w:p>
        </w:tc>
        <w:tc>
          <w:tcPr>
            <w:tcW w:w="4980" w:type="dxa"/>
            <w:vAlign w:val="bottom"/>
          </w:tcPr>
          <w:p>
            <w:pPr>
              <w:jc w:val="center"/>
              <w:ind w:left="2945"/>
              <w:spacing w:after="0" w:line="149" w:lineRule="exact"/>
              <w:rPr>
                <w:sz w:val="20"/>
                <w:szCs w:val="20"/>
                <w:color w:val="auto"/>
              </w:rPr>
            </w:pPr>
            <w:r>
              <w:rPr>
                <w:rFonts w:ascii="Times New Roman" w:cs="Times New Roman" w:eastAsia="Times New Roman" w:hAnsi="Times New Roman"/>
                <w:sz w:val="14"/>
                <w:szCs w:val="14"/>
                <w:b w:val="1"/>
                <w:bCs w:val="1"/>
                <w:color w:val="auto"/>
              </w:rPr>
              <w:t>Veracyte, Inc.</w:t>
            </w:r>
          </w:p>
        </w:tc>
      </w:tr>
      <w:tr>
        <w:trPr>
          <w:trHeight w:val="149"/>
        </w:trPr>
        <w:tc>
          <w:tcPr>
            <w:tcW w:w="2340" w:type="dxa"/>
            <w:vAlign w:val="bottom"/>
          </w:tcPr>
          <w:p>
            <w:pPr>
              <w:jc w:val="center"/>
              <w:ind w:right="708"/>
              <w:spacing w:after="0" w:line="149" w:lineRule="exact"/>
              <w:rPr>
                <w:sz w:val="20"/>
                <w:szCs w:val="20"/>
                <w:color w:val="auto"/>
              </w:rPr>
            </w:pPr>
            <w:r>
              <w:rPr>
                <w:rFonts w:ascii="Times New Roman" w:cs="Times New Roman" w:eastAsia="Times New Roman" w:hAnsi="Times New Roman"/>
                <w:sz w:val="14"/>
                <w:szCs w:val="14"/>
                <w:b w:val="1"/>
                <w:bCs w:val="1"/>
                <w:color w:val="auto"/>
              </w:rPr>
              <w:t>555 California Street</w:t>
            </w:r>
          </w:p>
        </w:tc>
        <w:tc>
          <w:tcPr>
            <w:tcW w:w="4980" w:type="dxa"/>
            <w:vAlign w:val="bottom"/>
          </w:tcPr>
          <w:p>
            <w:pPr>
              <w:jc w:val="center"/>
              <w:ind w:left="2945"/>
              <w:spacing w:after="0" w:line="149" w:lineRule="exact"/>
              <w:rPr>
                <w:sz w:val="20"/>
                <w:szCs w:val="20"/>
                <w:color w:val="auto"/>
              </w:rPr>
            </w:pPr>
            <w:r>
              <w:rPr>
                <w:rFonts w:ascii="Times New Roman" w:cs="Times New Roman" w:eastAsia="Times New Roman" w:hAnsi="Times New Roman"/>
                <w:sz w:val="14"/>
                <w:szCs w:val="14"/>
                <w:b w:val="1"/>
                <w:bCs w:val="1"/>
                <w:color w:val="auto"/>
              </w:rPr>
              <w:t>6000 Shoreline Court, Suite 300</w:t>
            </w:r>
          </w:p>
        </w:tc>
      </w:tr>
      <w:tr>
        <w:trPr>
          <w:trHeight w:val="148"/>
        </w:trPr>
        <w:tc>
          <w:tcPr>
            <w:tcW w:w="2340" w:type="dxa"/>
            <w:vAlign w:val="bottom"/>
          </w:tcPr>
          <w:p>
            <w:pPr>
              <w:jc w:val="center"/>
              <w:ind w:right="728"/>
              <w:spacing w:after="0" w:line="149" w:lineRule="exact"/>
              <w:rPr>
                <w:sz w:val="20"/>
                <w:szCs w:val="20"/>
                <w:color w:val="auto"/>
              </w:rPr>
            </w:pPr>
            <w:r>
              <w:rPr>
                <w:rFonts w:ascii="Times New Roman" w:cs="Times New Roman" w:eastAsia="Times New Roman" w:hAnsi="Times New Roman"/>
                <w:sz w:val="14"/>
                <w:szCs w:val="14"/>
                <w:b w:val="1"/>
                <w:bCs w:val="1"/>
                <w:color w:val="auto"/>
              </w:rPr>
              <w:t>San Francisco, CA 94104</w:t>
            </w:r>
          </w:p>
        </w:tc>
        <w:tc>
          <w:tcPr>
            <w:tcW w:w="4980" w:type="dxa"/>
            <w:vAlign w:val="bottom"/>
          </w:tcPr>
          <w:p>
            <w:pPr>
              <w:jc w:val="center"/>
              <w:ind w:left="2925"/>
              <w:spacing w:after="0" w:line="149" w:lineRule="exact"/>
              <w:rPr>
                <w:sz w:val="20"/>
                <w:szCs w:val="20"/>
                <w:color w:val="auto"/>
              </w:rPr>
            </w:pPr>
            <w:r>
              <w:rPr>
                <w:rFonts w:ascii="Times New Roman" w:cs="Times New Roman" w:eastAsia="Times New Roman" w:hAnsi="Times New Roman"/>
                <w:sz w:val="14"/>
                <w:szCs w:val="14"/>
                <w:b w:val="1"/>
                <w:bCs w:val="1"/>
                <w:color w:val="auto"/>
              </w:rPr>
              <w:t>South San Francisco, CA 94080</w:t>
            </w:r>
          </w:p>
        </w:tc>
      </w:tr>
      <w:tr>
        <w:trPr>
          <w:trHeight w:val="190"/>
        </w:trPr>
        <w:tc>
          <w:tcPr>
            <w:tcW w:w="2340" w:type="dxa"/>
            <w:vAlign w:val="bottom"/>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(415) 875-2300</w:t>
            </w:r>
          </w:p>
        </w:tc>
        <w:tc>
          <w:tcPr>
            <w:tcW w:w="4980" w:type="dxa"/>
            <w:vAlign w:val="bottom"/>
          </w:tcPr>
          <w:p>
            <w:pPr>
              <w:jc w:val="center"/>
              <w:ind w:left="2925"/>
              <w:spacing w:after="0"/>
              <w:rPr>
                <w:sz w:val="20"/>
                <w:szCs w:val="20"/>
                <w:color w:val="auto"/>
              </w:rPr>
            </w:pPr>
            <w:r>
              <w:rPr>
                <w:rFonts w:ascii="Times New Roman" w:cs="Times New Roman" w:eastAsia="Times New Roman" w:hAnsi="Times New Roman"/>
                <w:sz w:val="14"/>
                <w:szCs w:val="14"/>
                <w:b w:val="1"/>
                <w:bCs w:val="1"/>
                <w:color w:val="auto"/>
              </w:rPr>
              <w:t>(650) 243-6300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1" w:lineRule="exact"/>
        <w:rPr>
          <w:sz w:val="24"/>
          <w:szCs w:val="24"/>
          <w:color w:val="auto"/>
        </w:rPr>
      </w:pPr>
    </w:p>
    <w:p>
      <w:pPr>
        <w:ind w:left="120" w:right="22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From time to time after this registration statement becomes effective, as determined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market conditions and other factors.</w:t>
      </w:r>
    </w:p>
    <w:p>
      <w:pPr>
        <w:spacing w:after="0" w:line="1" w:lineRule="exact"/>
        <w:rPr>
          <w:sz w:val="24"/>
          <w:szCs w:val="24"/>
          <w:color w:val="auto"/>
        </w:rPr>
      </w:pPr>
    </w:p>
    <w:p>
      <w:pPr>
        <w:ind w:left="560"/>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12" w:lineRule="exact"/>
        <w:rPr>
          <w:sz w:val="24"/>
          <w:szCs w:val="24"/>
          <w:color w:val="auto"/>
        </w:rPr>
      </w:pPr>
    </w:p>
    <w:p>
      <w:pPr>
        <w:ind w:left="120" w:right="18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as amended, or the Securities Act,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42" w:lineRule="exact"/>
        <w:rPr>
          <w:sz w:val="24"/>
          <w:szCs w:val="24"/>
          <w:color w:val="auto"/>
        </w:rPr>
      </w:pPr>
    </w:p>
    <w:p>
      <w:pPr>
        <w:ind w:left="120" w:right="28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55" w:lineRule="exact"/>
        <w:rPr>
          <w:sz w:val="24"/>
          <w:szCs w:val="24"/>
          <w:color w:val="auto"/>
        </w:rPr>
      </w:pPr>
    </w:p>
    <w:p>
      <w:pPr>
        <w:ind w:left="120" w:right="18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2" w:lineRule="exact"/>
        <w:rPr>
          <w:sz w:val="24"/>
          <w:szCs w:val="24"/>
          <w:color w:val="auto"/>
        </w:rPr>
      </w:pPr>
    </w:p>
    <w:p>
      <w:pPr>
        <w:ind w:left="120" w:right="14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42" w:lineRule="exact"/>
        <w:rPr>
          <w:sz w:val="24"/>
          <w:szCs w:val="24"/>
          <w:color w:val="auto"/>
        </w:rPr>
      </w:pPr>
    </w:p>
    <w:p>
      <w:pPr>
        <w:ind w:left="120" w:right="18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55" w:lineRule="exact"/>
        <w:rPr>
          <w:sz w:val="24"/>
          <w:szCs w:val="24"/>
          <w:color w:val="auto"/>
        </w:rPr>
      </w:pPr>
    </w:p>
    <w:p>
      <w:pPr>
        <w:jc w:val="both"/>
        <w:ind w:left="120" w:firstLine="4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w:t>
      </w:r>
    </w:p>
    <w:p>
      <w:pPr>
        <w:spacing w:after="0" w:line="16" w:lineRule="exact"/>
        <w:rPr>
          <w:sz w:val="24"/>
          <w:szCs w:val="24"/>
          <w:color w:val="auto"/>
        </w:rPr>
      </w:pPr>
    </w:p>
    <w:tbl>
      <w:tblPr>
        <w:tblLayout w:type="fixed"/>
        <w:tblInd w:w="120" w:type="dxa"/>
        <w:tblCellMar>
          <w:top w:w="0" w:type="dxa"/>
          <w:left w:w="0" w:type="dxa"/>
          <w:bottom w:w="0" w:type="dxa"/>
          <w:right w:w="0" w:type="dxa"/>
        </w:tblCellMar>
      </w:tblPr>
      <w:tr>
        <w:trPr>
          <w:trHeight w:val="254"/>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340"/>
              <w:spacing w:after="0"/>
              <w:rPr>
                <w:sz w:val="20"/>
                <w:szCs w:val="20"/>
                <w:color w:val="auto"/>
              </w:rPr>
            </w:pPr>
            <w:r>
              <w:rPr>
                <w:rFonts w:ascii="Times New Roman" w:cs="Times New Roman" w:eastAsia="Times New Roman" w:hAnsi="Times New Roman"/>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3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320" w:type="dxa"/>
            <w:vAlign w:val="bottom"/>
          </w:tcPr>
          <w:p>
            <w:pPr>
              <w:ind w:left="3340"/>
              <w:spacing w:after="0"/>
              <w:rPr>
                <w:sz w:val="20"/>
                <w:szCs w:val="20"/>
                <w:color w:val="auto"/>
              </w:rPr>
            </w:pPr>
            <w:r>
              <w:rPr>
                <w:rFonts w:ascii="Times New Roman" w:cs="Times New Roman" w:eastAsia="Times New Roman" w:hAnsi="Times New Roman"/>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2" w:lineRule="exact"/>
        <w:rPr>
          <w:sz w:val="24"/>
          <w:szCs w:val="24"/>
          <w:color w:val="auto"/>
        </w:rPr>
      </w:pPr>
    </w:p>
    <w:p>
      <w:pPr>
        <w:ind w:left="120" w:right="34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78105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121285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00"/>
          </w:cols>
          <w:pgMar w:left="320" w:top="226" w:right="479" w:bottom="111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173990</wp:posOffset>
            </wp:positionV>
            <wp:extent cx="1920240" cy="13887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2024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43"/>
          <w:szCs w:val="43"/>
          <w:b w:val="1"/>
          <w:bCs w:val="1"/>
          <w:color w:val="auto"/>
        </w:rPr>
        <w:t>VERACYTE, INC.</w:t>
      </w:r>
    </w:p>
    <w:p>
      <w:pPr>
        <w:spacing w:after="0" w:line="13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Common Stock, Preferred Stock,</w:t>
      </w:r>
    </w:p>
    <w:p>
      <w:pPr>
        <w:spacing w:after="0" w:line="4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Debt Securities, Warrants,</w:t>
      </w:r>
    </w:p>
    <w:p>
      <w:pPr>
        <w:spacing w:after="0" w:line="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Subscription Rights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may, from time to time, offer and sell common stock, preferred stock, debt securities, warrants, subscription rights, and/or units consisting of some or all of these securities, in any combination, together or separately, in one or more offerings. The preferred stock, debt securities and warrants may be convertible into or exercisable or exchangeable for common or preferred stock or debt securities. The subscription rights may be exercisable for common or preferred stock. We will specify in an accompanying prospectus supplement more specific information about any such offering.</w:t>
      </w:r>
    </w:p>
    <w:p>
      <w:pPr>
        <w:spacing w:after="0" w:line="7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certain selling securityholders to be identified in a prospectus supplement may use this prospectus from time to time to offer shares of our common stock. Unless the applicable prospectus supplement provides otherwise, we will not receive any proceeds from the sale of common stock by the selling securityholders.</w:t>
      </w:r>
    </w:p>
    <w:p>
      <w:pPr>
        <w:spacing w:after="0" w:line="68"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You should read this document and any prospectus supplement or amendment carefully before you invest in our securities. Neither we nor any selling securityholders may use this prospectus to sell securities unless it includes a prospectus supplement.</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“VCYT.”</w:t>
      </w:r>
    </w:p>
    <w:p>
      <w:pPr>
        <w:spacing w:after="0" w:line="104" w:lineRule="exact"/>
        <w:rPr>
          <w:sz w:val="20"/>
          <w:szCs w:val="20"/>
          <w:color w:val="auto"/>
        </w:rPr>
      </w:pPr>
    </w:p>
    <w:p>
      <w:pPr>
        <w:ind w:left="120" w:right="120" w:firstLine="440"/>
        <w:spacing w:after="0" w:line="24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securities involves risks. See the section entitled “</w:t>
      </w:r>
      <w:hyperlink w:anchor="page7">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on page 4 of this prospectus. You should carefully review the risks and uncertainties described under the heading “Risk Factors” contained in the applicable prospectus supplement and any related free writing prospectus, and under similar headings in the other documents that are incorporated or deemed incorporated by reference into this prospectus.</w:t>
      </w:r>
    </w:p>
    <w:p>
      <w:pPr>
        <w:spacing w:after="0" w:line="77"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The securities described in this prospectus may be offered and sold to or through underwriters, dealers or agents as designated from time to time, or directly to one or more other purchasers or through a combination of such methods. See “Plan of Distribution” on page 19.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5"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regulators have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121285</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date of this prospectus is February 3, 2021.</w:t>
      </w:r>
    </w:p>
    <w:p>
      <w:pPr>
        <w:sectPr>
          <w:pgSz w:w="11900" w:h="16838" w:orient="portrait"/>
          <w:cols w:equalWidth="0" w:num="1">
            <w:col w:w="11060"/>
          </w:cols>
          <w:pgMar w:left="320" w:top="455" w:right="5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74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tc>
        <w:tc>
          <w:tcPr>
            <w:tcW w:w="2340" w:type="dxa"/>
            <w:vAlign w:val="bottom"/>
          </w:tcPr>
          <w:p>
            <w:pPr>
              <w:spacing w:after="0"/>
              <w:rPr>
                <w:sz w:val="20"/>
                <w:szCs w:val="20"/>
                <w:color w:val="auto"/>
              </w:rPr>
            </w:pPr>
          </w:p>
        </w:tc>
      </w:tr>
      <w:tr>
        <w:trPr>
          <w:trHeight w:val="513"/>
        </w:trPr>
        <w:tc>
          <w:tcPr>
            <w:tcW w:w="874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4"/>
                <w:szCs w:val="24"/>
                <w:color w:val="auto"/>
              </w:rPr>
            </w:pPr>
          </w:p>
        </w:tc>
      </w:tr>
      <w:tr>
        <w:trPr>
          <w:trHeight w:val="437"/>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ABOUT THIS PROSPECTUS</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PROSPECTUS SUMMARY</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7">
              <w:r>
                <w:rPr>
                  <w:rFonts w:ascii="Times New Roman" w:cs="Times New Roman" w:eastAsia="Times New Roman" w:hAnsi="Times New Roman"/>
                  <w:sz w:val="18"/>
                  <w:szCs w:val="18"/>
                  <w:b w:val="1"/>
                  <w:bCs w:val="1"/>
                  <w:u w:val="single" w:color="auto"/>
                  <w:color w:val="0000EE"/>
                </w:rPr>
                <w:t>RISK FACTORS</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7">
              <w:r>
                <w:rPr>
                  <w:rFonts w:ascii="Times New Roman" w:cs="Times New Roman" w:eastAsia="Times New Roman" w:hAnsi="Times New Roman"/>
                  <w:sz w:val="18"/>
                  <w:szCs w:val="18"/>
                  <w:b w:val="1"/>
                  <w:bCs w:val="1"/>
                  <w:u w:val="single" w:color="auto"/>
                  <w:color w:val="0000EE"/>
                </w:rPr>
                <w:t>FORWARD-LOOKING STATEMENTS</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8">
              <w:r>
                <w:rPr>
                  <w:rFonts w:ascii="Times New Roman" w:cs="Times New Roman" w:eastAsia="Times New Roman" w:hAnsi="Times New Roman"/>
                  <w:sz w:val="18"/>
                  <w:szCs w:val="18"/>
                  <w:b w:val="1"/>
                  <w:bCs w:val="1"/>
                  <w:u w:val="single" w:color="auto"/>
                  <w:color w:val="0000EE"/>
                </w:rPr>
                <w:t>USE OF PROCEEDS</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8">
              <w:r>
                <w:rPr>
                  <w:rFonts w:ascii="Times New Roman" w:cs="Times New Roman" w:eastAsia="Times New Roman" w:hAnsi="Times New Roman"/>
                  <w:sz w:val="18"/>
                  <w:szCs w:val="18"/>
                  <w:b w:val="1"/>
                  <w:bCs w:val="1"/>
                  <w:u w:val="single" w:color="auto"/>
                  <w:color w:val="0000EE"/>
                </w:rPr>
                <w:t>SECURITIES WE MAY OFFER</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9">
              <w:r>
                <w:rPr>
                  <w:rFonts w:ascii="Times New Roman" w:cs="Times New Roman" w:eastAsia="Times New Roman" w:hAnsi="Times New Roman"/>
                  <w:sz w:val="18"/>
                  <w:szCs w:val="18"/>
                  <w:b w:val="1"/>
                  <w:bCs w:val="1"/>
                  <w:u w:val="single" w:color="auto"/>
                  <w:color w:val="0000EE"/>
                </w:rPr>
                <w:t>DESCRIPTION OF COMMON STOCK</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11">
              <w:r>
                <w:rPr>
                  <w:rFonts w:ascii="Times New Roman" w:cs="Times New Roman" w:eastAsia="Times New Roman" w:hAnsi="Times New Roman"/>
                  <w:sz w:val="18"/>
                  <w:szCs w:val="18"/>
                  <w:b w:val="1"/>
                  <w:bCs w:val="1"/>
                  <w:u w:val="single" w:color="auto"/>
                  <w:color w:val="0000EE"/>
                </w:rPr>
                <w:t>DESCRIPTION OF PREFERRED STOCK</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12">
              <w:r>
                <w:rPr>
                  <w:rFonts w:ascii="Times New Roman" w:cs="Times New Roman" w:eastAsia="Times New Roman" w:hAnsi="Times New Roman"/>
                  <w:sz w:val="18"/>
                  <w:szCs w:val="18"/>
                  <w:b w:val="1"/>
                  <w:bCs w:val="1"/>
                  <w:u w:val="single" w:color="auto"/>
                  <w:color w:val="0000EE"/>
                </w:rPr>
                <w:t>DESCRIPTION OF DEBT SECURITIES</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20">
              <w:r>
                <w:rPr>
                  <w:rFonts w:ascii="Times New Roman" w:cs="Times New Roman" w:eastAsia="Times New Roman" w:hAnsi="Times New Roman"/>
                  <w:sz w:val="18"/>
                  <w:szCs w:val="18"/>
                  <w:b w:val="1"/>
                  <w:bCs w:val="1"/>
                  <w:u w:val="single" w:color="auto"/>
                  <w:color w:val="0000EE"/>
                </w:rPr>
                <w:t>DESCRIPTION OF WARRANTS</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21">
              <w:r>
                <w:rPr>
                  <w:rFonts w:ascii="Times New Roman" w:cs="Times New Roman" w:eastAsia="Times New Roman" w:hAnsi="Times New Roman"/>
                  <w:sz w:val="18"/>
                  <w:szCs w:val="18"/>
                  <w:b w:val="1"/>
                  <w:bCs w:val="1"/>
                  <w:u w:val="single" w:color="auto"/>
                  <w:color w:val="0000EE"/>
                </w:rPr>
                <w:t>DESCRIPTION OF SUBSCRIPTION RIGHTS</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22">
              <w:r>
                <w:rPr>
                  <w:rFonts w:ascii="Times New Roman" w:cs="Times New Roman" w:eastAsia="Times New Roman" w:hAnsi="Times New Roman"/>
                  <w:sz w:val="18"/>
                  <w:szCs w:val="18"/>
                  <w:b w:val="1"/>
                  <w:bCs w:val="1"/>
                  <w:u w:val="single" w:color="auto"/>
                  <w:color w:val="0000EE"/>
                </w:rPr>
                <w:t>DESCRIPTION OF UNITS</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22">
              <w:r>
                <w:rPr>
                  <w:rFonts w:ascii="Times New Roman" w:cs="Times New Roman" w:eastAsia="Times New Roman" w:hAnsi="Times New Roman"/>
                  <w:sz w:val="18"/>
                  <w:szCs w:val="18"/>
                  <w:b w:val="1"/>
                  <w:bCs w:val="1"/>
                  <w:u w:val="single" w:color="auto"/>
                  <w:color w:val="0000EE"/>
                </w:rPr>
                <w:t>SELLING SECURITYHOLDERS</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22">
              <w:r>
                <w:rPr>
                  <w:rFonts w:ascii="Times New Roman" w:cs="Times New Roman" w:eastAsia="Times New Roman" w:hAnsi="Times New Roman"/>
                  <w:sz w:val="18"/>
                  <w:szCs w:val="18"/>
                  <w:b w:val="1"/>
                  <w:bCs w:val="1"/>
                  <w:u w:val="single" w:color="auto"/>
                  <w:color w:val="0000EE"/>
                </w:rPr>
                <w:t>PLAN OF DISTRIBUTION</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24">
              <w:r>
                <w:rPr>
                  <w:rFonts w:ascii="Times New Roman" w:cs="Times New Roman" w:eastAsia="Times New Roman" w:hAnsi="Times New Roman"/>
                  <w:sz w:val="18"/>
                  <w:szCs w:val="18"/>
                  <w:b w:val="1"/>
                  <w:bCs w:val="1"/>
                  <w:u w:val="single" w:color="auto"/>
                  <w:color w:val="0000EE"/>
                </w:rPr>
                <w:t>LEGAL MATTERS</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24">
              <w:r>
                <w:rPr>
                  <w:rFonts w:ascii="Times New Roman" w:cs="Times New Roman" w:eastAsia="Times New Roman" w:hAnsi="Times New Roman"/>
                  <w:sz w:val="18"/>
                  <w:szCs w:val="18"/>
                  <w:b w:val="1"/>
                  <w:bCs w:val="1"/>
                  <w:u w:val="single" w:color="auto"/>
                  <w:color w:val="0000EE"/>
                </w:rPr>
                <w:t>EXPERTS</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24">
              <w:r>
                <w:rPr>
                  <w:rFonts w:ascii="Times New Roman" w:cs="Times New Roman" w:eastAsia="Times New Roman" w:hAnsi="Times New Roman"/>
                  <w:sz w:val="18"/>
                  <w:szCs w:val="18"/>
                  <w:b w:val="1"/>
                  <w:bCs w:val="1"/>
                  <w:u w:val="single" w:color="auto"/>
                  <w:color w:val="0000EE"/>
                </w:rPr>
                <w:t>WHERE YOU CAN FIND MORE INFORMATION</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8"/>
        </w:trPr>
        <w:tc>
          <w:tcPr>
            <w:tcW w:w="874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25">
              <w:r>
                <w:rPr>
                  <w:rFonts w:ascii="Times New Roman" w:cs="Times New Roman" w:eastAsia="Times New Roman" w:hAnsi="Times New Roman"/>
                  <w:sz w:val="18"/>
                  <w:szCs w:val="18"/>
                  <w:b w:val="1"/>
                  <w:bCs w:val="1"/>
                  <w:u w:val="single" w:color="auto"/>
                  <w:color w:val="0000EE"/>
                </w:rPr>
                <w:t>INCORPORATION OF INFORMATION BY REFERENCE</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jc w:val="right"/>
        <w:spacing w:after="0"/>
        <w:rPr>
          <w:sz w:val="20"/>
          <w:szCs w:val="20"/>
          <w:color w:val="auto"/>
        </w:rPr>
        <w:sectPr>
          <w:pgSz w:w="11900" w:h="16838" w:orient="portrait"/>
          <w:cols w:equalWidth="0" w:num="1">
            <w:col w:w="11080"/>
          </w:cols>
          <w:pgMar w:left="320" w:top="455"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This prospectus is part of an automatic registration statement on Form S-3 that we filed with the SEC, using a “shelf” registration, or continuous offering, process under the Securities Act of 1933, as amended, or the Securities Act. Under this shelf registration process, we may, from time to time, offer and sell separately or together in any combination the securities described in this prospectus in one or more offerings, and selling securityholders may sell our common stock from time to time in one or more offerings.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or the selling securityholders may offer. Each time we or the selling securityholders sell securities, we will provide one or more prospectus supplements that will contain specific information about the terms of the offering. We may also authorize one or more free writing prospectuses to be provided to you in connection with these offerings. Any prospectus supplement and any free writing prospectus may also add, update or change information contained in this prospectus. You should read this prospectus, the information incorporated, or deemed to be incorporated, by reference in this prospectus, the accompanying prospectus supplement and any free writing prospectus, together with the additional information described under the heading “Where You Can Find More Information,” before making your investment decision.</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any accompanying prospectus supplement or in any related free writing prospectus filed by us with the SEC. We and the selling securityholders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operating results and prospects may have changed materially since those dates.</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prospectus and the accompanying prospectus supplement to “Veracyte,” the “company,” “we,” “us” and “our” refer to Veracyte, Inc.</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Veracyte, Afirma, Percepta, Envisia, Prosigna, Know by Design and the Veracyte, Afirma, Percepta, Envisia and Prosigna logos, among others, are our registered trademarks in the United States and other countries. We also have common law rights and pending trademark applications for LymphMark and More About You. This prospectus and the documents incorporated by reference into this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This summary does not contain all of the information that you should consider before investing in our securities. You should carefully read this entire prospectus and the information incorporated by reference in this prospectus, including “Risk Factors” and the financial data and related notes and other information incorporated by reference, before making an investment decision.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are a global genomic diagnostics company that improves patient care by answering important clinical questions to inform diagnosis and treatment decisions throughout the patient journey in cancer and other diseases. Our growing menu of tests leverages advances in genomic science and machine learning technology to change care for patients, enabling them to avoid risky, costly procedures and reduce time to appropriate treatment. In addition to making our genomic tests available in the United States through our central laboratory, our exclusive license to the nCounter Analysis System, which we believe to be a best-in-class diagnostics platform, positions us to deliver our tests to patients worldwide through laboratories and hospitals that can perform the tests locally. We estimate that our current and near-term pipeline products address an estimated $10 billion global market and that our longer-term pipeline products will enable us to address an estimated $50 billion global market.</w:t>
      </w:r>
    </w:p>
    <w:p>
      <w:pPr>
        <w:spacing w:after="0" w:line="189" w:lineRule="exact"/>
        <w:rPr>
          <w:sz w:val="20"/>
          <w:szCs w:val="20"/>
          <w:color w:val="auto"/>
        </w:rPr>
      </w:pPr>
    </w:p>
    <w:p>
      <w:pPr>
        <w:ind w:left="120" w:right="380" w:firstLine="440"/>
        <w:spacing w:after="0" w:line="289" w:lineRule="auto"/>
        <w:rPr>
          <w:sz w:val="20"/>
          <w:szCs w:val="20"/>
          <w:color w:val="auto"/>
        </w:rPr>
      </w:pPr>
      <w:r>
        <w:rPr>
          <w:rFonts w:ascii="Times New Roman" w:cs="Times New Roman" w:eastAsia="Times New Roman" w:hAnsi="Times New Roman"/>
          <w:sz w:val="17"/>
          <w:szCs w:val="17"/>
          <w:color w:val="auto"/>
        </w:rPr>
        <w:t>We design our tests to answer critical questions in the diagnosis, prognosis and treatment of cancer and other diseases and improve patient outcomes. We deliver clinical and economic utility to patients, physicians and payers, thereby helping to eliminate unnecessary costs burdening the healthcare system. We position our tests to integrate seamlessly into the way physicians currently evaluate patients in order to facilitate adoption.</w:t>
      </w:r>
    </w:p>
    <w:p>
      <w:pPr>
        <w:spacing w:after="0" w:line="15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develop our genomic tests using advanced scientific methods, such as ribonucleic acid, or RNA, whole-transcriptome sequencing and machine learning, and then optimize the assays and classifiers for the platform on which the test will be performed. Historically, we have utilized RNA sequencing methods performed in our CLIA laboratory in South San Francisco, California. Beginning in 2021, we expect to adapt select tests to be performed on the nCounter Analysis System for international distribution of our tests.</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believe our powerful scientific platform provides multiple vectors to create value for patients, providers and payers, as well as stockholders, and to help advance precision medicine:</w:t>
      </w:r>
    </w:p>
    <w:p>
      <w:pPr>
        <w:spacing w:after="0" w:line="189" w:lineRule="exact"/>
        <w:rPr>
          <w:sz w:val="20"/>
          <w:szCs w:val="20"/>
          <w:color w:val="auto"/>
        </w:rPr>
      </w:pPr>
    </w:p>
    <w:p>
      <w:pPr>
        <w:ind w:left="1080" w:right="20" w:hanging="424"/>
        <w:spacing w:after="0" w:line="258"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Unique Biorepositories—When we develop new tests, we build extensive, robust biorepositories of patient-consented samples and well-curated clinical, radiological, outcome and other information from Institutional Review Board-approved clinical trials to inform our discovery and validation efforts. Our biorepositories are designed to encompass the broad spectrum of disease that our tests may encounter when used in clinical practice, as well as the wide range of conditions associated with patients who are suspected of having a particular disease. We extract extensive genomic information from these patient samples using our RNA whole-transcriptome sequencing platform.</w:t>
      </w:r>
    </w:p>
    <w:p>
      <w:pPr>
        <w:spacing w:after="0" w:line="210"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Technology and Bioinformatics—For biomarker discovery and product development, we utilize machine learning to select the genomic, clinical or other features from our biorepository that best distinguish the condition we are trying to identify. This enables us to develop high-performing genomic classifiers that can answer specific clinical questions. In addition, our bioinformatics pipelines are built to extract genomic variant content from the same assay to inform therapeutic selection.</w:t>
      </w:r>
    </w:p>
    <w:p>
      <w:pPr>
        <w:spacing w:after="0" w:line="206"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High-Performing Commercial Genomic Tests—With the exception of Prosigna, which competes with a first-to-market test in a highly competitive environment, our genomic tests generally serve large, untapped markets where they are changing the diagnostic and treatment paradigm for patients. The majority of our genomic testing business stems from our CLIA certified laboratory serving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100"/>
        <w:spacing w:after="0" w:line="261" w:lineRule="auto"/>
        <w:rPr>
          <w:sz w:val="20"/>
          <w:szCs w:val="20"/>
          <w:color w:val="auto"/>
        </w:rPr>
      </w:pPr>
      <w:r>
        <w:rPr>
          <w:rFonts w:ascii="Times New Roman" w:cs="Times New Roman" w:eastAsia="Times New Roman" w:hAnsi="Times New Roman"/>
          <w:sz w:val="18"/>
          <w:szCs w:val="18"/>
          <w:color w:val="auto"/>
        </w:rPr>
        <w:t>United States market. We believe the nCounter Analysis System affords us the opportunity to adapt our test menu for multiple markets globally, providing flexibility for a global distributed testing model and increased efficiency in our United States-based CLIA lab. Our RNA sequencing platform enables us to offer testing from our CLIA lab for a broad range of gene alterations, which can inform treatment decisions at the time of diagnosis.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currently offer commercialized genomic tests in four clinical indications that we believe are changing disease diagnosis and patient care. All of our commercial tests are available in the United States and one is available internationally. These include the Afirma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Genomic Sequencing Classifier, or GSC, and the Xpression Atlas, or XA, designed to improve diagnosis of and inform treatment decisions, respectively, for thyroid cancer; the Percepta GSC for lung cancer; the Envisia Genomic Classifier for interstitial lung disease, or ILD, and idiopathic pulmonary fibrosis, or IPF; and the Prosigna Breast Cancer Assay for assessing risk of breast cancer distant recurrence. The Prosigna test is available for use on the nCounter Analysis System internationally and in the United States. Our investigational LymphMark lymphoma subtyping is also intended for use on the nCounter Analysis System and is expected to launch in 2021.</w:t>
      </w:r>
    </w:p>
    <w:p>
      <w:pPr>
        <w:spacing w:after="0" w:line="18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believe our focus on developing clinically useful tests that change patient care is enabling us to set new standards in genomic test reimbursement. Our genomic classifiers in thyroid cancer, lung cancer and IPF, as well as the Prosigna breast cancer assay, are covered by Medicare. Our Afirma classifier, for use in thyroid cancer diagnosis, is now covered by every major health plan in the United States, which collectively insure more than 275 million people. We are contracted as an in-network service provider to health plans representing over 225 million people in the United States. We believe that our in-network status with private payers will help facilitate private insurer reimbursement for our Percepta and Envisia classifiers. The Prosigna test is covered by leading private payers in the United States and is widely reimbursed by government and private payers in the countries where it is available.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121"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We were incorporated in Delaware as Calderome, Inc. in August 2006. Calderome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We do not incorporate the information on, or accessible through, our website into this prospectus, and you should not consider any information on, or accessible through, our website as part of this prospectus.</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risk. The prospectus supplement relating to a particular offering will contain a discussion of risks applicable to an investment in the securities offered. Prior to making a decision about investing in our securities, you should carefully consider the specific factors discussed under the heading “Risk Factors” in the applicable prospectus supplement together with all of the other information contained in the prospectus supplement or appearing or incorporated by reference in this prospectus. You should also consider the risks, uncertainties and assumptions discussed under Part II, Item 1A, “Risk Factors,” in our Quarterly Report on Form 10-Q for the quarterly period ended September 30, 2020, which is incorporated herein by reference, and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When used in this prospectus and documents incorporated herein by reference, the words “expects,” “believes,” “anticipates,” “estimates,” “may,” “could,” “intends,” and similar expressions are intended to identify forward-looking statements. These statements are subject to known and unknown risks and uncertainties that could cause actual results to differ materially from those projected or otherwise implied by the forward-looking statements. These forward-looking statements speak only as of the date of this prospectus. Given these risks and uncertainties, you should not place undue reliance on these forward-looking statements. We will discuss many of these risks and uncertainties in greater detail in any prospectus supplement under the heading “Risk Factors.” Additional cautionary statements or discussions of risks and uncertainties that could affect our results or the achievement of the expectations described in forward-looking statements may also be contained in the documents we incorporate by reference into this prospectus.</w:t>
      </w:r>
    </w:p>
    <w:p>
      <w:pPr>
        <w:spacing w:after="0" w:line="17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the current beliefs and expectations of our management and speak only as of the date of this prospectus.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You should, however, review additional disclosures we make in our Annual Report on Form 10-K, Quarterly Reports on Form 10-Q, and Current Reports on Form 8-K filed with the SEC.</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we intend to use the net proceeds from the sale of the securities offered by us pursuant to this prospectus for general corporate purposes. General corporate purposes may include additions to working capital, financing of capital expenditures, repayment or redemption of existing indebtedness, and future acquisitions and strategic investment opportunities. Unless we state otherwise in the applicable prospectus supplement, pending the application of net proceeds, we expect to invest the net proceeds in short- and intermediate-term, interest-bearing obligations, investment-grade instruments, certificates of deposit or direct or guaranteed obligations of the U.S. government.</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prospectus supplement, we will not receive any of the proceeds from any sale of our common stock by selling securityholders.</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WE MAY OFFER</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may offer common stock, preferred stock, debt securities, warrants, subscription rights, and/or units consisting of some or all of these securities, in any combination, together or separately, in one or more offerings. Selling securityholders may also offer shares of our common stock in one or more offerings This prospectus provides you with a general description of the securities we or the selling securityholders may offer. A prospectus supplement, which we will provide each time we offer securities, will describe the specific amounts, prices and terms of these securities.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or selling securityholders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the shares of our common stock, par value $0.001 per share. This description is only a summary and is qualified in its entirety by reference to the description of our common stock incorporated by reference in this prospectus. Our restated certificate of incorporation and our bylaws have been filed as exhibits to our periodic reports filed with the SEC, which are incorporated by reference in this prospectus. You should read our restated certificate of incorporation and our bylaws for additional information before you buy any of our common stock or other securities. See “Where You Can Find More Information.”</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125,000,000 shares of authorized common stock. As of September 30, 2020, there were 57,813,833 shares of common stock issued and outstanding. Each holder of common stock is entitled to one vote for each share of common stock held on all matters submitted to a vote of stockholders. We have not provided for cumulative voting for the election of directors in our restated certificate of incorporation. This means that the holders of a majority of the shares voted can elect all of the directors then standing for election. 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the common stock. All outstanding shares of common stock are fully paid and nonassessable.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Restated Certificate of Incorporation and Bylaws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Certain provisions of Delaware law, our restated certificate of incorporation and our amended and restated bylaws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persons seeking to acquire control of us to first negotiate with our board of directors.</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Certificate of Incorporation and Bylaws</w:t>
      </w:r>
      <w:r>
        <w:rPr>
          <w:rFonts w:ascii="Times New Roman" w:cs="Times New Roman" w:eastAsia="Times New Roman" w:hAnsi="Times New Roman"/>
          <w:sz w:val="18"/>
          <w:szCs w:val="18"/>
          <w:color w:val="auto"/>
        </w:rPr>
        <w:t>. Our restated certificate of incorporation and amended and restated bylaws include provisions that:</w:t>
      </w:r>
    </w:p>
    <w:p>
      <w:pPr>
        <w:spacing w:after="0" w:line="133" w:lineRule="exact"/>
        <w:rPr>
          <w:sz w:val="20"/>
          <w:szCs w:val="20"/>
          <w:color w:val="auto"/>
        </w:rPr>
      </w:pPr>
    </w:p>
    <w:p>
      <w:pPr>
        <w:ind w:left="1080" w:right="3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up to 5,000,000 shares of undesignated preferred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our chairman of the board, or our chief executive officer;</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Class I, Class II and Class III, with each class serving staggered terms;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except as otherwise required by law, be filled only by a majority of directors then in office, even if less than a quorum;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of votes to amend certain of the above-mentioned provisions.</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40"/>
          </w:cols>
          <w:pgMar w:left="320" w:top="455" w:right="5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2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Delaware Law</w:t>
      </w:r>
      <w:r>
        <w:rPr>
          <w:rFonts w:ascii="Times New Roman" w:cs="Times New Roman" w:eastAsia="Times New Roman" w:hAnsi="Times New Roman"/>
          <w:sz w:val="18"/>
          <w:szCs w:val="18"/>
          <w:color w:val="auto"/>
        </w:rPr>
        <w:t>. We are subject to the provisions of Section 203 of the General Corporation Law of the State of Delaware regulating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takeovers. In general, those provisions prohibit a publicly-held Delaware corporation from engaging in any business combination with any interested stockholder for a period of three years following the date that the stockholder became an interested stockholder, unless:</w:t>
      </w:r>
    </w:p>
    <w:p>
      <w:pPr>
        <w:spacing w:after="0" w:line="81"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board of directors of the corporation before the date the interested stockholder attained that status;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88"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date the business combination is approved by the board of directors of the corporation and authorized at a meeting of stockholders by at least 66-2/3% of the outstanding voting stock that is not owned by the interested stockholder.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Section 203 defines “business combination” to include the following:</w:t>
      </w:r>
    </w:p>
    <w:p>
      <w:pPr>
        <w:spacing w:after="0" w:line="131"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252"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188"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188"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 Delaware corporation may opt out of these provisions either with an express provision in its original certificate of incorporation or in an amendment to its certificate of incorporation or bylaws approved by its stockholders. However, we have not opted out, and do not currently intend to opt out of, these provisions. The statute could prohibit or delay mergers or other takeover or change in control attempts and, accordingly, may discourage attempts to acquire 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Broadridge Corporate Issuer Solutions, Inc.</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9"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2020, our authorized preferred stock, par value $0.001 per share, was 5,000,000 shares, none of which were issued and outstanding. We may issue preferred stock, in series, with such designations, powers, preferences and other rights and qualifications, limitations or restrictions as our board of directors may authorize, without further action by our stockholders, including:</w:t>
      </w:r>
    </w:p>
    <w:p>
      <w:pPr>
        <w:spacing w:after="0" w:line="81"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distinctive designation of each series and the number of shares that will constitute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shares of the series and the terms and conditions of the voting rights;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on the shares of the series, the dates on which dividends are payable, any restriction, limitation or condition upon the payment of dividends, whether dividends will be cumulative, and the dates from and after which dividends shall accumulate;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and the terms and conditions on which, the shares of the series may be redeemed, if the shares are redeemable;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a sinking or purchase fund for the purchase or redemption of shares of the series, if such a fund is provided;</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preferential amount payable upon shares of the series in the event of the liquidation, dissolution or winding up of, or upon the distribution of any of our assets;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or rates of conversion or exchange at which, and the terms and conditions on which, the shares of the series may be converted or exchanged into other securities, if the shares are convertible or exchangeable.</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particular terms of any series of preferred stock, and the transfer agent and registrar for that series, will be described in a prospectus supplement. Any material United States federal income tax consequences and other special considerations with respect to any preferred stock offered under this prospectus will also be described in the applicable prospectus supplement.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80"/>
          </w:cols>
          <w:pgMar w:left="320" w:top="455" w:right="49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general terms of the debt securities we may offer. We will file a prospectus supplement that may contain additional terms when we issue debt securities. The terms presented here, together with the terms in the applicable prospectus supplement, together with any free writing prospectus or term sheet, will be a description of the material terms of the debt securities.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may issue, from time to time, debt securities, in one or more series. These debt securities that we may issue include senior debt securities, senior subordinated debt securities, subordinated debt securities, convertible debt securities and exchangeable debt securities. The following is a summary of the material provisions of the form of indenture filed as an exhibit to the registration statement of which this prospectus is a part. For each series of debt securities, the applicable prospectus supplement for the series may change and supplement the summary below.</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this section only, “we,” “us” and “our” refer to Veracyte, Inc., unless expressly stated or the context otherwise requires.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Terms of the Indenture</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It provides that we may issue debt securities for any series of debt securities up to the principal amount that we may authorize.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For each series of debt securities, any restrictive covenants for those debt securities will be described in the applicable prospectus supplement for those debt securities.</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You should refer to the prospectus supplement relating to a particular series of debt securities for a description of the following terms of the debt securities offered by that prospectus supplement and by this prospectus:</w:t>
      </w:r>
    </w:p>
    <w:p>
      <w:pPr>
        <w:spacing w:after="0" w:line="67"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if a series, the total amount authorized and the total amount outstanding;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and premium, if any, of the debt securities of that series is payable;</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and the dates from which interest, if any, on the debt securities of that series will accrue, and the dates when interest is payable and the maturity;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the extensions;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81"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and the manner in which principal of, premium, if any, and interest, if any, on the debt securities of that series will be payable and the place or places where those debt securities may be presented for transfer and, if applicable, conversion or exchange;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2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other terms and conditions upon which those debt securities may be redeemed, in whole or in part, at our option or the option of a holder of those securities, if we or a holder is to have that option;</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right, if any, to redeem, repay or purchase those debt securities pursuant to any sinking fund or analogous provision or at the option of a holder of those securities, and the terms and conditions upon which the debt securities will be redeemed, repaid or purchased, in whole or in part, pursuant to that obligation;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on which the debt securities of that series will be subordinate in right and priority of payment to our other debt;</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those debt securities will be issuable, if other than denominations of $1,000 or any integral multiple of that number;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entire principal amount of the debt securities when issued, the portion of the principal amount payable upon acceleration of maturity as a result of a default on our obligations;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securities of that series are to be issued in whole or in part in the form of one or more global securities and the depositary for those global securities;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or any premium or interest on the debt securities of that series is to be payable, or is to be payable at our election or the election of a holder of those securities, in securities or other property, the type and amount of those securities or other property, or the manner of determining that amount, and the period or periods within which, and the terms and conditions upon which, any such election may be made;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of default and covenants relating to the debt securities that are in addition to, modify or delete those described in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provisions, if any, including conversion or exchange prices or rates and adjustments thereto;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the debt securities may be defeased, if different from the provisions set forth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terms of any security for any secured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applicable to any debt securities issued at a discount from their stated principal amount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and/or the acceleration provisions described in this prospectus or in the indenture;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any debt securities.</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United States federal income tax purposes, be treated as if they were issued with “original issue discount” because of interest payment and other characteristics. Special United States federal income tax considerations applicable to debt securities issued with original issue discount will be described in more detail in any applicable prospectus supplement.</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present material United States federal income tax considerations for holders of any debt securities and the securities exchange or quotation system on which any debt securities are to be listed or quoted.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this prospectus or the applicable prospectus supplement, our debt securities will not have the benefit of any covenants that limit or restrict our business or operations, the pledging of our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assets or the incurrence by us of indebtedness. We will describe in the applicable prospectus supplement any material covenants in respect of a series of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Change of Control</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Debt securities may be convertible into or exchangeable for shares of our equity securities or other securities. The terms and conditions of conversion or exchange will be stated in the applicable prospectus supplement. The terms will include, among others, the following:</w:t>
      </w:r>
    </w:p>
    <w:p>
      <w:pPr>
        <w:spacing w:after="0" w:line="67"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period;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regarding our ability or the ability of any holder to convert or exchange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requiring adjustment to the conversion or exchange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affecting conversion or exchange in the event of our redemption of the debt securities;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anti-dilution provisions, if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cannot consolidate with or merge with or into, or transfer or lease all or substantially all of our assets to, any person, unless we are the surviving corporation or the successor person is a corporation organized under the laws of the United States, any state of the United States or the District of Columbia and expressly assumes our obligations under the debt securities and the indenture. In addition, we cannot complete such a transaction unless immediately after completing the transaction, no event of default under the indenture, and no event that, after notice or lapse of time or both, would become an event of default under the indenture, has occurred and is continuing. When the successor person has assumed our obligations under the debt securities and the indenture, we will be discharged from all our obligations under the debt securities and the indenture except in limited circumstances.</w:t>
      </w:r>
    </w:p>
    <w:p>
      <w:pPr>
        <w:spacing w:after="0" w:line="18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This covenant would not apply to any recapitalization transaction, a change of control affecting us or a highly leveraged transaction, unless the transaction or change of control were structured to include a merger or consolidation or transfer or lease of all or substantially all of our assets.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following will be “events of default” under the indenture with respect to any series of debt securities:</w:t>
      </w:r>
    </w:p>
    <w:p>
      <w:pPr>
        <w:spacing w:after="0" w:line="67"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for 30 days after the date payment is due and payable;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or premium, if any, on any debt security when due, either at maturity, upon any redemption, by declaration or otherwise and, in the case of technical or administrative difficulties, only if such default persists for a period of more than three business days;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make sinking fund payments when due and continuance of such default for a period of 30 days;</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other covenants for 60 days after notice that performance was required;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in bankruptcy, insolvency or reorganization relating to us; or</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in the applicable officer’s certificate, resolution of our board of directors or the supplemental indenture under which we issue a series of debt securities.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indenture. For each series of debt securities, any modifications to the above events of default will be described in the applicable prospectus supplement for those debt securities.</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indenture provides that if an event of default specified in the first, second, third, fourth or sixth bullets above occurs and is continuing, either the trustee or the holders of at least 25% in aggregate principal amount of the outstanding debt securities of that series may declare the principal amount of all those debt securities (or, in the case of discount securities or indexed securities, that portion of the principal amount as may be specified in the terms of that series) to be due and payable immediately. If an event of default specified in the fifth bullet above occurs and is continuing, then the principal amount of all those debt securities (or, in the case of discount securities or indexed securities, that portion of the principal amount as may be specified in the terms of that series) will be due and payable immediately, without any declaration or other act on the part of the trustee or any holder. In certain cases, holders of a majority in principal amount of the outstanding debt securities of any series may, on behalf of holders of all those debt securities, rescind and annul a declaration of acceleration.</w:t>
      </w:r>
    </w:p>
    <w:p>
      <w:pPr>
        <w:spacing w:after="0" w:line="19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indenture imposes limitations on suits brought by holders of debt securities against us. Except for actions for payment of overdue principal or interest, no holder of debt securities of any series may institute any action against us under the indenture unless:</w:t>
      </w:r>
    </w:p>
    <w:p>
      <w:pPr>
        <w:spacing w:after="0" w:line="6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previously given to the trustee written notice of default and continuance of such default;</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outstanding debt securities of the affected series have requested that the trustee institute the action;</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holders have offered the trustee indemnity for the reasonable expenses and liabilities that may be incurred by bringing the 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instituted the action within 60 days of the request and offer of indemnity; 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received inconsistent direction by the holders of a majority in principal amount of the outstanding debt securities of the affected series.</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will be required to file annually with the trustee a certificate, signed by one of our officers, stating whether or not the officer knows of any default by us in the performance, observance or fulfillment of any condition or covenant of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 Defeasance and Covenant Defeasance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can discharge or decrease our obligations under the indenture as stated below.</w:t>
      </w:r>
    </w:p>
    <w:p>
      <w:pPr>
        <w:spacing w:after="0" w:line="11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discharge obligations to holders of any series of debt securities that have not already been delivered to the trustee for cancellation and that have either become due and payable or are by their terms to become due and payable, or are scheduled for redemption, within one year. We may effect a discharge by irrevocably depositing with the trustee cash or government obligations, as trust funds, in an amount certified to be enough to pay when due, whether at maturity, upon redemption or otherwise, the principal of, and any premium and interest on, the debt securities and any mandatory sinking fund payments.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we may also discharge any and all of our obligations to holders of any series of debt securities at any time, which we refer to as defeasance. We may also be released from the obligations imposed by any covenants of any outstanding series of debt securities and provisions of the indenture, and we may omit to comply with those covenants without creating an event of default under the trust declaration, which we refer to as covenant defeasance. We may effect defeasance and covenant defeasance only if, among other things:</w:t>
      </w:r>
    </w:p>
    <w:p>
      <w:pPr>
        <w:spacing w:after="0" w:line="89" w:lineRule="exact"/>
        <w:rPr>
          <w:sz w:val="20"/>
          <w:szCs w:val="20"/>
          <w:color w:val="auto"/>
        </w:rPr>
      </w:pPr>
    </w:p>
    <w:p>
      <w:pPr>
        <w:ind w:left="108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irrevocably deposit with the trustee cash or government obligations denominated in the currency of the debt securities, as trust funds, in an amount certified to be enough to pay at maturity, or upon redemption, the principal (including any mandatory sinking fund payments) of, and any premium and interest on, all outstanding debt securities of the series; and</w:t>
      </w:r>
    </w:p>
    <w:p>
      <w:pPr>
        <w:spacing w:after="0" w:line="81"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opinion of counsel from a nationally recognized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and any premium and interest payments on, the series of debt securities.</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the case of a defeasance by us, the opinion we deliver must be based on a ruling of the Internal Revenue Service issued, or a change in U.S. federal income tax law occurring, after the date of the indenture, since such a result would not occur under the U.S. federal income tax laws in effect on that date.</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Although we may discharge or decrease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we and the trustee may enter into supplemental indentures without the consent of the holders of debt securities to, among other things:</w:t>
      </w:r>
    </w:p>
    <w:p>
      <w:pPr>
        <w:spacing w:after="0" w:line="67"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the assumption by a successor entity of our obligations;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our covenants for the benefit of the holders of debt securities, or to surrender any rights or power conferred upon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any additional events of default;</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change or eliminate any of the provisions of the indenture in a manner that will become effective only when there is no outstanding debt security which is entitled to the benefit of the provision as to which the modification would apply;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with respect to or secure any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forms or terms of debt securities of any series;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and provide for the acceptance of appointment by a successor trustee and add to or change any of the provisions of the indenture as is necessary for the administration of the trusts by more than one trustee;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or correct any inconsistency or defect in the indenture;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eliminate or add to the provisions of the indenture as shall be necessary to effect the qualification of the indenture under the Trust Indenture Act of 1939 or under any similar federal statute later enacted, and to add to the indenture such other provisions as may be expressly required by the Trust Indenture Act;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10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other provisions with respect to matters or questions arising under the indenture that will not be inconsistent with any provision of the indenture as long as the new provisions do not adversely affect the interests of the holders of any outstanding debt securities of any series created prior to the modification.</w:t>
      </w:r>
    </w:p>
    <w:p>
      <w:pPr>
        <w:spacing w:after="0" w:line="176"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indenture also provides that we and the trustee may, with the consent of the holders of not less than a majority in aggregate principal amount of debt securities of each series of debt securities affected by such supplemental indenture then outstanding, add any provisions to, or change in any manner, eliminate or modify in any way the provisions of, the indenture or any supplemental indenture or modify in any manner the rights of the holders of the debt securities. We and the trustee may not, however, without the consent of the holder of each outstanding debt security affected thereby:</w:t>
      </w:r>
    </w:p>
    <w:p>
      <w:pPr>
        <w:spacing w:after="0" w:line="70"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final maturity of any debt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or premium,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or extend the time of payment of interest;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the principal of any debt security issued with an original issue discount that is payable upon acceleration;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in which the principal, and any premium or interest, is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any debt security when due;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adversely affect the right of a holder to convert or exchange a debt security; or</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of any series whose consent is required for any modification of the indenture or for waivers of compliance with or defaults under the indenture with respect to debt securities of that series.</w:t>
      </w:r>
    </w:p>
    <w:p>
      <w:pPr>
        <w:spacing w:after="0" w:line="162"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indenture provides that the holders of not less than a majority in aggregate principal amount of the then outstanding debt securities of any series, by notice to the relevant trustee, may on behalf of the holders of the debt securities of that series waive any default and its consequences under the indenture except:</w:t>
      </w:r>
    </w:p>
    <w:p>
      <w:pPr>
        <w:spacing w:after="0" w:line="81"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any premium and any interest on, or principal of, any such debt security held by a nonconsenting holder; or</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respect of a covenant or provision of the indenture that cannot be modified or amended without the consent of the holder of each outstanding debt security of each series affected.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Registered Global Securities and Book Entry System</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debt securities of a series may be issued in whole or in part in book-entry form and will be represented by one or more fully registered global securities. We will deposit any registered global securities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 This means that we will not issue certificates to each holder.</w:t>
      </w:r>
    </w:p>
    <w:p>
      <w:pPr>
        <w:spacing w:after="0" w:line="183"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Unless and until it is exchanged in whole or in part for debt securities in definitive registered form, a registered global security may not be transferred except as a whole:</w:t>
      </w:r>
    </w:p>
    <w:p>
      <w:pPr>
        <w:spacing w:after="0" w:line="67"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depositary for the registered global security to its nominee;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nominee of the depositary to the depositary or another nominee of the depositary; or</w:t>
      </w:r>
    </w:p>
    <w:p>
      <w:pPr>
        <w:spacing w:after="0" w:line="130" w:lineRule="exact"/>
        <w:rPr>
          <w:rFonts w:ascii="Times New Roman" w:cs="Times New Roman" w:eastAsia="Times New Roman" w:hAnsi="Times New Roman"/>
          <w:sz w:val="18"/>
          <w:szCs w:val="18"/>
          <w:color w:val="auto"/>
        </w:rPr>
      </w:pPr>
    </w:p>
    <w:p>
      <w:pPr>
        <w:ind w:left="5540" w:right="3180" w:hanging="4884"/>
        <w:spacing w:after="0" w:line="454" w:lineRule="auto"/>
        <w:tabs>
          <w:tab w:leader="none" w:pos="10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depositary or its nominee to a successor of the depositary or a nominee of the successor. 14</w:t>
      </w:r>
    </w:p>
    <w:p>
      <w:pPr>
        <w:sectPr>
          <w:pgSz w:w="11900" w:h="16838" w:orient="portrait"/>
          <w:cols w:equalWidth="0" w:num="1">
            <w:col w:w="11100"/>
          </w:cols>
          <w:pgMar w:left="320" w:top="455" w:right="4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prospectus supplement relating to a series of debt securities will describe the specific terms of the depositary arrangement involving any portion of the series represented by a registered global security. We anticipate that the following provisions will apply to all depositary arrangements for debt securities:</w:t>
      </w:r>
    </w:p>
    <w:p>
      <w:pPr>
        <w:spacing w:after="0" w:line="81" w:lineRule="exact"/>
        <w:rPr>
          <w:sz w:val="20"/>
          <w:szCs w:val="20"/>
          <w:color w:val="auto"/>
        </w:rPr>
      </w:pPr>
    </w:p>
    <w:p>
      <w:pPr>
        <w:ind w:left="1080" w:right="2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beneficial interests in a registered global security will be limited to persons that have accounts with the depositary for such registered global security, these persons being referred to as “participants,” or persons that may hold interests through participants;</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 registered global security, the depositary for the registered global security will credit, on its book- entry registration and transfer system, the participants’ accounts with the respective principal amounts of the debt securities represented by the registered global security beneficially owned by the participants;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dealers, underwriters, or agents participating in the distribution of the debt securities will designate the accounts to be credited; and</w:t>
      </w:r>
    </w:p>
    <w:p>
      <w:pPr>
        <w:spacing w:after="0" w:line="130" w:lineRule="exact"/>
        <w:rPr>
          <w:rFonts w:ascii="Times New Roman" w:cs="Times New Roman" w:eastAsia="Times New Roman" w:hAnsi="Times New Roman"/>
          <w:sz w:val="18"/>
          <w:szCs w:val="18"/>
          <w:color w:val="auto"/>
        </w:rPr>
      </w:pPr>
    </w:p>
    <w:p>
      <w:pPr>
        <w:jc w:val="both"/>
        <w:ind w:left="1080" w:right="54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beneficial interest in the registered global security will be shown on, and the transfer of the ownership interest will be effected only through, records maintained by the depositary for the registered global security for interests of participants, and on the records of participants for interests of persons holding through participants.</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laws of some states may require that specified purchasers of securities take physical delivery of the securities in definitive form. These laws may limit the ability of those persons to own, transfer or pledge beneficial interests in registered global securities.</w:t>
      </w:r>
    </w:p>
    <w:p>
      <w:pPr>
        <w:spacing w:after="0" w:line="16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So long as the depositary for a registered global security, or its nominee, is the registered owner of the registered global security, the depositary or such nominee, as the case may be, will be considered the sole owner or holder of the debt securities represented by the registered global security for all purposes under the indenture. Except as stated below, owners of beneficial interests in a registered global security:</w:t>
      </w:r>
    </w:p>
    <w:p>
      <w:pPr>
        <w:spacing w:after="0" w:line="81"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the debt securities represented by a registered global security registered in their names;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physical delivery of the debt securities in the definitive form;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of the debt securities under the relevant indenture.</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w:t>
      </w:r>
    </w:p>
    <w:p>
      <w:pPr>
        <w:spacing w:after="0" w:line="176"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the participants would authorize beneficial owners owning through the participants to give or take the action or would otherwise act upon the instructions of beneficial owners holding through them.</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Neither we nor the trustee, or any other agent of ours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 as is now the case with the securities held for the accounts of customers in bearer form or registered in “street name.” We also expect that any of these payments will be the responsibility of the participants.</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the depositary for any debt securities represented by a registered global security is at any time unwilling or unable to continue as depositary or stops being a clearing agency registered under the Securities Exchange Act of 1934, as amended, or the Exchange Act, we will 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that event, we will issue debt securities of the series in a definitive form in exchange for all of the registered global securities representing the debt securities. The trustee will register any debt securities issued in definitive form in exchange for a registered global security in the name or names as the depositary, based upon instructions from its participants, shall instruct the trustee.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The indenture provides that there may be more than one trustee under the indenture, each for one or more series of debt securities. If there are different trustees for different series of debt securities, each trustee will be a trustee of a trust under the indenture separate and apart from the trust administered by any other trustee under that indenture. Except as otherwise indicated in this prospectus or any prospectus supplement, any action permitted to be taken by a trustee may be taken by such trustee only on the one or more series of debt securities for which it is the trustee under the indenture. Any trustee under the indenture may resign or be removed from one or more series of debt securities. All payments of principal of, and any premium and interest on, and all registration, transfer, exchange, authentication and delivery of, the debt securities of a series will be effected by the trustee for that series at an office designated by the trustee in New York, New York.</w:t>
      </w:r>
    </w:p>
    <w:p>
      <w:pPr>
        <w:spacing w:after="0" w:line="18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indenture provides that, except during the continuance of an event of default, the trustee will perform only such duties as are specifically set forth in the indenture. During the existence of an event of default, the trustee will exercise those rights and powers vested in it under the indenture and use the same degree of care and skill in its exercise as a prudent person would exercise under the circumstances in the conduct of such person’s own affairs.</w:t>
      </w:r>
    </w:p>
    <w:p>
      <w:pPr>
        <w:spacing w:after="0" w:line="180"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If the trustee becomes a creditor of ours, the indenture places limitations on the right of the trustee to obtain payment of claims or to realize on property received in respect of any such claim as security or otherwise. The trustee may engage in other transactions. If it acquires any conflicting interest relating to any duties concerning the debt securities, however, it must eliminate the conflict or resign as trustee.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Individual Liability of Incorporators, Stockholders, Officers or Directors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indenture provides that no past, present or future director, officer, stockholder or employee of ours, any of our affiliates, or any successor corporation, in their capacity as such, shall have any individual liability for any of our obligations, covenants or agreements under the debt securities or the indenture.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laws of the State of New York.</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debt securities, or any combination thereof. We may issue warrants independently or together with any other securities offered by any prospectus supplement and may be attached to or separate from the other offered securities. Each series of warrants may be issued under a separate warrant agreement to be entered into by us with a warrant agent. The applicable warrant agent will act solely as our agent in connection with the warrants and will not assume any obligation or relationship of agency or trust for or with any holders or beneficial owners of warrants. Further terms of the warrants and the applicable warrant agreements will be set forth in the applicable prospectus supplement.</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relating to any particular issue of warrants will describe the terms of the warrants, including, as applicable, the following:</w:t>
      </w:r>
    </w:p>
    <w:p>
      <w:pPr>
        <w:spacing w:after="0" w:line="67"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terms and number of shares of common stock, preferred stock or debt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offered securities, if any, with which the warrants are issued and the number of the warrants issued with each offered security;</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the related common stock, preferred stock or debt securities will be separately transferable;</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each share of common stock, preferred stock or debt securities purchasable upon exercise of the warrants may be purchased;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shall commence and the date on which that right shall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or maximum amount of the warrants which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federal income tax considerations;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 including terms, procedures and limitations relating to the exchange and exercise of the warrants.</w:t>
      </w:r>
    </w:p>
    <w:p>
      <w:pPr>
        <w:spacing w:after="0" w:line="117"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and the applicable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may issue subscription rights to purchase common stock or preferred stock. This prospectus and any accompanying prospectus supplement will contain the material terms and conditions for each subscription right. The accompanying prospectus supplement may add, update or change the terms and conditions of the subscription rights as described in this prospectus.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will describe in the applicable prospectus supplement the terms and conditions of the issue of subscription rights being offered, the subscription rights agreement relating to the subscription rights and the subscription rights certificates representing the subscription rights, including, as applicable:</w:t>
      </w:r>
    </w:p>
    <w:p>
      <w:pPr>
        <w:spacing w:after="0" w:line="81"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stockholders entitled to the subscription rights distribution;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aggregate number of shares of common stock or preferred stock purchasable upon exercise of the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subscription rights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subscription rights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subscription right to exercise the subscription rights will commence and the date on which the subscription right will expire;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terms, procedures and limitations relating to the distribution, exchange and exercise of the subscription rights.</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Each subscription right will entitle the holder of subscription rights to purchase for cash the principal amount of shares of common stock or preferred stock at the exercise price provided in the applicable prospectus supplement. Subscription rights may be exercised at any time up to the close of business on the expiration date for the subscription rights provided in the applicable prospectus supplement. After the close of business on the expiration date, all unexercised subscription rights will be void.</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Holders may exercise subscription rights as described in the applicable prospectus supplement. Upon receipt of payment and the subscription rights certificate properly completed and duly executed at the corporate trust office of the subscription rights agent or any other office indicated in the prospectus supplement, we will, as soon as practicable, forward the shares of common stock or preferred stock purchasable upon exercise of the subscription rights. If less than all of the subscription rights issued in any subscription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55" w:right="49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Selling securityholders are persons or entities that, directly or indirectly, have acquired, or will from time to time acquire from us, our common stock. If the registration statement of which this prospectus forms a part is used by selling securityholders for the resale of any securities registered thereunder, information about such selling securityholders, their beneficial ownership of our securities and their relationship with us will be set forth in a prospectus supplement.</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or selling securityholders may sell the securities offered by this prospectus to one or more underwriters or dealers for public offering and sale by them or to investors directly or through agents. The accompanying prospectus supplement will set forth the terms of the offering and the method of distribution and will identify any firms acting as underwriters, dealers or agents in connection with the offering, including:</w:t>
      </w:r>
    </w:p>
    <w:p>
      <w:pPr>
        <w:spacing w:after="0" w:line="8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names of any selling securityholders;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to us or the selling securityholders from the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and other items constituting compensation to underwriters,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offered in the prospectus supplement may be listed.</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Only those underwriters identified in such prospectus supplement are deemed to be underwriters in connection with the securities offered in the prospectus supplement. We or selling securityholders may directly solicit offers to purchase the securities being offered by this prospectus. We or selling securityholders may also designate agents to solicit offers to purchase the securities from time to time. We or selling securityholders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 at a fixed price or prices, which may be changed, or at prices determined as the applicable prospectus supplement specifies. The securities may be sold through an at-the-market offering, a subscription rights offering, forward contracts or similar arrangements. In addition, we or selling securityholders may enter into derivative transactions with third parties, or sell securities not covered by this prospectus to third parties in privately negotiated transactions. If the applicable prospectus supplement so indicates, in connection with those derivatives, the third parties may sell</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securities covered by this prospectus and the applicable prospectus supplement, including in short sale transactions. If so, the third party may use securities pledged by us or selling securityholders or borrowed from us or selling securityholders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 effective amendment). In addition, we or selling securityholders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sale of the securities, underwriters, dealers or agents may be deemed to have received compensation from us or selling securityholders in the form of underwriting discounts or commissions and also may receive commissions from securities purchasers for whom they may act as agent. Underwriters may sell the securities to or through dealers, and the dealers may receive compensation in the form of discounts, concessions or commissions from the underwriters or commissions from the purchasers for whom they may act as agent.</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or selling securityholders will provide in the applicable prospectus supplement information regarding any underwriting discounts or other compensation that we or selling securityholders pay to underwriters or agents in connection with the securities offering, and any discounts, concessions or commissions that underwriters allow to dealers. Underwriters, dealers, agents and selling securityholders participating in the securities distribution may be deemed to be underwriters, and any discounts, commissions or concessions they receive and any profit they realize on the resale of the securities may be deemed to be underwriting discounts and commissions under the Securities Act. Underwriters and their controlling persons, dealers and agents may be entitled, under agreements entered into with us or selling securityholders, to indemnification against and contribution toward specific civil liabilities, including liabilities under the Securities Act. Some of the underwriters, dealers or agents who participate in the securities distribution may engage in other transactions with, and perform other services for, us in the ordinary course of business.</w:t>
      </w:r>
    </w:p>
    <w:p>
      <w:pPr>
        <w:spacing w:after="0" w:line="19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validity of any securities offered by this prospectus will be passed upon for us by Fenwick &amp; West LLP, San Francisco, California. Counsel representing any underwriters, dealers or agents will be named in the applicable prospectus supplement.</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2019, and the effectiveness of our internal control over financial reporting as of December 31, 2019,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securities offered hereby. This prospectus, which constitutes a part of the registration statement, does not contain all of the information set forth in the registration statement, the exhibits filed therewith or the documents incorporated by reference therein. For further information about us and the securities offered hereby, reference is made to the registration statement, the exhibits filed therewith and the documents incorporated by reference therein.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The SEC maintains a website that contains reports, proxy and information statements and other information regarding registrants that file electronically with the SEC. The address of the website is www.sec.gov.</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the information and reporting requirements of the Exchange Act, and, in accordance with this law, file periodic reports and other information with the SEC. These periodic reports and other information are available for inspection and copying at the SEC’s public reference facilities and the website of the SEC referred to above. We also maintain a website at www.veracyte.com.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INFORMATION BY REFERENCE</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SEC permits us to “incorporate by reference” the information contained in documents we file with the SEC, which means that we can disclose important information to you by referring you to those documents rather than by including them in this prospectus. Information that is incorporated by reference is considered to be part of this prospectus and you should read it with the same care that you read this prospectus. Later information that we file with the SEC will automatically update and supersede the information that is either contained, or incorporated by reference, in this prospectus, and will be considered to be a part of this prospectus from the date those documents are filed. We have filed with the SEC, and incorporate by reference in this prospectus:</w:t>
      </w:r>
    </w:p>
    <w:p>
      <w:pPr>
        <w:spacing w:after="0" w:line="93"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2019, filed with the SEC on </w:t>
      </w:r>
      <w:hyperlink r:id="rId46">
        <w:r>
          <w:rPr>
            <w:rFonts w:ascii="Times New Roman" w:cs="Times New Roman" w:eastAsia="Times New Roman" w:hAnsi="Times New Roman"/>
            <w:sz w:val="18"/>
            <w:szCs w:val="18"/>
            <w:u w:val="single" w:color="auto"/>
            <w:color w:val="0000EE"/>
          </w:rPr>
          <w:t>February 25, 2020;</w:t>
        </w:r>
      </w:hyperlink>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2019 from our definitive proxy statement on Schedule 14A, which was filed with the SEC on </w:t>
      </w:r>
      <w:hyperlink r:id="rId47">
        <w:r>
          <w:rPr>
            <w:rFonts w:ascii="Times New Roman" w:cs="Times New Roman" w:eastAsia="Times New Roman" w:hAnsi="Times New Roman"/>
            <w:sz w:val="18"/>
            <w:szCs w:val="18"/>
            <w:u w:val="single" w:color="auto"/>
            <w:color w:val="0000EE"/>
          </w:rPr>
          <w:t>April 24, 2020;</w:t>
        </w:r>
      </w:hyperlink>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 ended March 31, 2020, filed with the SEC on </w:t>
      </w:r>
      <w:hyperlink r:id="rId48">
        <w:r>
          <w:rPr>
            <w:rFonts w:ascii="Times New Roman" w:cs="Times New Roman" w:eastAsia="Times New Roman" w:hAnsi="Times New Roman"/>
            <w:sz w:val="18"/>
            <w:szCs w:val="18"/>
            <w:u w:val="single" w:color="auto"/>
            <w:color w:val="0000EE"/>
          </w:rPr>
          <w:t>May 6, 2020</w:t>
        </w:r>
      </w:hyperlink>
      <w:r>
        <w:rPr>
          <w:rFonts w:ascii="Times New Roman" w:cs="Times New Roman" w:eastAsia="Times New Roman" w:hAnsi="Times New Roman"/>
          <w:sz w:val="18"/>
          <w:szCs w:val="18"/>
          <w:color w:val="auto"/>
        </w:rPr>
        <w:t xml:space="preserve">, the quarter ended June 30, 2020, filed with the SEC on </w:t>
      </w:r>
      <w:hyperlink r:id="rId49">
        <w:r>
          <w:rPr>
            <w:rFonts w:ascii="Times New Roman" w:cs="Times New Roman" w:eastAsia="Times New Roman" w:hAnsi="Times New Roman"/>
            <w:sz w:val="18"/>
            <w:szCs w:val="18"/>
            <w:u w:val="single" w:color="auto"/>
            <w:color w:val="0000EE"/>
          </w:rPr>
          <w:t>July 30,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the quarter ended September 30, 2020, filed with the SEC on </w:t>
      </w:r>
      <w:hyperlink r:id="rId50">
        <w:r>
          <w:rPr>
            <w:rFonts w:ascii="Times New Roman" w:cs="Times New Roman" w:eastAsia="Times New Roman" w:hAnsi="Times New Roman"/>
            <w:sz w:val="18"/>
            <w:szCs w:val="18"/>
            <w:u w:val="single" w:color="auto"/>
            <w:color w:val="0000EE"/>
          </w:rPr>
          <w:t>November 2, 2020</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 on Form 8-K/A filed with the SEC on </w:t>
      </w:r>
      <w:hyperlink r:id="rId51">
        <w:r>
          <w:rPr>
            <w:rFonts w:ascii="Times New Roman" w:cs="Times New Roman" w:eastAsia="Times New Roman" w:hAnsi="Times New Roman"/>
            <w:sz w:val="18"/>
            <w:szCs w:val="18"/>
            <w:u w:val="single" w:color="auto"/>
            <w:color w:val="0000EE"/>
          </w:rPr>
          <w:t>February 18, 2020</w:t>
        </w:r>
      </w:hyperlink>
      <w:r>
        <w:rPr>
          <w:rFonts w:ascii="Times New Roman" w:cs="Times New Roman" w:eastAsia="Times New Roman" w:hAnsi="Times New Roman"/>
          <w:sz w:val="18"/>
          <w:szCs w:val="18"/>
          <w:color w:val="auto"/>
        </w:rPr>
        <w:t xml:space="preserve">, and our Current Reports on Form 8-K filed with the SEC on </w:t>
      </w:r>
      <w:hyperlink r:id="rId52">
        <w:r>
          <w:rPr>
            <w:rFonts w:ascii="Times New Roman" w:cs="Times New Roman" w:eastAsia="Times New Roman" w:hAnsi="Times New Roman"/>
            <w:sz w:val="18"/>
            <w:szCs w:val="18"/>
            <w:u w:val="single" w:color="auto"/>
            <w:color w:val="0000EE"/>
          </w:rPr>
          <w:t>February 25, 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 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14, 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9, 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27, 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August 5, 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17, 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December 16,</w:t>
        </w:r>
      </w:hyperlink>
      <w:r>
        <w:rPr>
          <w:rFonts w:ascii="Times New Roman" w:cs="Times New Roman" w:eastAsia="Times New Roman" w:hAnsi="Times New Roman"/>
          <w:sz w:val="18"/>
          <w:szCs w:val="18"/>
          <w:color w:val="0000EE"/>
        </w:rPr>
        <w:t xml:space="preserve"> </w:t>
      </w:r>
      <w:hyperlink r:id="rId52">
        <w:r>
          <w:rPr>
            <w:rFonts w:ascii="Times New Roman" w:cs="Times New Roman" w:eastAsia="Times New Roman" w:hAnsi="Times New Roman"/>
            <w:sz w:val="18"/>
            <w:szCs w:val="18"/>
            <w:u w:val="single" w:color="auto"/>
            <w:color w:val="0000EE"/>
          </w:rPr>
          <w:t>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3">
        <w:r>
          <w:rPr>
            <w:rFonts w:ascii="Times New Roman" w:cs="Times New Roman" w:eastAsia="Times New Roman" w:hAnsi="Times New Roman"/>
            <w:sz w:val="18"/>
            <w:szCs w:val="18"/>
            <w:u w:val="single" w:color="auto"/>
            <w:color w:val="0000EE"/>
          </w:rPr>
          <w:t xml:space="preserve">January 25, 2021 </w:t>
        </w:r>
      </w:hyperlink>
      <w:hyperlink r:id="rId52">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4">
        <w:r>
          <w:rPr>
            <w:rFonts w:ascii="Times New Roman" w:cs="Times New Roman" w:eastAsia="Times New Roman" w:hAnsi="Times New Roman"/>
            <w:sz w:val="18"/>
            <w:szCs w:val="18"/>
            <w:u w:val="single" w:color="auto"/>
            <w:color w:val="0000EE"/>
          </w:rPr>
          <w:t xml:space="preserve">February 3, 2021 </w:t>
        </w:r>
      </w:hyperlink>
      <w:hyperlink r:id="rId52">
        <w:r>
          <w:rPr>
            <w:rFonts w:ascii="Times New Roman" w:cs="Times New Roman" w:eastAsia="Times New Roman" w:hAnsi="Times New Roman"/>
            <w:sz w:val="18"/>
            <w:szCs w:val="18"/>
            <w:color w:val="000000"/>
          </w:rPr>
          <w:t>(except that any portions thereof which are furnished and not filed shall not be deemed</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incorporated); and</w:t>
      </w:r>
    </w:p>
    <w:p>
      <w:pPr>
        <w:spacing w:after="0" w:line="85" w:lineRule="exact"/>
        <w:rPr>
          <w:rFonts w:ascii="Times New Roman" w:cs="Times New Roman" w:eastAsia="Times New Roman" w:hAnsi="Times New Roman"/>
          <w:sz w:val="18"/>
          <w:szCs w:val="18"/>
          <w:color w:val="0000EE"/>
        </w:rPr>
      </w:pPr>
    </w:p>
    <w:p>
      <w:pPr>
        <w:ind w:left="1080" w:right="80" w:hanging="424"/>
        <w:spacing w:after="0" w:line="261"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55">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October 28, 2013 under Section 12 of the Exchange Act, including any amendment or report filed for the purpose of updating such description, including any amendment or report filed for the purposes of updating such description, including </w:t>
      </w:r>
      <w:hyperlink r:id="rId56">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2019, filed with the SEC on February 25, 2020.</w:t>
      </w:r>
    </w:p>
    <w:p>
      <w:pPr>
        <w:spacing w:after="0" w:line="180" w:lineRule="exact"/>
        <w:rPr>
          <w:rFonts w:ascii="Times New Roman" w:cs="Times New Roman" w:eastAsia="Times New Roman" w:hAnsi="Times New Roman"/>
          <w:sz w:val="18"/>
          <w:szCs w:val="18"/>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also incorporate by reference all additional documents that we file with the SEC under the terms of Section 13(a), 13(c), 14 or 15(d) of the Exchange Act after the date of this prospectus and prior to the termination of the offering of the securities hereunder. We are not, however, incorporating, in each case, any documents or information that we are deemed to furnish and not file in accordance with SEC rules.</w:t>
      </w:r>
    </w:p>
    <w:p>
      <w:pPr>
        <w:spacing w:after="0" w:line="176" w:lineRule="exact"/>
        <w:rPr>
          <w:rFonts w:ascii="Times New Roman" w:cs="Times New Roman" w:eastAsia="Times New Roman" w:hAnsi="Times New Roman"/>
          <w:sz w:val="18"/>
          <w:szCs w:val="18"/>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 may request a copy of any or all of the documents incorporated by reference but not delivered with this prospectus, at no cost, by writing or telephoning us at the following address and number: Investor Relations, Veracyte, Inc., 6000 Shoreline Court, Suite 300, South San Francisco, California 94080, telephone (650) 243-6300. We will not, however, send exhibits to those documents, unless the exhibits are specifically incorporated by reference in those documents.</w:t>
      </w:r>
    </w:p>
    <w:p>
      <w:pPr>
        <w:spacing w:after="0" w:line="112"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55" w:right="4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statement of estimated expenses in connection with the issuance and distribution of the securities being registered, other than underwriting discounts and commissions.</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and Trustee Fees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2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800" w:hanging="424"/>
        <w:spacing w:after="0" w:line="261"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Rules 456(b) and 457(r) of the Securities Act of 1933, as amended (Securities Act), we are deferring payment of the registration fee for the securities offered.</w:t>
      </w:r>
    </w:p>
    <w:p>
      <w:pPr>
        <w:ind w:left="540" w:right="620" w:hanging="424"/>
        <w:spacing w:after="0" w:line="255"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securities and number of offerings are indeterminable and the expenses cannot be estimated at this time. An estimate of the aggregate expenses in connection with the sale and distribution of securities being offered will be included in any applicable prospectus supplement.</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permitted by the Delaware General Corporation Law, the Registrant’s restated certificate of incorporation contains provisions that eliminate the personal liability of its directors for monetary damages for any breach of fiduciary duties as a director, except liability for the following:</w:t>
      </w:r>
    </w:p>
    <w:p>
      <w:pPr>
        <w:spacing w:after="0" w:line="67"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Registrant or its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Delaware General Corporation Law (regarding unlawful dividends and stock purchases);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permitted by the Delaware General Corporation Law, the Registrant’s amended and restated bylaws provide that:</w:t>
      </w:r>
    </w:p>
    <w:p>
      <w:pPr>
        <w:spacing w:after="0" w:line="131" w:lineRule="exact"/>
        <w:rPr>
          <w:sz w:val="20"/>
          <w:szCs w:val="20"/>
          <w:color w:val="auto"/>
        </w:rPr>
      </w:pPr>
    </w:p>
    <w:p>
      <w:pPr>
        <w:ind w:left="1080" w:right="7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required to indemnify its directors and executive officers to the fullest extent permitted by the Delaware General Corporation Law, subject to very limited exceptions;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may indemnify its other employees and agents as set forth in the Delaware General Corporation Law;</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required to advance expenses, as incurred, to its directors and executive officers in connection with a legal proceeding to the fullest extent permitted by the Delaware General Corporation Law, subject to very limited exceptions;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the amended and restated bylaws are not exclusive.</w:t>
      </w:r>
    </w:p>
    <w:p>
      <w:pPr>
        <w:spacing w:after="0" w:line="117"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each of its current directors and executive officers to provide these directors and executive officers additional contractual assurances regarding the scope of the indemnification set forth in the Registrant’s restated certificate of incorporation and amended and restated bylaws and to provide additional procedural protections. There is no pending litigation or proceeding involving a director or executive officer of the Registrant for which indemnification is sought. The indemnification provisions in the Registrant’s restated certificate of incorporation, amended and restated bylaws and the indemnification agreements entered into between the Registrant and each of its directors and executive officers may be sufficiently broad to permit indemnification of the Registrant’s directors and executive officers for liabilities arising under the Securities Act.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40" w:type="dxa"/>
            <w:vAlign w:val="bottom"/>
          </w:tcPr>
          <w:p>
            <w:pPr>
              <w:spacing w:after="0"/>
              <w:rPr>
                <w:sz w:val="13"/>
                <w:szCs w:val="13"/>
                <w:color w:val="auto"/>
              </w:rPr>
            </w:pPr>
          </w:p>
        </w:tc>
        <w:tc>
          <w:tcPr>
            <w:tcW w:w="1002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3"/>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540" w:type="dxa"/>
            <w:vAlign w:val="bottom"/>
          </w:tcPr>
          <w:p>
            <w:pPr>
              <w:spacing w:after="0"/>
              <w:rPr>
                <w:sz w:val="16"/>
                <w:szCs w:val="16"/>
                <w:color w:val="auto"/>
              </w:rPr>
            </w:pPr>
          </w:p>
        </w:tc>
        <w:tc>
          <w:tcPr>
            <w:tcW w:w="10020" w:type="dxa"/>
            <w:vAlign w:val="bottom"/>
            <w:tcBorders>
              <w:bottom w:val="single" w:sz="8" w:color="auto"/>
            </w:tcBorders>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Pr>
          <w:p>
            <w:pPr>
              <w:spacing w:after="0"/>
              <w:rPr>
                <w:sz w:val="19"/>
                <w:szCs w:val="19"/>
                <w:color w:val="auto"/>
              </w:rPr>
            </w:pPr>
          </w:p>
        </w:tc>
        <w:tc>
          <w:tcPr>
            <w:tcW w:w="10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265"/>
        </w:trPr>
        <w:tc>
          <w:tcPr>
            <w:tcW w:w="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tcPr>
          <w:p>
            <w:pPr>
              <w:spacing w:after="0"/>
              <w:rPr>
                <w:sz w:val="23"/>
                <w:szCs w:val="23"/>
                <w:color w:val="auto"/>
              </w:rPr>
            </w:pPr>
          </w:p>
        </w:tc>
        <w:tc>
          <w:tcPr>
            <w:tcW w:w="94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Restated Certificate of Incorporation (incorporated by reference to Exhibit 3.1 of the Registrant’s Current Report on Form 8-K filed</w:t>
              </w:r>
            </w:hyperlink>
          </w:p>
        </w:tc>
        <w:tc>
          <w:tcPr>
            <w:tcW w:w="54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7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November 8, 2013 (No. 001-36156)).</w:t>
              </w:r>
            </w:hyperlink>
          </w:p>
        </w:tc>
        <w:tc>
          <w:tcPr>
            <w:tcW w:w="73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3.2</w:t>
            </w:r>
          </w:p>
        </w:tc>
        <w:tc>
          <w:tcPr>
            <w:tcW w:w="540" w:type="dxa"/>
            <w:vAlign w:val="bottom"/>
          </w:tcPr>
          <w:p>
            <w:pPr>
              <w:spacing w:after="0"/>
              <w:rPr>
                <w:sz w:val="24"/>
                <w:szCs w:val="24"/>
                <w:color w:val="auto"/>
              </w:rPr>
            </w:pPr>
          </w:p>
        </w:tc>
        <w:tc>
          <w:tcPr>
            <w:tcW w:w="99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Amended and Restated Bylaws (incorporated by reference to Exhibit 3.1 of the Registrant’s Current Report on Form 8-K filed January 25,</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61">
              <w:r>
                <w:rPr>
                  <w:rFonts w:ascii="Times New Roman" w:cs="Times New Roman" w:eastAsia="Times New Roman" w:hAnsi="Times New Roman"/>
                  <w:sz w:val="18"/>
                  <w:szCs w:val="18"/>
                  <w:color w:val="0000EE"/>
                  <w:w w:val="98"/>
                </w:rPr>
                <w:t>2021 (No. 001-36156)).</w:t>
              </w:r>
            </w:hyperlink>
          </w:p>
        </w:tc>
        <w:tc>
          <w:tcPr>
            <w:tcW w:w="83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24"/>
                <w:szCs w:val="24"/>
                <w:color w:val="auto"/>
              </w:rPr>
            </w:pPr>
          </w:p>
        </w:tc>
        <w:tc>
          <w:tcPr>
            <w:tcW w:w="10020" w:type="dxa"/>
            <w:vAlign w:val="bottom"/>
            <w:gridSpan w:val="6"/>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Form of Indenture.</w:t>
              </w:r>
            </w:hyperlink>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tcPr>
          <w:p>
            <w:pPr>
              <w:spacing w:after="0"/>
              <w:rPr>
                <w:sz w:val="24"/>
                <w:szCs w:val="24"/>
                <w:color w:val="auto"/>
              </w:rPr>
            </w:pPr>
          </w:p>
        </w:tc>
        <w:tc>
          <w:tcPr>
            <w:tcW w:w="10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Form of Debt Security.</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40" w:type="dxa"/>
            <w:vAlign w:val="bottom"/>
          </w:tcPr>
          <w:p>
            <w:pPr>
              <w:spacing w:after="0"/>
              <w:rPr>
                <w:sz w:val="24"/>
                <w:szCs w:val="24"/>
                <w:color w:val="auto"/>
              </w:rPr>
            </w:pPr>
          </w:p>
        </w:tc>
        <w:tc>
          <w:tcPr>
            <w:tcW w:w="10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Form of Warrant Agreement and Warrant Certificate.</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40" w:type="dxa"/>
            <w:vAlign w:val="bottom"/>
          </w:tcPr>
          <w:p>
            <w:pPr>
              <w:spacing w:after="0"/>
              <w:rPr>
                <w:sz w:val="24"/>
                <w:szCs w:val="24"/>
                <w:color w:val="auto"/>
              </w:rPr>
            </w:pPr>
          </w:p>
        </w:tc>
        <w:tc>
          <w:tcPr>
            <w:tcW w:w="10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Form of Specimen Preferred Stock Certificate.</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540" w:type="dxa"/>
            <w:vAlign w:val="bottom"/>
          </w:tcPr>
          <w:p>
            <w:pPr>
              <w:spacing w:after="0"/>
              <w:rPr>
                <w:sz w:val="24"/>
                <w:szCs w:val="24"/>
                <w:color w:val="auto"/>
              </w:rPr>
            </w:pPr>
          </w:p>
        </w:tc>
        <w:tc>
          <w:tcPr>
            <w:tcW w:w="10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Form of Subscription Rights Agreement and Subscription Rights Certificate.</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540" w:type="dxa"/>
            <w:vAlign w:val="bottom"/>
          </w:tcPr>
          <w:p>
            <w:pPr>
              <w:spacing w:after="0"/>
              <w:rPr>
                <w:sz w:val="24"/>
                <w:szCs w:val="24"/>
                <w:color w:val="auto"/>
              </w:rPr>
            </w:pPr>
          </w:p>
        </w:tc>
        <w:tc>
          <w:tcPr>
            <w:tcW w:w="10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Form of Unit Agreement and Unit Certificate.</w:t>
            </w:r>
          </w:p>
        </w:tc>
        <w:tc>
          <w:tcPr>
            <w:tcW w:w="0" w:type="dxa"/>
            <w:vAlign w:val="bottom"/>
          </w:tcPr>
          <w:p>
            <w:pPr>
              <w:spacing w:after="0"/>
              <w:rPr>
                <w:sz w:val="1"/>
                <w:szCs w:val="1"/>
                <w:color w:val="auto"/>
              </w:rPr>
            </w:pPr>
          </w:p>
        </w:tc>
      </w:tr>
      <w:tr>
        <w:trPr>
          <w:trHeight w:val="283"/>
        </w:trPr>
        <w:tc>
          <w:tcPr>
            <w:tcW w:w="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4.7</w:t>
            </w:r>
          </w:p>
        </w:tc>
        <w:tc>
          <w:tcPr>
            <w:tcW w:w="540" w:type="dxa"/>
            <w:vAlign w:val="bottom"/>
          </w:tcPr>
          <w:p>
            <w:pPr>
              <w:spacing w:after="0"/>
              <w:rPr>
                <w:sz w:val="24"/>
                <w:szCs w:val="24"/>
                <w:color w:val="auto"/>
              </w:rPr>
            </w:pPr>
          </w:p>
        </w:tc>
        <w:tc>
          <w:tcPr>
            <w:tcW w:w="98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Specimen Common Stock Certificate (incorporated by reference to Exhibit 4.1 to the Registrant’s Registration Statement on Form S-1/A</w:t>
              </w:r>
            </w:hyperlink>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20" w:type="dxa"/>
            <w:vAlign w:val="bottom"/>
            <w:gridSpan w:val="6"/>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(File No. 333-191282)).</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8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4"/>
                <w:szCs w:val="24"/>
                <w:color w:val="auto"/>
              </w:rPr>
            </w:pPr>
          </w:p>
        </w:tc>
        <w:tc>
          <w:tcPr>
            <w:tcW w:w="10020" w:type="dxa"/>
            <w:vAlign w:val="bottom"/>
            <w:gridSpan w:val="6"/>
          </w:tcPr>
          <w:p>
            <w:pPr>
              <w:spacing w:after="0"/>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Opinion of Fenwick &amp; West LLP.</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95"/>
              </w:rPr>
              <w:t>23.1</w:t>
            </w:r>
          </w:p>
        </w:tc>
        <w:tc>
          <w:tcPr>
            <w:tcW w:w="540" w:type="dxa"/>
            <w:vAlign w:val="bottom"/>
          </w:tcPr>
          <w:p>
            <w:pPr>
              <w:spacing w:after="0"/>
              <w:rPr>
                <w:sz w:val="24"/>
                <w:szCs w:val="24"/>
                <w:color w:val="auto"/>
              </w:rPr>
            </w:pPr>
          </w:p>
        </w:tc>
        <w:tc>
          <w:tcPr>
            <w:tcW w:w="10020" w:type="dxa"/>
            <w:vAlign w:val="bottom"/>
            <w:gridSpan w:val="6"/>
          </w:tcPr>
          <w:p>
            <w:pPr>
              <w:spacing w:after="0"/>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u w:val="single" w:color="auto"/>
                  <w:color w:val="0000EE"/>
                </w:rPr>
                <w:t>Consent of Fenwick &amp; West LLP (included in Exhibit 5.1)</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95"/>
              </w:rPr>
              <w:t>23.2</w:t>
            </w:r>
          </w:p>
        </w:tc>
        <w:tc>
          <w:tcPr>
            <w:tcW w:w="540" w:type="dxa"/>
            <w:vAlign w:val="bottom"/>
          </w:tcPr>
          <w:p>
            <w:pPr>
              <w:spacing w:after="0"/>
              <w:rPr>
                <w:sz w:val="24"/>
                <w:szCs w:val="24"/>
                <w:color w:val="auto"/>
              </w:rPr>
            </w:pPr>
          </w:p>
        </w:tc>
        <w:tc>
          <w:tcPr>
            <w:tcW w:w="10020" w:type="dxa"/>
            <w:vAlign w:val="bottom"/>
            <w:gridSpan w:val="6"/>
          </w:tcPr>
          <w:p>
            <w:pPr>
              <w:spacing w:after="0"/>
              <w:rPr>
                <w:rFonts w:ascii="Times New Roman" w:cs="Times New Roman" w:eastAsia="Times New Roman" w:hAnsi="Times New Roman"/>
                <w:sz w:val="18"/>
                <w:szCs w:val="18"/>
                <w:u w:val="single" w:color="auto"/>
                <w:color w:val="0000EE"/>
              </w:rPr>
            </w:pPr>
            <w:hyperlink w:anchor="page91">
              <w:r>
                <w:rPr>
                  <w:rFonts w:ascii="Times New Roman" w:cs="Times New Roman" w:eastAsia="Times New Roman" w:hAnsi="Times New Roman"/>
                  <w:sz w:val="18"/>
                  <w:szCs w:val="18"/>
                  <w:u w:val="single" w:color="auto"/>
                  <w:color w:val="0000EE"/>
                </w:rPr>
                <w:t>Consent of Independent Registered Public Accounting Firm.</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95"/>
              </w:rPr>
              <w:t>24.1</w:t>
            </w:r>
          </w:p>
        </w:tc>
        <w:tc>
          <w:tcPr>
            <w:tcW w:w="540" w:type="dxa"/>
            <w:vAlign w:val="bottom"/>
          </w:tcPr>
          <w:p>
            <w:pPr>
              <w:spacing w:after="0"/>
              <w:rPr>
                <w:sz w:val="24"/>
                <w:szCs w:val="24"/>
                <w:color w:val="auto"/>
              </w:rPr>
            </w:pPr>
          </w:p>
        </w:tc>
        <w:tc>
          <w:tcPr>
            <w:tcW w:w="10020" w:type="dxa"/>
            <w:vAlign w:val="bottom"/>
            <w:gridSpan w:val="6"/>
          </w:tcPr>
          <w:p>
            <w:pPr>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Power of Attorney (included on the signature page hereto).</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25.1+</w:t>
            </w:r>
          </w:p>
        </w:tc>
        <w:tc>
          <w:tcPr>
            <w:tcW w:w="540" w:type="dxa"/>
            <w:vAlign w:val="bottom"/>
          </w:tcPr>
          <w:p>
            <w:pPr>
              <w:spacing w:after="0"/>
              <w:rPr>
                <w:sz w:val="24"/>
                <w:szCs w:val="24"/>
                <w:color w:val="auto"/>
              </w:rPr>
            </w:pPr>
          </w:p>
        </w:tc>
        <w:tc>
          <w:tcPr>
            <w:tcW w:w="10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Form T-1 Statement of Eligibility of Trustee under the Trust Indenture Act of 1939.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right="100" w:hanging="424"/>
        <w:spacing w:after="0" w:line="261"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pursuant to a report to be filed pursuant to Section 13 or 15(d) of the Securities Exchange Act of 1934, if applicable, and incorporated herein by reference.</w:t>
      </w:r>
    </w:p>
    <w:p>
      <w:pPr>
        <w:ind w:left="5480" w:right="1220" w:hanging="5364"/>
        <w:spacing w:after="0" w:line="433" w:lineRule="auto"/>
        <w:tabs>
          <w:tab w:leader="none" w:pos="53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in accordance with the requirements of Section 305(b)(2) of the Trust Indenture Act of 1939 and Rule 5b-3 thereunder. II-2</w:t>
      </w:r>
    </w:p>
    <w:p>
      <w:pPr>
        <w:sectPr>
          <w:pgSz w:w="11900" w:h="16838" w:orient="portrait"/>
          <w:cols w:equalWidth="0" w:num="1">
            <w:col w:w="11140"/>
          </w:cols>
          <w:pgMar w:left="320" w:top="455" w:right="4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sz w:val="20"/>
          <w:szCs w:val="20"/>
          <w:color w:val="auto"/>
        </w:rPr>
      </w:pPr>
    </w:p>
    <w:p>
      <w:pPr>
        <w:ind w:left="820" w:hanging="264"/>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200" w:hanging="221"/>
        <w:spacing w:after="0"/>
        <w:tabs>
          <w:tab w:leader="none" w:pos="12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17" w:lineRule="exact"/>
        <w:rPr>
          <w:rFonts w:ascii="Times New Roman" w:cs="Times New Roman" w:eastAsia="Times New Roman" w:hAnsi="Times New Roman"/>
          <w:sz w:val="18"/>
          <w:szCs w:val="18"/>
          <w:color w:val="auto"/>
        </w:rPr>
      </w:pPr>
    </w:p>
    <w:p>
      <w:pPr>
        <w:ind w:left="560" w:right="40" w:firstLine="419"/>
        <w:spacing w:after="0" w:line="255" w:lineRule="auto"/>
        <w:tabs>
          <w:tab w:leader="none" w:pos="124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0" w:lineRule="exact"/>
        <w:rPr>
          <w:rFonts w:ascii="Times New Roman" w:cs="Times New Roman" w:eastAsia="Times New Roman" w:hAnsi="Times New Roman"/>
          <w:sz w:val="18"/>
          <w:szCs w:val="18"/>
          <w:color w:val="auto"/>
        </w:rPr>
      </w:pPr>
    </w:p>
    <w:p>
      <w:pPr>
        <w:ind w:left="560" w:right="120" w:firstLine="419"/>
        <w:spacing w:after="0" w:line="282" w:lineRule="auto"/>
        <w:tabs>
          <w:tab w:leader="none" w:pos="129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paragraphs (i), (ii) and (iii) above do not apply if the information required to be included in a post- effective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ind w:left="120" w:right="20" w:firstLine="436"/>
        <w:spacing w:after="0" w:line="266" w:lineRule="auto"/>
        <w:tabs>
          <w:tab w:leader="none" w:pos="8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120" w:right="660" w:firstLine="436"/>
        <w:spacing w:after="0" w:line="282" w:lineRule="auto"/>
        <w:tabs>
          <w:tab w:leader="none" w:pos="8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17" w:lineRule="exact"/>
        <w:rPr>
          <w:rFonts w:ascii="Times New Roman" w:cs="Times New Roman" w:eastAsia="Times New Roman" w:hAnsi="Times New Roman"/>
          <w:sz w:val="18"/>
          <w:szCs w:val="18"/>
          <w:color w:val="auto"/>
        </w:rPr>
      </w:pPr>
    </w:p>
    <w:p>
      <w:pPr>
        <w:ind w:left="560" w:right="160" w:firstLine="419"/>
        <w:spacing w:after="0" w:line="282" w:lineRule="auto"/>
        <w:tabs>
          <w:tab w:leader="none" w:pos="119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3" w:lineRule="exact"/>
        <w:rPr>
          <w:rFonts w:ascii="Times New Roman" w:cs="Times New Roman" w:eastAsia="Times New Roman" w:hAnsi="Times New Roman"/>
          <w:sz w:val="18"/>
          <w:szCs w:val="18"/>
          <w:color w:val="auto"/>
        </w:rPr>
      </w:pPr>
    </w:p>
    <w:p>
      <w:pPr>
        <w:ind w:left="560" w:firstLine="419"/>
        <w:spacing w:after="0" w:line="254" w:lineRule="auto"/>
        <w:tabs>
          <w:tab w:leader="none" w:pos="124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40"/>
          </w:cols>
          <w:pgMar w:left="320" w:top="455" w:right="4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200"/>
        <w:spacing w:after="0" w:line="282" w:lineRule="auto"/>
        <w:rPr>
          <w:sz w:val="20"/>
          <w:szCs w:val="20"/>
          <w:color w:val="auto"/>
        </w:rPr>
      </w:pPr>
      <w:r>
        <w:rPr>
          <w:rFonts w:ascii="Times New Roman" w:cs="Times New Roman" w:eastAsia="Times New Roman" w:hAnsi="Times New Roman"/>
          <w:sz w:val="18"/>
          <w:szCs w:val="18"/>
          <w:color w:val="auto"/>
        </w:rPr>
        <w:t>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62" w:lineRule="exact"/>
        <w:rPr>
          <w:sz w:val="20"/>
          <w:szCs w:val="20"/>
          <w:color w:val="auto"/>
        </w:rPr>
      </w:pPr>
    </w:p>
    <w:p>
      <w:pPr>
        <w:ind w:left="120" w:right="180" w:firstLine="436"/>
        <w:spacing w:after="0" w:line="258" w:lineRule="auto"/>
        <w:tabs>
          <w:tab w:leader="none" w:pos="8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rFonts w:ascii="Times New Roman" w:cs="Times New Roman" w:eastAsia="Times New Roman" w:hAnsi="Times New Roman"/>
          <w:sz w:val="18"/>
          <w:szCs w:val="18"/>
          <w:color w:val="auto"/>
        </w:rPr>
      </w:pPr>
    </w:p>
    <w:p>
      <w:pPr>
        <w:ind w:left="1200" w:hanging="221"/>
        <w:spacing w:after="0"/>
        <w:tabs>
          <w:tab w:leader="none" w:pos="12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17" w:lineRule="exact"/>
        <w:rPr>
          <w:rFonts w:ascii="Times New Roman" w:cs="Times New Roman" w:eastAsia="Times New Roman" w:hAnsi="Times New Roman"/>
          <w:sz w:val="18"/>
          <w:szCs w:val="18"/>
          <w:color w:val="auto"/>
        </w:rPr>
      </w:pPr>
    </w:p>
    <w:p>
      <w:pPr>
        <w:ind w:left="560" w:right="160" w:firstLine="419"/>
        <w:spacing w:after="0" w:line="282" w:lineRule="auto"/>
        <w:tabs>
          <w:tab w:leader="none" w:pos="124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ind w:left="560" w:right="740" w:firstLine="419"/>
        <w:spacing w:after="0" w:line="282" w:lineRule="auto"/>
        <w:tabs>
          <w:tab w:leader="none" w:pos="129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8"/>
          <w:szCs w:val="18"/>
          <w:color w:val="auto"/>
        </w:rPr>
      </w:pPr>
    </w:p>
    <w:p>
      <w:pPr>
        <w:ind w:left="1280" w:hanging="301"/>
        <w:spacing w:after="0"/>
        <w:tabs>
          <w:tab w:leader="none" w:pos="12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(6)That, for the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ind w:left="120" w:right="40" w:firstLine="436"/>
        <w:spacing w:after="0" w:line="258" w:lineRule="auto"/>
        <w:tabs>
          <w:tab w:leader="none" w:pos="8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83" w:lineRule="exact"/>
        <w:rPr>
          <w:rFonts w:ascii="Times New Roman" w:cs="Times New Roman" w:eastAsia="Times New Roman" w:hAnsi="Times New Roman"/>
          <w:sz w:val="18"/>
          <w:szCs w:val="18"/>
          <w:color w:val="auto"/>
        </w:rPr>
      </w:pPr>
    </w:p>
    <w:p>
      <w:pPr>
        <w:ind w:left="120" w:firstLine="436"/>
        <w:spacing w:after="0" w:line="254" w:lineRule="auto"/>
        <w:tabs>
          <w:tab w:leader="none" w:pos="8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91" w:lineRule="exact"/>
        <w:rPr>
          <w:rFonts w:ascii="Times New Roman" w:cs="Times New Roman" w:eastAsia="Times New Roman" w:hAnsi="Times New Roman"/>
          <w:sz w:val="18"/>
          <w:szCs w:val="18"/>
          <w:color w:val="auto"/>
        </w:rPr>
      </w:pPr>
    </w:p>
    <w:p>
      <w:pPr>
        <w:ind w:left="120" w:right="620" w:firstLine="436"/>
        <w:spacing w:after="0" w:line="282" w:lineRule="auto"/>
        <w:tabs>
          <w:tab w:leader="none" w:pos="8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 (a) of Section 310 of the Trust Indenture Act, or the Act, in accordance with the rules and regulations prescribed by the Commission under Section 305 (b)(2) of the Act.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20"/>
          </w:cols>
          <w:pgMar w:left="320" w:top="455" w:right="4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undersigned Registrant hereby undertakes to supplement the prospectus, after the expiration of the subscription period (if any),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00"/>
          </w:cols>
          <w:pgMar w:left="320" w:top="455" w:right="4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State of California, on this 3rd day of February, 2021.</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BONNIE H. ANDERSON</w:t>
            </w:r>
          </w:p>
        </w:tc>
      </w:tr>
      <w:tr>
        <w:trPr>
          <w:trHeight w:val="189"/>
        </w:trPr>
        <w:tc>
          <w:tcPr>
            <w:tcW w:w="300" w:type="dxa"/>
            <w:vAlign w:val="bottom"/>
          </w:tcPr>
          <w:p>
            <w:pPr>
              <w:spacing w:after="0"/>
              <w:rPr>
                <w:sz w:val="16"/>
                <w:szCs w:val="16"/>
                <w:color w:val="auto"/>
              </w:rPr>
            </w:pPr>
          </w:p>
        </w:tc>
        <w:tc>
          <w:tcPr>
            <w:tcW w:w="41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Bonnie H. Anderson</w:t>
            </w:r>
          </w:p>
        </w:tc>
      </w:tr>
      <w:tr>
        <w:trPr>
          <w:trHeight w:val="236"/>
        </w:trPr>
        <w:tc>
          <w:tcPr>
            <w:tcW w:w="30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Chairman and Chief Executive Officer</w:t>
            </w:r>
          </w:p>
        </w:tc>
      </w:tr>
    </w:tbl>
    <w:p>
      <w:pPr>
        <w:spacing w:after="0" w:line="1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Bonnie H. Anderson and Keith Kennedy,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 in fact and agents or their substitute or substitutes may lawfully do or cause to be done by virtue hereof.</w:t>
      </w:r>
    </w:p>
    <w:p>
      <w:pPr>
        <w:spacing w:after="0" w:line="188"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340" w:type="dxa"/>
            <w:vAlign w:val="bottom"/>
          </w:tcPr>
          <w:p>
            <w:pPr>
              <w:ind w:left="24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20" w:type="dxa"/>
            <w:vAlign w:val="bottom"/>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34"/>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BONNIE H. ANDERSON</w:t>
            </w:r>
          </w:p>
        </w:tc>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Chairman and Chief Executive Officer (Principal Executive Officer)</w:t>
            </w:r>
          </w:p>
        </w:tc>
        <w:tc>
          <w:tcPr>
            <w:tcW w:w="152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rPr>
              <w:t>February 3, 2021</w:t>
            </w:r>
          </w:p>
        </w:tc>
      </w:tr>
      <w:tr>
        <w:trPr>
          <w:trHeight w:val="184"/>
        </w:trPr>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Bonnie H. Anderson</w:t>
            </w:r>
          </w:p>
        </w:tc>
        <w:tc>
          <w:tcPr>
            <w:tcW w:w="53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404"/>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KEITH KENNEDY</w:t>
            </w:r>
          </w:p>
        </w:tc>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152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rPr>
              <w:t>February 3, 2021</w:t>
            </w:r>
          </w:p>
        </w:tc>
      </w:tr>
      <w:tr>
        <w:trPr>
          <w:trHeight w:val="184"/>
        </w:trPr>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Keith Kennedy</w:t>
            </w:r>
          </w:p>
        </w:tc>
        <w:tc>
          <w:tcPr>
            <w:tcW w:w="53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404"/>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MARK HO</w:t>
            </w:r>
          </w:p>
        </w:tc>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Vice President, Controller (Principal Accounting Officer)</w:t>
            </w:r>
          </w:p>
        </w:tc>
        <w:tc>
          <w:tcPr>
            <w:tcW w:w="152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rPr>
              <w:t>February 3, 2021</w:t>
            </w:r>
          </w:p>
        </w:tc>
      </w:tr>
      <w:tr>
        <w:trPr>
          <w:trHeight w:val="184"/>
        </w:trPr>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 Ho</w:t>
            </w:r>
          </w:p>
        </w:tc>
        <w:tc>
          <w:tcPr>
            <w:tcW w:w="53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404"/>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L. BISHOP</w:t>
            </w:r>
          </w:p>
        </w:tc>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52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rPr>
              <w:t>February 3, 2021</w:t>
            </w:r>
          </w:p>
        </w:tc>
      </w:tr>
      <w:tr>
        <w:trPr>
          <w:trHeight w:val="184"/>
        </w:trPr>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John L. Bishop</w:t>
            </w:r>
          </w:p>
        </w:tc>
        <w:tc>
          <w:tcPr>
            <w:tcW w:w="53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404"/>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FRED E. COHEN, M.D., D.PHIL.</w:t>
            </w:r>
          </w:p>
        </w:tc>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52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rPr>
              <w:t>February 3, 2021</w:t>
            </w:r>
          </w:p>
        </w:tc>
      </w:tr>
      <w:tr>
        <w:trPr>
          <w:trHeight w:val="184"/>
        </w:trPr>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Fred E. Cohen, M.D., D. Phil</w:t>
            </w:r>
          </w:p>
        </w:tc>
        <w:tc>
          <w:tcPr>
            <w:tcW w:w="53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404"/>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KARIN EASTHAM</w:t>
            </w:r>
          </w:p>
        </w:tc>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52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rPr>
              <w:t>February 3, 2021</w:t>
            </w:r>
          </w:p>
        </w:tc>
      </w:tr>
      <w:tr>
        <w:trPr>
          <w:trHeight w:val="184"/>
        </w:trPr>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Karin Eastham</w:t>
            </w:r>
          </w:p>
        </w:tc>
        <w:tc>
          <w:tcPr>
            <w:tcW w:w="53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404"/>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S. EPSTEIN, M.D.,M.S.</w:t>
            </w:r>
          </w:p>
        </w:tc>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52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rPr>
              <w:t>February 3, 2021</w:t>
            </w:r>
          </w:p>
        </w:tc>
      </w:tr>
      <w:tr>
        <w:trPr>
          <w:trHeight w:val="184"/>
        </w:trPr>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Robert S. Epstein, M.D., M.S</w:t>
            </w:r>
          </w:p>
        </w:tc>
        <w:tc>
          <w:tcPr>
            <w:tcW w:w="53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404"/>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KEVIN K. GORDON</w:t>
            </w:r>
          </w:p>
        </w:tc>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52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rPr>
              <w:t>February 3, 2021</w:t>
            </w:r>
          </w:p>
        </w:tc>
      </w:tr>
      <w:tr>
        <w:trPr>
          <w:trHeight w:val="184"/>
        </w:trPr>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Kevin K. Gordon</w:t>
            </w:r>
          </w:p>
        </w:tc>
        <w:tc>
          <w:tcPr>
            <w:tcW w:w="5340" w:type="dxa"/>
            <w:vAlign w:val="bottom"/>
          </w:tcPr>
          <w:p>
            <w:pPr>
              <w:spacing w:after="0"/>
              <w:rPr>
                <w:sz w:val="15"/>
                <w:szCs w:val="15"/>
                <w:color w:val="auto"/>
              </w:rPr>
            </w:pPr>
          </w:p>
        </w:tc>
        <w:tc>
          <w:tcPr>
            <w:tcW w:w="1520" w:type="dxa"/>
            <w:vAlign w:val="bottom"/>
          </w:tcPr>
          <w:p>
            <w:pPr>
              <w:spacing w:after="0"/>
              <w:rPr>
                <w:sz w:val="15"/>
                <w:szCs w:val="15"/>
                <w:color w:val="auto"/>
              </w:rPr>
            </w:pPr>
          </w:p>
        </w:tc>
      </w:tr>
    </w:tbl>
    <w:p>
      <w:pPr>
        <w:sectPr>
          <w:pgSz w:w="11900" w:h="16838" w:orient="portrait"/>
          <w:cols w:equalWidth="0" w:num="1">
            <w:col w:w="11140"/>
          </w:cols>
          <w:pgMar w:left="320" w:top="455" w:right="4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880"/>
        <w:spacing w:after="0"/>
        <w:tabs>
          <w:tab w:leader="none" w:pos="6460" w:val="left"/>
          <w:tab w:leader="none" w:pos="1008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EVAN JONES</w:t>
            </w:r>
          </w:p>
        </w:tc>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70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8"/>
              </w:rPr>
              <w:t>February 3, 2021</w:t>
            </w:r>
          </w:p>
        </w:tc>
      </w:tr>
      <w:tr>
        <w:trPr>
          <w:trHeight w:val="184"/>
        </w:trPr>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Evan Jones</w:t>
            </w:r>
          </w:p>
        </w:tc>
        <w:tc>
          <w:tcPr>
            <w:tcW w:w="316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404"/>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JENS HOLSTEIN</w:t>
            </w:r>
          </w:p>
        </w:tc>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70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8"/>
              </w:rPr>
              <w:t>February 3, 2021</w:t>
            </w:r>
          </w:p>
        </w:tc>
      </w:tr>
      <w:tr>
        <w:trPr>
          <w:trHeight w:val="184"/>
        </w:trPr>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Jens Holstein</w:t>
            </w:r>
          </w:p>
        </w:tc>
        <w:tc>
          <w:tcPr>
            <w:tcW w:w="3160" w:type="dxa"/>
            <w:vAlign w:val="bottom"/>
          </w:tcPr>
          <w:p>
            <w:pPr>
              <w:spacing w:after="0"/>
              <w:rPr>
                <w:sz w:val="15"/>
                <w:szCs w:val="15"/>
                <w:color w:val="auto"/>
              </w:rPr>
            </w:pPr>
          </w:p>
        </w:tc>
        <w:tc>
          <w:tcPr>
            <w:tcW w:w="3700" w:type="dxa"/>
            <w:vAlign w:val="bottom"/>
          </w:tcPr>
          <w:p>
            <w:pPr>
              <w:spacing w:after="0"/>
              <w:rPr>
                <w:sz w:val="15"/>
                <w:szCs w:val="15"/>
                <w:color w:val="auto"/>
              </w:rPr>
            </w:pPr>
          </w:p>
        </w:tc>
      </w:tr>
    </w:tbl>
    <w:p>
      <w:pPr>
        <w:sectPr>
          <w:pgSz w:w="11900" w:h="16838" w:orient="portrait"/>
          <w:cols w:equalWidth="0" w:num="1">
            <w:col w:w="10860"/>
          </w:cols>
          <w:pgMar w:left="320" w:top="455" w:right="71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2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i w:val="1"/>
          <w:iCs w:val="1"/>
          <w:color w:val="auto"/>
        </w:rPr>
        <w:t>Trustee</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i w:val="1"/>
          <w:iCs w:val="1"/>
          <w:color w:val="auto"/>
        </w:rPr>
        <w:t>Dated as of , 20</w:t>
      </w:r>
    </w:p>
    <w:p>
      <w:pPr>
        <w:sectPr>
          <w:pgSz w:w="11900" w:h="16838" w:orient="portrait"/>
          <w:cols w:equalWidth="0" w:num="1">
            <w:col w:w="10020"/>
          </w:cols>
          <w:pgMar w:left="1440" w:top="117" w:right="4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960" w:type="dxa"/>
            <w:vAlign w:val="bottom"/>
            <w:gridSpan w:val="3"/>
          </w:tcPr>
          <w:p>
            <w:pPr>
              <w:jc w:val="center"/>
              <w:ind w:right="1980"/>
              <w:spacing w:after="0"/>
              <w:rPr>
                <w:sz w:val="20"/>
                <w:szCs w:val="20"/>
                <w:color w:val="auto"/>
              </w:rPr>
            </w:pPr>
            <w:r>
              <w:rPr>
                <w:rFonts w:ascii="Times New Roman" w:cs="Times New Roman" w:eastAsia="Times New Roman" w:hAnsi="Times New Roman"/>
                <w:sz w:val="18"/>
                <w:szCs w:val="18"/>
                <w:b w:val="1"/>
                <w:bCs w:val="1"/>
                <w:color w:val="auto"/>
                <w:w w:val="98"/>
              </w:rPr>
              <w:t>Veracyte, Inc.</w:t>
            </w:r>
          </w:p>
        </w:tc>
      </w:tr>
      <w:tr>
        <w:trPr>
          <w:trHeight w:val="216"/>
        </w:trPr>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960" w:type="dxa"/>
            <w:vAlign w:val="bottom"/>
            <w:gridSpan w:val="3"/>
          </w:tcPr>
          <w:p>
            <w:pPr>
              <w:jc w:val="center"/>
              <w:ind w:right="1980"/>
              <w:spacing w:after="0"/>
              <w:rPr>
                <w:sz w:val="20"/>
                <w:szCs w:val="20"/>
                <w:color w:val="auto"/>
              </w:rPr>
            </w:pPr>
            <w:r>
              <w:rPr>
                <w:rFonts w:ascii="Times New Roman" w:cs="Times New Roman" w:eastAsia="Times New Roman" w:hAnsi="Times New Roman"/>
                <w:sz w:val="18"/>
                <w:szCs w:val="18"/>
                <w:b w:val="1"/>
                <w:bCs w:val="1"/>
                <w:color w:val="auto"/>
                <w:w w:val="99"/>
              </w:rPr>
              <w:t>Reconciliation and tie between Trust Indenture Act of 1939 and</w:t>
            </w:r>
          </w:p>
        </w:tc>
      </w:tr>
      <w:tr>
        <w:trPr>
          <w:trHeight w:val="238"/>
        </w:trPr>
        <w:tc>
          <w:tcPr>
            <w:tcW w:w="7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96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9"/>
              </w:rPr>
              <w:t>Indenture, dated as of , 20</w:t>
            </w:r>
          </w:p>
        </w:tc>
      </w:tr>
      <w:tr>
        <w:trPr>
          <w:trHeight w:val="378"/>
        </w:trPr>
        <w:tc>
          <w:tcPr>
            <w:tcW w:w="2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Trust Indenture</w:t>
            </w:r>
          </w:p>
        </w:tc>
        <w:tc>
          <w:tcPr>
            <w:tcW w:w="7780" w:type="dxa"/>
            <w:vAlign w:val="bottom"/>
          </w:tcPr>
          <w:p>
            <w:pPr>
              <w:spacing w:after="0"/>
              <w:rPr>
                <w:sz w:val="24"/>
                <w:szCs w:val="24"/>
                <w:color w:val="auto"/>
              </w:rPr>
            </w:pPr>
          </w:p>
        </w:tc>
        <w:tc>
          <w:tcPr>
            <w:tcW w:w="11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Indenture</w:t>
            </w:r>
          </w:p>
        </w:tc>
      </w:tr>
      <w:tr>
        <w:trPr>
          <w:trHeight w:val="182"/>
        </w:trPr>
        <w:tc>
          <w:tcPr>
            <w:tcW w:w="2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Act Section</w:t>
            </w:r>
          </w:p>
        </w:tc>
        <w:tc>
          <w:tcPr>
            <w:tcW w:w="7780" w:type="dxa"/>
            <w:vAlign w:val="bottom"/>
          </w:tcPr>
          <w:p>
            <w:pPr>
              <w:spacing w:after="0"/>
              <w:rPr>
                <w:sz w:val="15"/>
                <w:szCs w:val="15"/>
                <w:color w:val="auto"/>
              </w:rPr>
            </w:pP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Sections</w:t>
            </w:r>
          </w:p>
        </w:tc>
      </w:tr>
      <w:tr>
        <w:trPr>
          <w:trHeight w:val="221"/>
        </w:trPr>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3"/>
              </w:rPr>
              <w:t>§ 310(a)(1)</w:t>
            </w:r>
          </w:p>
        </w:tc>
        <w:tc>
          <w:tcPr>
            <w:tcW w:w="132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 w:type="dxa"/>
            <w:vAlign w:val="bottom"/>
          </w:tcPr>
          <w:p>
            <w:pPr>
              <w:spacing w:after="0"/>
              <w:rPr>
                <w:sz w:val="19"/>
                <w:szCs w:val="19"/>
                <w:color w:val="auto"/>
              </w:rPr>
            </w:pPr>
          </w:p>
        </w:tc>
      </w:tr>
      <w:tr>
        <w:trPr>
          <w:trHeight w:val="30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w:t>
            </w:r>
          </w:p>
        </w:tc>
        <w:tc>
          <w:tcPr>
            <w:tcW w:w="8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609</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(a)(3)</w:t>
            </w:r>
          </w:p>
        </w:tc>
        <w:tc>
          <w:tcPr>
            <w:tcW w:w="778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(a)(4)</w:t>
            </w:r>
          </w:p>
        </w:tc>
        <w:tc>
          <w:tcPr>
            <w:tcW w:w="778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(a)(5)</w:t>
            </w:r>
          </w:p>
        </w:tc>
        <w:tc>
          <w:tcPr>
            <w:tcW w:w="8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609</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8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608</w:t>
            </w:r>
          </w:p>
        </w:tc>
      </w:tr>
      <w:tr>
        <w:trPr>
          <w:trHeight w:val="324"/>
        </w:trPr>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610</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311(a)</w:t>
            </w:r>
          </w:p>
        </w:tc>
        <w:tc>
          <w:tcPr>
            <w:tcW w:w="778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613(a)</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778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613(b)</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(b)(2)</w:t>
            </w:r>
          </w:p>
        </w:tc>
        <w:tc>
          <w:tcPr>
            <w:tcW w:w="778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703(a)(2)</w:t>
            </w:r>
          </w:p>
        </w:tc>
      </w:tr>
      <w:tr>
        <w:trPr>
          <w:trHeight w:val="324"/>
        </w:trPr>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703(b)</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312(a)</w:t>
            </w:r>
          </w:p>
        </w:tc>
        <w:tc>
          <w:tcPr>
            <w:tcW w:w="8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701</w:t>
            </w:r>
          </w:p>
        </w:tc>
      </w:tr>
      <w:tr>
        <w:trPr>
          <w:trHeight w:val="324"/>
        </w:trPr>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702(a)</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778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702(b)</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t>
            </w:r>
          </w:p>
        </w:tc>
        <w:tc>
          <w:tcPr>
            <w:tcW w:w="778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702(c)</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313(a)</w:t>
            </w:r>
          </w:p>
        </w:tc>
        <w:tc>
          <w:tcPr>
            <w:tcW w:w="778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703(a)</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778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703(b)</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t>
            </w:r>
          </w:p>
        </w:tc>
        <w:tc>
          <w:tcPr>
            <w:tcW w:w="778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703(a), 703(b)</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778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703(c)</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314(a)</w:t>
            </w:r>
          </w:p>
        </w:tc>
        <w:tc>
          <w:tcPr>
            <w:tcW w:w="8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704, 1004</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778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(c)(1)</w:t>
            </w:r>
          </w:p>
        </w:tc>
        <w:tc>
          <w:tcPr>
            <w:tcW w:w="8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(c)(2)</w:t>
            </w:r>
          </w:p>
        </w:tc>
        <w:tc>
          <w:tcPr>
            <w:tcW w:w="8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(c)(3)</w:t>
            </w:r>
          </w:p>
        </w:tc>
        <w:tc>
          <w:tcPr>
            <w:tcW w:w="778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778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w:t>
            </w:r>
          </w:p>
        </w:tc>
        <w:tc>
          <w:tcPr>
            <w:tcW w:w="8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315(a)</w:t>
            </w:r>
          </w:p>
        </w:tc>
        <w:tc>
          <w:tcPr>
            <w:tcW w:w="778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601(a)</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8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602</w:t>
            </w:r>
          </w:p>
        </w:tc>
      </w:tr>
      <w:tr>
        <w:trPr>
          <w:trHeight w:val="324"/>
        </w:trPr>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703(a)(7)</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t>
            </w:r>
          </w:p>
        </w:tc>
        <w:tc>
          <w:tcPr>
            <w:tcW w:w="778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601(b)</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778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601(c)</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(d)(l)</w:t>
            </w:r>
          </w:p>
        </w:tc>
        <w:tc>
          <w:tcPr>
            <w:tcW w:w="778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601(a)(1)</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(d)(2)</w:t>
            </w:r>
          </w:p>
        </w:tc>
        <w:tc>
          <w:tcPr>
            <w:tcW w:w="778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601(c)(2)</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(d)(3)</w:t>
            </w:r>
          </w:p>
        </w:tc>
        <w:tc>
          <w:tcPr>
            <w:tcW w:w="778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601(c)(3)</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w:t>
            </w:r>
          </w:p>
        </w:tc>
        <w:tc>
          <w:tcPr>
            <w:tcW w:w="8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514</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316(a)</w:t>
            </w:r>
          </w:p>
        </w:tc>
        <w:tc>
          <w:tcPr>
            <w:tcW w:w="8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(a)(1)(A)</w:t>
            </w:r>
          </w:p>
        </w:tc>
        <w:tc>
          <w:tcPr>
            <w:tcW w:w="8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502</w:t>
            </w:r>
          </w:p>
        </w:tc>
      </w:tr>
      <w:tr>
        <w:trPr>
          <w:trHeight w:val="324"/>
        </w:trPr>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512</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(a)(1)(B)</w:t>
            </w:r>
          </w:p>
        </w:tc>
        <w:tc>
          <w:tcPr>
            <w:tcW w:w="8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513</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w:t>
            </w:r>
          </w:p>
        </w:tc>
        <w:tc>
          <w:tcPr>
            <w:tcW w:w="778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8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508</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t>
            </w:r>
          </w:p>
        </w:tc>
        <w:tc>
          <w:tcPr>
            <w:tcW w:w="778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104(e)</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317(a)(l)</w:t>
            </w:r>
          </w:p>
        </w:tc>
        <w:tc>
          <w:tcPr>
            <w:tcW w:w="8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503</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w:t>
            </w:r>
          </w:p>
        </w:tc>
        <w:tc>
          <w:tcPr>
            <w:tcW w:w="8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504</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8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1003</w:t>
            </w:r>
          </w:p>
        </w:tc>
      </w:tr>
      <w:tr>
        <w:trPr>
          <w:trHeight w:val="32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318(a)</w:t>
            </w:r>
          </w:p>
        </w:tc>
        <w:tc>
          <w:tcPr>
            <w:tcW w:w="8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r>
    </w:tbl>
    <w:p>
      <w:pPr>
        <w:jc w:val="right"/>
        <w:ind w:right="20"/>
        <w:spacing w:after="0"/>
        <w:rPr>
          <w:sz w:val="20"/>
          <w:szCs w:val="20"/>
          <w:color w:val="auto"/>
        </w:rPr>
        <w:sectPr>
          <w:pgSz w:w="11900" w:h="16838" w:orient="portrait"/>
          <w:cols w:equalWidth="0" w:num="1">
            <w:col w:w="10960"/>
          </w:cols>
          <w:pgMar w:left="440" w:top="266" w:right="499" w:bottom="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4" w:name="page35"/>
    <w:bookmarkEnd w:id="34"/>
    <w:p>
      <w:pPr>
        <w:spacing w:after="0"/>
        <w:rPr>
          <w:sz w:val="20"/>
          <w:szCs w:val="20"/>
          <w:color w:val="auto"/>
        </w:rPr>
      </w:pPr>
      <w:r>
        <w:rPr>
          <w:rFonts w:ascii="Times New Roman" w:cs="Times New Roman" w:eastAsia="Times New Roman" w:hAnsi="Times New Roman"/>
          <w:sz w:val="17"/>
          <w:szCs w:val="17"/>
          <w:color w:val="auto"/>
        </w:rPr>
        <w:t>Note: This reconciliation and tie shall not, for any purpose, be deemed to be a part of the Indenture.</w:t>
      </w:r>
    </w:p>
    <w:p>
      <w:pPr>
        <w:sectPr>
          <w:pgSz w:w="11900" w:h="16838" w:orient="portrait"/>
          <w:cols w:equalWidth="0" w:num="1">
            <w:col w:w="10019"/>
          </w:cols>
          <w:pgMar w:left="440" w:top="121"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1320" w:type="dxa"/>
            <w:vAlign w:val="bottom"/>
          </w:tcPr>
          <w:p>
            <w:pPr>
              <w:spacing w:after="0"/>
              <w:rPr>
                <w:sz w:val="20"/>
                <w:szCs w:val="20"/>
                <w:color w:val="auto"/>
              </w:rPr>
            </w:pPr>
          </w:p>
        </w:tc>
        <w:tc>
          <w:tcPr>
            <w:tcW w:w="934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9340" w:type="dxa"/>
            <w:vAlign w:val="bottom"/>
            <w:vMerge w:val="restart"/>
          </w:tcPr>
          <w:p>
            <w:pPr>
              <w:jc w:val="center"/>
              <w:ind w:right="930"/>
              <w:spacing w:after="0"/>
              <w:rPr>
                <w:sz w:val="20"/>
                <w:szCs w:val="20"/>
                <w:color w:val="auto"/>
              </w:rPr>
            </w:pPr>
            <w:r>
              <w:rPr>
                <w:rFonts w:ascii="Times New Roman" w:cs="Times New Roman" w:eastAsia="Times New Roman" w:hAnsi="Times New Roman"/>
                <w:sz w:val="18"/>
                <w:szCs w:val="18"/>
                <w:color w:val="auto"/>
                <w:w w:val="98"/>
              </w:rPr>
              <w:t>ARTICLE ONE</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93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320" w:type="dxa"/>
            <w:vAlign w:val="bottom"/>
          </w:tcPr>
          <w:p>
            <w:pPr>
              <w:spacing w:after="0"/>
              <w:rPr>
                <w:sz w:val="24"/>
                <w:szCs w:val="24"/>
                <w:color w:val="auto"/>
              </w:rPr>
            </w:pPr>
          </w:p>
        </w:tc>
        <w:tc>
          <w:tcPr>
            <w:tcW w:w="934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DEFINITIONS AND OTHER PROVISIONS OF GENERAL APPLICATION</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Definitions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Compliance Certificates and Opinions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Form of Documents Delivered to Trustee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Acts of Holders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Notices, Etc. to Trustee and Company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Notice to Holders; Waiver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Conflict With Trust Indenture Act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108.</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Effect of Headings and Table of Contents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109.</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Successors and Assigns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110.</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Separability Clause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111.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Benefits of Indenture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112.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Governing Law</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113.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Legal Holidays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114.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Rules by Trustee and Agents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115.</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No Recourse Against Others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4"/>
                <w:szCs w:val="24"/>
                <w:color w:val="auto"/>
              </w:rPr>
            </w:pPr>
          </w:p>
        </w:tc>
        <w:tc>
          <w:tcPr>
            <w:tcW w:w="934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8"/>
              </w:rPr>
              <w:t>ARTICLE TWO</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4"/>
                <w:szCs w:val="24"/>
                <w:color w:val="auto"/>
              </w:rPr>
            </w:pPr>
          </w:p>
        </w:tc>
        <w:tc>
          <w:tcPr>
            <w:tcW w:w="93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SECURITY FORMS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Forms Generally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Form of Trustee’s Certificate of Authentication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4"/>
                <w:szCs w:val="24"/>
                <w:color w:val="auto"/>
              </w:rPr>
            </w:pPr>
          </w:p>
        </w:tc>
        <w:tc>
          <w:tcPr>
            <w:tcW w:w="934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8"/>
              </w:rPr>
              <w:t>ARTICLE THREE</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4"/>
                <w:szCs w:val="24"/>
                <w:color w:val="auto"/>
              </w:rPr>
            </w:pPr>
          </w:p>
        </w:tc>
        <w:tc>
          <w:tcPr>
            <w:tcW w:w="93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THE SECURITIES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Amount Unlimited; Issuable in Series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Denominations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Execution, Authentication, Delivery and Dating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Temporary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Registration, Registration of Transfer and Exchange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Mutilated, Destroyed, Lost and Stolen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Payment of Interest; Interest Rights Preserved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Persons Deemed Owners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Cancellation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Computation of Interest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Global Securities; Exchanges; Registration and Registration of Transfer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Extension of Interest Payment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65"/>
        </w:trPr>
        <w:tc>
          <w:tcPr>
            <w:tcW w:w="1320" w:type="dxa"/>
            <w:vAlign w:val="bottom"/>
          </w:tcPr>
          <w:p>
            <w:pPr>
              <w:spacing w:after="0"/>
              <w:rPr>
                <w:sz w:val="24"/>
                <w:szCs w:val="24"/>
                <w:color w:val="auto"/>
              </w:rPr>
            </w:pPr>
          </w:p>
        </w:tc>
        <w:tc>
          <w:tcPr>
            <w:tcW w:w="934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78"/>
              </w:rPr>
              <w:t>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6" w:name="page37"/>
    <w:bookmarkEnd w:id="36"/>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78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ARTICLE FOUR</w:t>
            </w:r>
          </w:p>
        </w:tc>
        <w:tc>
          <w:tcPr>
            <w:tcW w:w="1820" w:type="dxa"/>
            <w:vAlign w:val="bottom"/>
          </w:tcPr>
          <w:p>
            <w:pPr>
              <w:spacing w:after="0"/>
              <w:rPr>
                <w:sz w:val="20"/>
                <w:szCs w:val="20"/>
                <w:color w:val="auto"/>
              </w:rPr>
            </w:pPr>
          </w:p>
        </w:tc>
      </w:tr>
      <w:tr>
        <w:trPr>
          <w:trHeight w:val="338"/>
        </w:trPr>
        <w:tc>
          <w:tcPr>
            <w:tcW w:w="1320" w:type="dxa"/>
            <w:vAlign w:val="bottom"/>
          </w:tcPr>
          <w:p>
            <w:pPr>
              <w:spacing w:after="0"/>
              <w:rPr>
                <w:sz w:val="24"/>
                <w:szCs w:val="24"/>
                <w:color w:val="auto"/>
              </w:rPr>
            </w:pPr>
          </w:p>
        </w:tc>
        <w:tc>
          <w:tcPr>
            <w:tcW w:w="78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SATISFACTION AND DISCHARGE; DEFEASANCE</w:t>
            </w:r>
          </w:p>
        </w:tc>
        <w:tc>
          <w:tcPr>
            <w:tcW w:w="1820" w:type="dxa"/>
            <w:vAlign w:val="bottom"/>
          </w:tcPr>
          <w:p>
            <w:pPr>
              <w:spacing w:after="0"/>
              <w:rPr>
                <w:sz w:val="24"/>
                <w:szCs w:val="24"/>
                <w:color w:val="auto"/>
              </w:rPr>
            </w:pPr>
          </w:p>
        </w:tc>
      </w:tr>
      <w:tr>
        <w:trPr>
          <w:trHeight w:val="338"/>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Termination of Company’s Obligations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Defeasance and Discharge of Indenture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Defeasance of Certain Obligations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Conditions to Defeasance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Application of Trust Money</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406.</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Reinstatement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320" w:type="dxa"/>
            <w:vAlign w:val="bottom"/>
          </w:tcPr>
          <w:p>
            <w:pPr>
              <w:spacing w:after="0"/>
              <w:rPr>
                <w:sz w:val="24"/>
                <w:szCs w:val="24"/>
                <w:color w:val="auto"/>
              </w:rPr>
            </w:pPr>
          </w:p>
        </w:tc>
        <w:tc>
          <w:tcPr>
            <w:tcW w:w="78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ARTICLE FIVE</w:t>
            </w:r>
          </w:p>
        </w:tc>
        <w:tc>
          <w:tcPr>
            <w:tcW w:w="1820" w:type="dxa"/>
            <w:vAlign w:val="bottom"/>
          </w:tcPr>
          <w:p>
            <w:pPr>
              <w:spacing w:after="0"/>
              <w:rPr>
                <w:sz w:val="24"/>
                <w:szCs w:val="24"/>
                <w:color w:val="auto"/>
              </w:rPr>
            </w:pPr>
          </w:p>
        </w:tc>
      </w:tr>
      <w:tr>
        <w:trPr>
          <w:trHeight w:val="324"/>
        </w:trPr>
        <w:tc>
          <w:tcPr>
            <w:tcW w:w="1320" w:type="dxa"/>
            <w:vAlign w:val="bottom"/>
          </w:tcPr>
          <w:p>
            <w:pPr>
              <w:spacing w:after="0"/>
              <w:rPr>
                <w:sz w:val="24"/>
                <w:szCs w:val="24"/>
                <w:color w:val="auto"/>
              </w:rPr>
            </w:pPr>
          </w:p>
        </w:tc>
        <w:tc>
          <w:tcPr>
            <w:tcW w:w="78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REMEDIES</w:t>
            </w:r>
          </w:p>
        </w:tc>
        <w:tc>
          <w:tcPr>
            <w:tcW w:w="1820" w:type="dxa"/>
            <w:vAlign w:val="bottom"/>
          </w:tcPr>
          <w:p>
            <w:pPr>
              <w:spacing w:after="0"/>
              <w:rPr>
                <w:sz w:val="24"/>
                <w:szCs w:val="24"/>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Events of Default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Acceleration of Maturity; Rescission and Annulment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Collection of Indebtedness and Suits for Enforcement by Trustee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Trustee May File Proofs of Claim</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Trustee May Enforce Claims Without Possession of Securities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Application of Money Collected</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Limitation on Suits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Unconditional Right of Holders to Receive Principal, Premium and Interest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509.</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Restoration of Rights and Remedies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Rights and Remedies Cumulative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Delay or Omission Not Waiver</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Control by Holders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Waiver of Past Defaults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Undertaking for Costs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515.</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Waiver of Stay or Extension Laws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1320" w:type="dxa"/>
            <w:vAlign w:val="bottom"/>
          </w:tcPr>
          <w:p>
            <w:pPr>
              <w:spacing w:after="0"/>
              <w:rPr>
                <w:sz w:val="24"/>
                <w:szCs w:val="24"/>
                <w:color w:val="auto"/>
              </w:rPr>
            </w:pPr>
          </w:p>
        </w:tc>
        <w:tc>
          <w:tcPr>
            <w:tcW w:w="78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ARTICLE SIX</w:t>
            </w:r>
          </w:p>
        </w:tc>
        <w:tc>
          <w:tcPr>
            <w:tcW w:w="1820" w:type="dxa"/>
            <w:vAlign w:val="bottom"/>
          </w:tcPr>
          <w:p>
            <w:pPr>
              <w:spacing w:after="0"/>
              <w:rPr>
                <w:sz w:val="24"/>
                <w:szCs w:val="24"/>
                <w:color w:val="auto"/>
              </w:rPr>
            </w:pPr>
          </w:p>
        </w:tc>
      </w:tr>
      <w:tr>
        <w:trPr>
          <w:trHeight w:val="338"/>
        </w:trPr>
        <w:tc>
          <w:tcPr>
            <w:tcW w:w="1320" w:type="dxa"/>
            <w:vAlign w:val="bottom"/>
          </w:tcPr>
          <w:p>
            <w:pPr>
              <w:spacing w:after="0"/>
              <w:rPr>
                <w:sz w:val="24"/>
                <w:szCs w:val="24"/>
                <w:color w:val="auto"/>
              </w:rPr>
            </w:pPr>
          </w:p>
        </w:tc>
        <w:tc>
          <w:tcPr>
            <w:tcW w:w="78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THE TRUSTEE</w:t>
            </w:r>
          </w:p>
        </w:tc>
        <w:tc>
          <w:tcPr>
            <w:tcW w:w="1820" w:type="dxa"/>
            <w:vAlign w:val="bottom"/>
          </w:tcPr>
          <w:p>
            <w:pPr>
              <w:spacing w:after="0"/>
              <w:rPr>
                <w:sz w:val="24"/>
                <w:szCs w:val="24"/>
                <w:color w:val="auto"/>
              </w:rPr>
            </w:pPr>
          </w:p>
        </w:tc>
      </w:tr>
      <w:tr>
        <w:trPr>
          <w:trHeight w:val="338"/>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Certain Duties and Responsibilities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Notice of Defaults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Certain Rights of Trustee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Not Responsible for Recitals or Issuance of Securities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May Hold Securities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Money Held in Trust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Compensation and Reimbursement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Disqualification; Conflicting Interests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Corporate Trustee Required; Eligibility</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64"/>
        </w:trPr>
        <w:tc>
          <w:tcPr>
            <w:tcW w:w="1320" w:type="dxa"/>
            <w:vAlign w:val="bottom"/>
          </w:tcPr>
          <w:p>
            <w:pPr>
              <w:spacing w:after="0"/>
              <w:rPr>
                <w:sz w:val="24"/>
                <w:szCs w:val="24"/>
                <w:color w:val="auto"/>
              </w:rPr>
            </w:pPr>
          </w:p>
        </w:tc>
        <w:tc>
          <w:tcPr>
            <w:tcW w:w="78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ii</w:t>
            </w:r>
          </w:p>
        </w:tc>
        <w:tc>
          <w:tcPr>
            <w:tcW w:w="18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378"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7" w:name="page38"/>
    <w:bookmarkEnd w:id="37"/>
    <w:tbl>
      <w:tblPr>
        <w:tblLayout w:type="fixed"/>
        <w:tblInd w:w="0" w:type="dxa"/>
        <w:tblCellMar>
          <w:top w:w="0" w:type="dxa"/>
          <w:left w:w="0" w:type="dxa"/>
          <w:bottom w:w="0" w:type="dxa"/>
          <w:right w:w="0" w:type="dxa"/>
        </w:tblCellMar>
      </w:tblPr>
      <w:tr>
        <w:trPr>
          <w:trHeight w:val="23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Resignation and Removal; Appointment of Successor</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Acceptance of Appointment by Successor</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Merger, Conversion, Consolidation or Succession to Business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Preferential Collection of Claims Against Company</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614.</w:t>
            </w:r>
          </w:p>
        </w:tc>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Appointment of Authenticating Agent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1360" w:type="dxa"/>
            <w:vAlign w:val="bottom"/>
          </w:tcPr>
          <w:p>
            <w:pPr>
              <w:spacing w:after="0"/>
              <w:rPr>
                <w:sz w:val="24"/>
                <w:szCs w:val="24"/>
                <w:color w:val="auto"/>
              </w:rPr>
            </w:pPr>
          </w:p>
        </w:tc>
        <w:tc>
          <w:tcPr>
            <w:tcW w:w="80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ARTICLE SEVEN</w:t>
            </w:r>
          </w:p>
        </w:tc>
        <w:tc>
          <w:tcPr>
            <w:tcW w:w="1540" w:type="dxa"/>
            <w:vAlign w:val="bottom"/>
          </w:tcPr>
          <w:p>
            <w:pPr>
              <w:spacing w:after="0"/>
              <w:rPr>
                <w:sz w:val="24"/>
                <w:szCs w:val="24"/>
                <w:color w:val="auto"/>
              </w:rPr>
            </w:pPr>
          </w:p>
        </w:tc>
      </w:tr>
      <w:tr>
        <w:trPr>
          <w:trHeight w:val="459"/>
        </w:trPr>
        <w:tc>
          <w:tcPr>
            <w:tcW w:w="1360" w:type="dxa"/>
            <w:vAlign w:val="bottom"/>
          </w:tcPr>
          <w:p>
            <w:pPr>
              <w:spacing w:after="0"/>
              <w:rPr>
                <w:sz w:val="24"/>
                <w:szCs w:val="24"/>
                <w:color w:val="auto"/>
              </w:rPr>
            </w:pPr>
          </w:p>
        </w:tc>
        <w:tc>
          <w:tcPr>
            <w:tcW w:w="80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HOLDERS’ LISTS AND REPORTS BY TRUSTEE AND COMPANY</w:t>
            </w:r>
          </w:p>
        </w:tc>
        <w:tc>
          <w:tcPr>
            <w:tcW w:w="1540" w:type="dxa"/>
            <w:vAlign w:val="bottom"/>
          </w:tcPr>
          <w:p>
            <w:pPr>
              <w:spacing w:after="0"/>
              <w:rPr>
                <w:sz w:val="24"/>
                <w:szCs w:val="24"/>
                <w:color w:val="auto"/>
              </w:rPr>
            </w:pP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Company to Furnish Trustee Names and Addresses of Holders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Preservation of Information; Communications to Holders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Reports by Trustee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Reports by Company</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1360" w:type="dxa"/>
            <w:vAlign w:val="bottom"/>
          </w:tcPr>
          <w:p>
            <w:pPr>
              <w:spacing w:after="0"/>
              <w:rPr>
                <w:sz w:val="24"/>
                <w:szCs w:val="24"/>
                <w:color w:val="auto"/>
              </w:rPr>
            </w:pPr>
          </w:p>
        </w:tc>
        <w:tc>
          <w:tcPr>
            <w:tcW w:w="80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ARTICLE EIGHT</w:t>
            </w:r>
          </w:p>
        </w:tc>
        <w:tc>
          <w:tcPr>
            <w:tcW w:w="1540" w:type="dxa"/>
            <w:vAlign w:val="bottom"/>
          </w:tcPr>
          <w:p>
            <w:pPr>
              <w:spacing w:after="0"/>
              <w:rPr>
                <w:sz w:val="24"/>
                <w:szCs w:val="24"/>
                <w:color w:val="auto"/>
              </w:rPr>
            </w:pPr>
          </w:p>
        </w:tc>
      </w:tr>
      <w:tr>
        <w:trPr>
          <w:trHeight w:val="338"/>
        </w:trPr>
        <w:tc>
          <w:tcPr>
            <w:tcW w:w="1360" w:type="dxa"/>
            <w:vAlign w:val="bottom"/>
          </w:tcPr>
          <w:p>
            <w:pPr>
              <w:spacing w:after="0"/>
              <w:rPr>
                <w:sz w:val="24"/>
                <w:szCs w:val="24"/>
                <w:color w:val="auto"/>
              </w:rPr>
            </w:pPr>
          </w:p>
        </w:tc>
        <w:tc>
          <w:tcPr>
            <w:tcW w:w="80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CONSOLIDATION, MERGER, CONVEYANCE OR TRANSFER</w:t>
            </w:r>
          </w:p>
        </w:tc>
        <w:tc>
          <w:tcPr>
            <w:tcW w:w="1540" w:type="dxa"/>
            <w:vAlign w:val="bottom"/>
          </w:tcPr>
          <w:p>
            <w:pPr>
              <w:spacing w:after="0"/>
              <w:rPr>
                <w:sz w:val="24"/>
                <w:szCs w:val="24"/>
                <w:color w:val="auto"/>
              </w:rPr>
            </w:pPr>
          </w:p>
        </w:tc>
      </w:tr>
      <w:tr>
        <w:trPr>
          <w:trHeight w:val="33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Company May Consolidate, Etc. Only on Certain Terms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Successor Substituted for the Company</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1360" w:type="dxa"/>
            <w:vAlign w:val="bottom"/>
          </w:tcPr>
          <w:p>
            <w:pPr>
              <w:spacing w:after="0"/>
              <w:rPr>
                <w:sz w:val="24"/>
                <w:szCs w:val="24"/>
                <w:color w:val="auto"/>
              </w:rPr>
            </w:pPr>
          </w:p>
        </w:tc>
        <w:tc>
          <w:tcPr>
            <w:tcW w:w="80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ARTICLE NINE</w:t>
            </w:r>
          </w:p>
        </w:tc>
        <w:tc>
          <w:tcPr>
            <w:tcW w:w="1540" w:type="dxa"/>
            <w:vAlign w:val="bottom"/>
          </w:tcPr>
          <w:p>
            <w:pPr>
              <w:spacing w:after="0"/>
              <w:rPr>
                <w:sz w:val="24"/>
                <w:szCs w:val="24"/>
                <w:color w:val="auto"/>
              </w:rPr>
            </w:pPr>
          </w:p>
        </w:tc>
      </w:tr>
      <w:tr>
        <w:trPr>
          <w:trHeight w:val="338"/>
        </w:trPr>
        <w:tc>
          <w:tcPr>
            <w:tcW w:w="1360" w:type="dxa"/>
            <w:vAlign w:val="bottom"/>
          </w:tcPr>
          <w:p>
            <w:pPr>
              <w:spacing w:after="0"/>
              <w:rPr>
                <w:sz w:val="24"/>
                <w:szCs w:val="24"/>
                <w:color w:val="auto"/>
              </w:rPr>
            </w:pPr>
          </w:p>
        </w:tc>
        <w:tc>
          <w:tcPr>
            <w:tcW w:w="80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SUPPLEMENTAL INDENTURES</w:t>
            </w:r>
          </w:p>
        </w:tc>
        <w:tc>
          <w:tcPr>
            <w:tcW w:w="1540" w:type="dxa"/>
            <w:vAlign w:val="bottom"/>
          </w:tcPr>
          <w:p>
            <w:pPr>
              <w:spacing w:after="0"/>
              <w:rPr>
                <w:sz w:val="24"/>
                <w:szCs w:val="24"/>
                <w:color w:val="auto"/>
              </w:rPr>
            </w:pPr>
          </w:p>
        </w:tc>
      </w:tr>
      <w:tr>
        <w:trPr>
          <w:trHeight w:val="33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Supplemental Indentures Without Consent of Holders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Supplemental Indentures With Consent of Holders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Execution of Supplemental Indentures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Effect of Supplemental Indentures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Conformity With Trust Indenture Act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Reference in Securities to Supplemental Indentures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Revocation and Effect of Consents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908.</w:t>
            </w:r>
          </w:p>
        </w:tc>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Modification Without Supplemental Indenture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360" w:type="dxa"/>
            <w:vAlign w:val="bottom"/>
          </w:tcPr>
          <w:p>
            <w:pPr>
              <w:spacing w:after="0"/>
              <w:rPr>
                <w:sz w:val="24"/>
                <w:szCs w:val="24"/>
                <w:color w:val="auto"/>
              </w:rPr>
            </w:pPr>
          </w:p>
        </w:tc>
        <w:tc>
          <w:tcPr>
            <w:tcW w:w="80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ARTICLE TEN</w:t>
            </w:r>
          </w:p>
        </w:tc>
        <w:tc>
          <w:tcPr>
            <w:tcW w:w="1540" w:type="dxa"/>
            <w:vAlign w:val="bottom"/>
          </w:tcPr>
          <w:p>
            <w:pPr>
              <w:spacing w:after="0"/>
              <w:rPr>
                <w:sz w:val="24"/>
                <w:szCs w:val="24"/>
                <w:color w:val="auto"/>
              </w:rPr>
            </w:pPr>
          </w:p>
        </w:tc>
      </w:tr>
      <w:tr>
        <w:trPr>
          <w:trHeight w:val="338"/>
        </w:trPr>
        <w:tc>
          <w:tcPr>
            <w:tcW w:w="1360" w:type="dxa"/>
            <w:vAlign w:val="bottom"/>
          </w:tcPr>
          <w:p>
            <w:pPr>
              <w:spacing w:after="0"/>
              <w:rPr>
                <w:sz w:val="24"/>
                <w:szCs w:val="24"/>
                <w:color w:val="auto"/>
              </w:rPr>
            </w:pPr>
          </w:p>
        </w:tc>
        <w:tc>
          <w:tcPr>
            <w:tcW w:w="80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COVENANTS</w:t>
            </w:r>
          </w:p>
        </w:tc>
        <w:tc>
          <w:tcPr>
            <w:tcW w:w="1540" w:type="dxa"/>
            <w:vAlign w:val="bottom"/>
          </w:tcPr>
          <w:p>
            <w:pPr>
              <w:spacing w:after="0"/>
              <w:rPr>
                <w:sz w:val="24"/>
                <w:szCs w:val="24"/>
                <w:color w:val="auto"/>
              </w:rPr>
            </w:pPr>
          </w:p>
        </w:tc>
      </w:tr>
      <w:tr>
        <w:trPr>
          <w:trHeight w:val="33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Payment of Principal, Premium and Interest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Maintenance of Office or Agency</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1003.</w:t>
            </w:r>
          </w:p>
        </w:tc>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Money for Securities Payments to Be Held in Trust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1004.</w:t>
            </w:r>
          </w:p>
        </w:tc>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Statement as to Compliance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1005.</w:t>
            </w:r>
          </w:p>
        </w:tc>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Corporate Existence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1006.</w:t>
            </w:r>
          </w:p>
        </w:tc>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Waiver of Certain Covenants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65"/>
        </w:trPr>
        <w:tc>
          <w:tcPr>
            <w:tcW w:w="1360" w:type="dxa"/>
            <w:vAlign w:val="bottom"/>
          </w:tcPr>
          <w:p>
            <w:pPr>
              <w:spacing w:after="0"/>
              <w:rPr>
                <w:sz w:val="24"/>
                <w:szCs w:val="24"/>
                <w:color w:val="auto"/>
              </w:rPr>
            </w:pPr>
          </w:p>
        </w:tc>
        <w:tc>
          <w:tcPr>
            <w:tcW w:w="8060" w:type="dxa"/>
            <w:vAlign w:val="bottom"/>
          </w:tcPr>
          <w:p>
            <w:pPr>
              <w:ind w:left="4060"/>
              <w:spacing w:after="0"/>
              <w:rPr>
                <w:sz w:val="20"/>
                <w:szCs w:val="20"/>
                <w:color w:val="auto"/>
              </w:rPr>
            </w:pPr>
            <w:r>
              <w:rPr>
                <w:rFonts w:ascii="Times New Roman" w:cs="Times New Roman" w:eastAsia="Times New Roman" w:hAnsi="Times New Roman"/>
                <w:sz w:val="18"/>
                <w:szCs w:val="18"/>
                <w:color w:val="auto"/>
              </w:rPr>
              <w:t>iii</w:t>
            </w:r>
          </w:p>
        </w:tc>
        <w:tc>
          <w:tcPr>
            <w:tcW w:w="15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8"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8" w:name="page39"/>
    <w:bookmarkEnd w:id="38"/>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78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ARTICLE ELEVEN</w:t>
            </w:r>
          </w:p>
        </w:tc>
        <w:tc>
          <w:tcPr>
            <w:tcW w:w="1700" w:type="dxa"/>
            <w:vAlign w:val="bottom"/>
          </w:tcPr>
          <w:p>
            <w:pPr>
              <w:spacing w:after="0"/>
              <w:rPr>
                <w:sz w:val="20"/>
                <w:szCs w:val="20"/>
                <w:color w:val="auto"/>
              </w:rPr>
            </w:pPr>
          </w:p>
        </w:tc>
      </w:tr>
      <w:tr>
        <w:trPr>
          <w:trHeight w:val="338"/>
        </w:trPr>
        <w:tc>
          <w:tcPr>
            <w:tcW w:w="1420" w:type="dxa"/>
            <w:vAlign w:val="bottom"/>
          </w:tcPr>
          <w:p>
            <w:pPr>
              <w:spacing w:after="0"/>
              <w:rPr>
                <w:sz w:val="24"/>
                <w:szCs w:val="24"/>
                <w:color w:val="auto"/>
              </w:rPr>
            </w:pPr>
          </w:p>
        </w:tc>
        <w:tc>
          <w:tcPr>
            <w:tcW w:w="78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REDEMPTION OF SECURITIES</w:t>
            </w:r>
          </w:p>
        </w:tc>
        <w:tc>
          <w:tcPr>
            <w:tcW w:w="1700" w:type="dxa"/>
            <w:vAlign w:val="bottom"/>
          </w:tcPr>
          <w:p>
            <w:pPr>
              <w:spacing w:after="0"/>
              <w:rPr>
                <w:sz w:val="24"/>
                <w:szCs w:val="24"/>
                <w:color w:val="auto"/>
              </w:rPr>
            </w:pPr>
          </w:p>
        </w:tc>
      </w:tr>
      <w:tr>
        <w:trPr>
          <w:trHeight w:val="338"/>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1101.</w:t>
            </w:r>
          </w:p>
        </w:tc>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Applicability of Article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1102.</w:t>
            </w:r>
          </w:p>
        </w:tc>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Election to Redeem; Notice to Trustee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1103.</w:t>
            </w:r>
          </w:p>
        </w:tc>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Selection by Trustee of Securities to Be Redeemed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1104.</w:t>
            </w:r>
          </w:p>
        </w:tc>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Notice of Redemption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1105.</w:t>
            </w:r>
          </w:p>
        </w:tc>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Securities Payable on Redemption Date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1106.</w:t>
            </w:r>
          </w:p>
        </w:tc>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Securities Redeemed in Part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1420" w:type="dxa"/>
            <w:vAlign w:val="bottom"/>
          </w:tcPr>
          <w:p>
            <w:pPr>
              <w:spacing w:after="0"/>
              <w:rPr>
                <w:sz w:val="24"/>
                <w:szCs w:val="24"/>
                <w:color w:val="auto"/>
              </w:rPr>
            </w:pPr>
          </w:p>
        </w:tc>
        <w:tc>
          <w:tcPr>
            <w:tcW w:w="78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ARTICLE TWELVE</w:t>
            </w:r>
          </w:p>
        </w:tc>
        <w:tc>
          <w:tcPr>
            <w:tcW w:w="1700" w:type="dxa"/>
            <w:vAlign w:val="bottom"/>
          </w:tcPr>
          <w:p>
            <w:pPr>
              <w:spacing w:after="0"/>
              <w:rPr>
                <w:sz w:val="24"/>
                <w:szCs w:val="24"/>
                <w:color w:val="auto"/>
              </w:rPr>
            </w:pPr>
          </w:p>
        </w:tc>
      </w:tr>
      <w:tr>
        <w:trPr>
          <w:trHeight w:val="338"/>
        </w:trPr>
        <w:tc>
          <w:tcPr>
            <w:tcW w:w="1420" w:type="dxa"/>
            <w:vAlign w:val="bottom"/>
          </w:tcPr>
          <w:p>
            <w:pPr>
              <w:spacing w:after="0"/>
              <w:rPr>
                <w:sz w:val="24"/>
                <w:szCs w:val="24"/>
                <w:color w:val="auto"/>
              </w:rPr>
            </w:pPr>
          </w:p>
        </w:tc>
        <w:tc>
          <w:tcPr>
            <w:tcW w:w="78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REPAYMENT OF SECURITIES AT OPTION OF HOLDERS</w:t>
            </w:r>
          </w:p>
        </w:tc>
        <w:tc>
          <w:tcPr>
            <w:tcW w:w="1700" w:type="dxa"/>
            <w:vAlign w:val="bottom"/>
          </w:tcPr>
          <w:p>
            <w:pPr>
              <w:spacing w:after="0"/>
              <w:rPr>
                <w:sz w:val="24"/>
                <w:szCs w:val="24"/>
                <w:color w:val="auto"/>
              </w:rPr>
            </w:pPr>
          </w:p>
        </w:tc>
      </w:tr>
      <w:tr>
        <w:trPr>
          <w:trHeight w:val="338"/>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1201.</w:t>
            </w:r>
          </w:p>
        </w:tc>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Applicability of Article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1202.</w:t>
            </w:r>
          </w:p>
        </w:tc>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Notice of Repayment Date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1203.</w:t>
            </w:r>
          </w:p>
        </w:tc>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Securities Payable on Repayment Date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1204.</w:t>
            </w:r>
          </w:p>
        </w:tc>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Securities Repaid in Part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65"/>
        </w:trPr>
        <w:tc>
          <w:tcPr>
            <w:tcW w:w="1420" w:type="dxa"/>
            <w:vAlign w:val="bottom"/>
          </w:tcPr>
          <w:p>
            <w:pPr>
              <w:spacing w:after="0"/>
              <w:rPr>
                <w:sz w:val="24"/>
                <w:szCs w:val="24"/>
                <w:color w:val="auto"/>
              </w:rPr>
            </w:pPr>
          </w:p>
        </w:tc>
        <w:tc>
          <w:tcPr>
            <w:tcW w:w="78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iv</w:t>
            </w:r>
          </w:p>
        </w:tc>
        <w:tc>
          <w:tcPr>
            <w:tcW w:w="17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378"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39" w:name="page40"/>
    <w:bookmarkEnd w:id="3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INDENTURE, dated as of , 20 , between VERACYTE, INC., a corporation duly organized and existing under the laws of Delaware (herein called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having its principal office at , and [TRUSTEE] (herein called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RECITALS OF THE COMPANY</w:t>
      </w:r>
    </w:p>
    <w:p>
      <w:pPr>
        <w:spacing w:after="0" w:line="225" w:lineRule="exact"/>
        <w:rPr>
          <w:sz w:val="20"/>
          <w:szCs w:val="20"/>
          <w:color w:val="auto"/>
        </w:rPr>
      </w:pPr>
    </w:p>
    <w:p>
      <w:pPr>
        <w:ind w:right="480" w:firstLine="991"/>
        <w:spacing w:after="0" w:line="266" w:lineRule="auto"/>
        <w:rPr>
          <w:sz w:val="20"/>
          <w:szCs w:val="20"/>
          <w:color w:val="auto"/>
        </w:rPr>
      </w:pPr>
      <w:r>
        <w:rPr>
          <w:rFonts w:ascii="Times New Roman" w:cs="Times New Roman" w:eastAsia="Times New Roman" w:hAnsi="Times New Roman"/>
          <w:sz w:val="18"/>
          <w:szCs w:val="18"/>
          <w:color w:val="auto"/>
        </w:rPr>
        <w:t>The Company has duly authorized the execution and delivery of this Indenture to provide for the issuance from time to time of its unsecured debentures, notes or other evidences of indebtedness (each herein called a “</w:t>
      </w:r>
      <w:r>
        <w:rPr>
          <w:rFonts w:ascii="Times New Roman" w:cs="Times New Roman" w:eastAsia="Times New Roman" w:hAnsi="Times New Roman"/>
          <w:sz w:val="18"/>
          <w:szCs w:val="18"/>
          <w:b w:val="1"/>
          <w:bCs w:val="1"/>
          <w:i w:val="1"/>
          <w:iCs w:val="1"/>
          <w:color w:val="auto"/>
        </w:rPr>
        <w:t>Security</w:t>
      </w:r>
      <w:r>
        <w:rPr>
          <w:rFonts w:ascii="Times New Roman" w:cs="Times New Roman" w:eastAsia="Times New Roman" w:hAnsi="Times New Roman"/>
          <w:sz w:val="18"/>
          <w:szCs w:val="18"/>
          <w:color w:val="auto"/>
        </w:rPr>
        <w:t>” or, collectively,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in an unlimited aggregate principal amount to be issued in one or more series as in this Indenture provided.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All things necessary to make this Indenture a valid agreement of the Company, in accordance with its terms, have been done.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117"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For and in consideration of the premises and the purchase of the Securities by the Holders thereof, it is mutually covenanted and agreed, for the equal and proportionate benefit of all Holders of the Securities or of any series thereof, as follows:</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DEFINITIONS AND OTHER PROVISIONS OF GENERAL APPLICATION</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For all purposes of this Indenture, except as otherwise expressly provided or unless the context otherwise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requires;</w:t>
      </w:r>
    </w:p>
    <w:p>
      <w:pPr>
        <w:spacing w:after="0" w:line="99" w:lineRule="exact"/>
        <w:rPr>
          <w:sz w:val="20"/>
          <w:szCs w:val="20"/>
          <w:color w:val="auto"/>
        </w:rPr>
      </w:pPr>
    </w:p>
    <w:p>
      <w:pPr>
        <w:ind w:left="1240" w:hanging="253"/>
        <w:spacing w:after="0"/>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defined in this Article have the meanings assigned to them in this Article and include the plural as well as the singular;</w:t>
      </w:r>
    </w:p>
    <w:p>
      <w:pPr>
        <w:spacing w:after="0" w:line="117" w:lineRule="exact"/>
        <w:rPr>
          <w:rFonts w:ascii="Times New Roman" w:cs="Times New Roman" w:eastAsia="Times New Roman" w:hAnsi="Times New Roman"/>
          <w:sz w:val="18"/>
          <w:szCs w:val="18"/>
          <w:color w:val="auto"/>
        </w:rPr>
      </w:pPr>
    </w:p>
    <w:p>
      <w:pPr>
        <w:ind w:right="540" w:firstLine="987"/>
        <w:spacing w:after="0" w:line="282" w:lineRule="auto"/>
        <w:tabs>
          <w:tab w:leader="none" w:pos="124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used herein that are defined in the Trust Indenture Act, either directly or by reference therein, have the meanings assigned to them therein;</w:t>
      </w:r>
    </w:p>
    <w:p>
      <w:pPr>
        <w:spacing w:after="0" w:line="53" w:lineRule="exact"/>
        <w:rPr>
          <w:rFonts w:ascii="Times New Roman" w:cs="Times New Roman" w:eastAsia="Times New Roman" w:hAnsi="Times New Roman"/>
          <w:sz w:val="18"/>
          <w:szCs w:val="18"/>
          <w:color w:val="auto"/>
        </w:rPr>
      </w:pPr>
    </w:p>
    <w:p>
      <w:pPr>
        <w:ind w:right="280" w:firstLine="987"/>
        <w:spacing w:after="0" w:line="261" w:lineRule="auto"/>
        <w:tabs>
          <w:tab w:leader="none" w:pos="124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not otherwise defined herein have the meanings assigned to them in accordance with generally accepted accounting principles, and, except as otherwise herein expressly provided, the term “</w:t>
      </w:r>
      <w:r>
        <w:rPr>
          <w:rFonts w:ascii="Times New Roman" w:cs="Times New Roman" w:eastAsia="Times New Roman" w:hAnsi="Times New Roman"/>
          <w:sz w:val="18"/>
          <w:szCs w:val="18"/>
          <w:b w:val="1"/>
          <w:bCs w:val="1"/>
          <w:i w:val="1"/>
          <w:iCs w:val="1"/>
          <w:color w:val="auto"/>
        </w:rPr>
        <w:t>generally accepted accounting principles</w:t>
      </w:r>
      <w:r>
        <w:rPr>
          <w:rFonts w:ascii="Times New Roman" w:cs="Times New Roman" w:eastAsia="Times New Roman" w:hAnsi="Times New Roman"/>
          <w:sz w:val="18"/>
          <w:szCs w:val="18"/>
          <w:color w:val="auto"/>
        </w:rPr>
        <w:t>” with respect to any computation required or permitted hereunder shall mean such accounting principles as are generally accepted in the United States at the date of such computation or, at the election of the Company from time to time, at the date of the execution and delivery of this Indenture;</w:t>
      </w:r>
    </w:p>
    <w:p>
      <w:pPr>
        <w:spacing w:after="0" w:line="7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“or” is not exclusive; and</w:t>
      </w:r>
    </w:p>
    <w:p>
      <w:pPr>
        <w:spacing w:after="0" w:line="117" w:lineRule="exact"/>
        <w:rPr>
          <w:rFonts w:ascii="Times New Roman" w:cs="Times New Roman" w:eastAsia="Times New Roman" w:hAnsi="Times New Roman"/>
          <w:sz w:val="18"/>
          <w:szCs w:val="18"/>
          <w:color w:val="auto"/>
        </w:rPr>
      </w:pPr>
    </w:p>
    <w:p>
      <w:pPr>
        <w:ind w:right="460" w:firstLine="987"/>
        <w:spacing w:after="0" w:line="282" w:lineRule="auto"/>
        <w:tabs>
          <w:tab w:leader="none" w:pos="124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other words of similar import refer to this Indenture as a whole and not to any particular Article, Section or other subdivision.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Certain terms, used principally in Article Six, are defined in that Article.</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when used with respect to any Holder, has the meaning specified in Section 104.</w:t>
      </w:r>
    </w:p>
    <w:p>
      <w:pPr>
        <w:spacing w:after="0" w:line="225" w:lineRule="exact"/>
        <w:rPr>
          <w:sz w:val="20"/>
          <w:szCs w:val="20"/>
          <w:color w:val="auto"/>
        </w:rPr>
      </w:pPr>
    </w:p>
    <w:p>
      <w:pPr>
        <w:jc w:val="both"/>
        <w:ind w:right="22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ectPr>
          <w:pgSz w:w="11900" w:h="16838" w:orient="portrait"/>
          <w:cols w:equalWidth="0" w:num="1">
            <w:col w:w="10960"/>
          </w:cols>
          <w:pgMar w:left="440" w:top="270" w:right="499" w:bottom="1440" w:gutter="0" w:footer="0" w:header="0"/>
        </w:sectPr>
      </w:pPr>
    </w:p>
    <w:bookmarkStart w:id="40" w:name="page41"/>
    <w:bookmarkEnd w:id="4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Authenticating Agent</w:t>
      </w:r>
      <w:r>
        <w:rPr>
          <w:rFonts w:ascii="Times New Roman" w:cs="Times New Roman" w:eastAsia="Times New Roman" w:hAnsi="Times New Roman"/>
          <w:sz w:val="18"/>
          <w:szCs w:val="18"/>
          <w:color w:val="auto"/>
        </w:rPr>
        <w:t>” means any Person authorized by the Trustee to act on behalf of the Trustee to authenticate Securities.</w:t>
      </w:r>
    </w:p>
    <w:p>
      <w:pPr>
        <w:spacing w:after="0" w:line="225"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Authorized Newspaper</w:t>
      </w:r>
      <w:r>
        <w:rPr>
          <w:rFonts w:ascii="Times New Roman" w:cs="Times New Roman" w:eastAsia="Times New Roman" w:hAnsi="Times New Roman"/>
          <w:sz w:val="18"/>
          <w:szCs w:val="18"/>
          <w:color w:val="auto"/>
        </w:rPr>
        <w:t>” means a newspaper in an official language of the country of publication or in the English language, customarily published on each Business Day, whether or not published on Saturdays, Sundays or holidays, and of general circulation in the place in connection with which the term is used. Whenever successive publications are required to be made in Authorized Newspapers, the successive publications may be made in the same or in different newspapers in the same city meeting the foregoing requirements and in each case on any Business Day. If it shall be impossible or impractical to make any publication of any notice required by this Indenture in the manner herein provided, any publication or other notice in lieu thereof that is made or given by the Trustee shall constitute a sufficient publication of such notice.</w:t>
      </w:r>
    </w:p>
    <w:p>
      <w:pPr>
        <w:spacing w:after="0" w:line="182" w:lineRule="exact"/>
        <w:rPr>
          <w:sz w:val="20"/>
          <w:szCs w:val="20"/>
          <w:color w:val="auto"/>
        </w:rPr>
      </w:pPr>
    </w:p>
    <w:p>
      <w:pPr>
        <w:ind w:right="36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Authorized Officer</w:t>
      </w:r>
      <w:r>
        <w:rPr>
          <w:rFonts w:ascii="Times New Roman" w:cs="Times New Roman" w:eastAsia="Times New Roman" w:hAnsi="Times New Roman"/>
          <w:sz w:val="18"/>
          <w:szCs w:val="18"/>
          <w:color w:val="auto"/>
        </w:rPr>
        <w:t>” means the Chief Executive Officer, the President, any Vice President (whether or not designated by a number or numbers or word or words added before or after the title “Vice President”), the Chief Financial Officer, the Treasurer, the Secretary, any Assistant Treasurer or any Assistant Secretary of the Company.</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means either the board of directors of the Company or any duly authorized committee of that board.</w:t>
      </w:r>
    </w:p>
    <w:p>
      <w:pPr>
        <w:spacing w:after="0" w:line="225" w:lineRule="exact"/>
        <w:rPr>
          <w:sz w:val="20"/>
          <w:szCs w:val="20"/>
          <w:color w:val="auto"/>
        </w:rPr>
      </w:pPr>
    </w:p>
    <w:p>
      <w:pPr>
        <w:ind w:right="28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Resolution</w:t>
      </w:r>
      <w:r>
        <w:rPr>
          <w:rFonts w:ascii="Times New Roman" w:cs="Times New Roman" w:eastAsia="Times New Roman" w:hAnsi="Times New Roman"/>
          <w:sz w:val="18"/>
          <w:szCs w:val="18"/>
          <w:color w:val="auto"/>
        </w:rPr>
        <w:t>” when used with reference to the Company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71"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when used with respect to any Place of Payment or any other particular location specified in the Securities or this Indenture, means each Monday, Tuesday, Wednesday, Thursday and Friday that is not a day on which banking institutions in that Place of Payment, such other location or the city in which the Corporate Trust Office of the Trustee is located, are authorized or obligated by law to close, except as may be otherwise specified as contemplated by Section 301(b).</w:t>
      </w:r>
    </w:p>
    <w:p>
      <w:pPr>
        <w:spacing w:after="0" w:line="176" w:lineRule="exact"/>
        <w:rPr>
          <w:sz w:val="20"/>
          <w:szCs w:val="20"/>
          <w:color w:val="auto"/>
        </w:rPr>
      </w:pPr>
    </w:p>
    <w:p>
      <w:pPr>
        <w:jc w:val="both"/>
        <w:ind w:right="18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Securities and Exchange Commission, as from time to time constituted, created under the Securities Exchange Act of 1934, or, if at any time after the execution of this indenture such Commission is not existing and performing the duties now assigned to it under the Trust Indenture Act, then the body performing such duties at such time.</w:t>
      </w:r>
    </w:p>
    <w:p>
      <w:pPr>
        <w:spacing w:after="0" w:line="171" w:lineRule="exact"/>
        <w:rPr>
          <w:sz w:val="20"/>
          <w:szCs w:val="20"/>
          <w:color w:val="auto"/>
        </w:rPr>
      </w:pPr>
    </w:p>
    <w:p>
      <w:pPr>
        <w:ind w:right="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the Person named as the “Company” in the first paragraph of this instrument until a successor Person has become such pursuant to the applicable provisions of this Indenture, and thereafter “Company” shall mean such successor Person.</w:t>
      </w:r>
    </w:p>
    <w:p>
      <w:pPr>
        <w:spacing w:after="0" w:line="155" w:lineRule="exact"/>
        <w:rPr>
          <w:sz w:val="20"/>
          <w:szCs w:val="20"/>
          <w:color w:val="auto"/>
        </w:rPr>
      </w:pPr>
    </w:p>
    <w:p>
      <w:pPr>
        <w:ind w:right="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Request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Company Order</w:t>
      </w:r>
      <w:r>
        <w:rPr>
          <w:rFonts w:ascii="Times New Roman" w:cs="Times New Roman" w:eastAsia="Times New Roman" w:hAnsi="Times New Roman"/>
          <w:sz w:val="18"/>
          <w:szCs w:val="18"/>
          <w:color w:val="auto"/>
        </w:rPr>
        <w:t>” means a written request or order signed in the name of the Company by an Authorized Officer and delivered to the Trustee.</w:t>
      </w:r>
    </w:p>
    <w:p>
      <w:pPr>
        <w:spacing w:after="0" w:line="155" w:lineRule="exact"/>
        <w:rPr>
          <w:sz w:val="20"/>
          <w:szCs w:val="20"/>
          <w:color w:val="auto"/>
        </w:rPr>
      </w:pPr>
    </w:p>
    <w:p>
      <w:pPr>
        <w:ind w:right="2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shall be principally administered and which at the date hereof is located at •.</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means a corporation, association, joint stock company, limited liability company or business trust.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Defaulted Interest</w:t>
      </w:r>
      <w:r>
        <w:rPr>
          <w:rFonts w:ascii="Times New Roman" w:cs="Times New Roman" w:eastAsia="Times New Roman" w:hAnsi="Times New Roman"/>
          <w:sz w:val="18"/>
          <w:szCs w:val="18"/>
          <w:color w:val="auto"/>
        </w:rPr>
        <w:t>” has the meaning specified in Section 307.</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Depositary</w:t>
      </w:r>
      <w:r>
        <w:rPr>
          <w:rFonts w:ascii="Times New Roman" w:cs="Times New Roman" w:eastAsia="Times New Roman" w:hAnsi="Times New Roman"/>
          <w:sz w:val="17"/>
          <w:szCs w:val="17"/>
          <w:color w:val="auto"/>
        </w:rPr>
        <w:t>” means, with respect to the Securities of any series issuable or issued in the form of a Global Security, the Person designated as Depositary by the Company in Section 301(b)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Securities of that series.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41" w:name="page42"/>
    <w:bookmarkEnd w:id="41"/>
    <w:p>
      <w:pPr>
        <w:ind w:right="6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Dollar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means a dollar or other equivalent unit in such coin or currency of the United States of America that is legal tender for the payment of public and private debts at the time of payment.</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Obligations</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1240" w:hanging="253"/>
        <w:spacing w:after="0"/>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Securities denominated in Dollars, U.S. Government Obligations; or</w:t>
      </w:r>
    </w:p>
    <w:p>
      <w:pPr>
        <w:spacing w:after="0" w:line="117" w:lineRule="exact"/>
        <w:rPr>
          <w:rFonts w:ascii="Times New Roman" w:cs="Times New Roman" w:eastAsia="Times New Roman" w:hAnsi="Times New Roman"/>
          <w:sz w:val="18"/>
          <w:szCs w:val="18"/>
          <w:color w:val="auto"/>
        </w:rPr>
      </w:pPr>
    </w:p>
    <w:p>
      <w:pPr>
        <w:ind w:right="820" w:firstLine="987"/>
        <w:spacing w:after="0" w:line="282" w:lineRule="auto"/>
        <w:tabs>
          <w:tab w:leader="none" w:pos="12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Securities denominated in a currency other than Dollars or in a composite currency, such other obligations or instruments as shall be specified with respect to such Securities, as contemplated by Section 301(b).</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has the meaning specified in Section 501.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Global Security</w:t>
      </w:r>
      <w:r>
        <w:rPr>
          <w:rFonts w:ascii="Times New Roman" w:cs="Times New Roman" w:eastAsia="Times New Roman" w:hAnsi="Times New Roman"/>
          <w:sz w:val="18"/>
          <w:szCs w:val="18"/>
          <w:color w:val="auto"/>
        </w:rPr>
        <w:t>” means a Security, if any, issued to evidence all or a part of a series of Securities in accordance with Section 301.</w:t>
      </w:r>
    </w:p>
    <w:p>
      <w:pPr>
        <w:spacing w:after="0" w:line="225" w:lineRule="exact"/>
        <w:rPr>
          <w:sz w:val="20"/>
          <w:szCs w:val="20"/>
          <w:color w:val="auto"/>
        </w:rPr>
      </w:pPr>
    </w:p>
    <w:p>
      <w:pPr>
        <w:jc w:val="both"/>
        <w:ind w:right="4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Hedging Obligations</w:t>
      </w:r>
      <w:r>
        <w:rPr>
          <w:rFonts w:ascii="Times New Roman" w:cs="Times New Roman" w:eastAsia="Times New Roman" w:hAnsi="Times New Roman"/>
          <w:sz w:val="18"/>
          <w:szCs w:val="18"/>
          <w:color w:val="auto"/>
        </w:rPr>
        <w:t>” means, with respect to any Person, the obligations of such Person under (i) interest rate swap agreements, interest rate cap agreements and interest rate collar agreements and (ii) other agreements or arrangements designed to protect such Person against fluctuations in interest rates.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means, with respect to a Security, a Person in whose name such Security is registered in the Security Register.</w:t>
      </w:r>
    </w:p>
    <w:p>
      <w:pPr>
        <w:spacing w:after="0" w:line="225" w:lineRule="exact"/>
        <w:rPr>
          <w:sz w:val="20"/>
          <w:szCs w:val="20"/>
          <w:color w:val="auto"/>
        </w:rPr>
      </w:pPr>
    </w:p>
    <w:p>
      <w:pPr>
        <w:ind w:right="26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means this instrument as originally executed and as it may from time to time be supplemented or amended by one or more indentures supplemental hereto entered into pursuant to the applicable provisions hereof and shall include the form and terms of particular series of Securities established as contemplated by Section 301.</w:t>
      </w:r>
    </w:p>
    <w:p>
      <w:pPr>
        <w:spacing w:after="0" w:line="171"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Indexed Security</w:t>
      </w:r>
      <w:r>
        <w:rPr>
          <w:rFonts w:ascii="Times New Roman" w:cs="Times New Roman" w:eastAsia="Times New Roman" w:hAnsi="Times New Roman"/>
          <w:sz w:val="18"/>
          <w:szCs w:val="18"/>
          <w:color w:val="auto"/>
        </w:rPr>
        <w:t>” means a Security the terms of which provide that the principal amount thereof payable at Stated Maturity may be more or less than the principal face amount thereof at original issuance.</w:t>
      </w:r>
    </w:p>
    <w:p>
      <w:pPr>
        <w:spacing w:after="0" w:line="155"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w:t>
      </w:r>
      <w:r>
        <w:rPr>
          <w:rFonts w:ascii="Times New Roman" w:cs="Times New Roman" w:eastAsia="Times New Roman" w:hAnsi="Times New Roman"/>
          <w:sz w:val="18"/>
          <w:szCs w:val="18"/>
          <w:color w:val="auto"/>
        </w:rPr>
        <w:t>”, when used with respect to an Original Issue Discount Security that by its terms bears interest only after Maturity, means interest payable after Maturity.</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Interest Payment Date</w:t>
      </w:r>
      <w:r>
        <w:rPr>
          <w:rFonts w:ascii="Times New Roman" w:cs="Times New Roman" w:eastAsia="Times New Roman" w:hAnsi="Times New Roman"/>
          <w:sz w:val="17"/>
          <w:szCs w:val="17"/>
          <w:color w:val="auto"/>
        </w:rPr>
        <w:t>”, when used with respect to any Security, means the Stated Maturity of an installment of interest on such Security.</w:t>
      </w:r>
    </w:p>
    <w:p>
      <w:pPr>
        <w:spacing w:after="0" w:line="237" w:lineRule="exact"/>
        <w:rPr>
          <w:sz w:val="20"/>
          <w:szCs w:val="20"/>
          <w:color w:val="auto"/>
        </w:rPr>
      </w:pPr>
    </w:p>
    <w:p>
      <w:pPr>
        <w:ind w:right="14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Maturity</w:t>
      </w:r>
      <w:r>
        <w:rPr>
          <w:rFonts w:ascii="Times New Roman" w:cs="Times New Roman" w:eastAsia="Times New Roman" w:hAnsi="Times New Roman"/>
          <w:sz w:val="18"/>
          <w:szCs w:val="18"/>
          <w:color w:val="auto"/>
        </w:rPr>
        <w:t>”, when used with respect to any Security, means the date on which the principal of such Security or an installment of principal becomes due and payable as therein or herein provided, whether at the Stated Maturity or by declaration of acceleration, upon call for redemption, exercise of repayment option or otherwise.</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color w:val="auto"/>
        </w:rPr>
        <w:t>” means a certificate signed by an Authorized Officer and delivered to the Trustee.</w:t>
      </w:r>
    </w:p>
    <w:p>
      <w:pPr>
        <w:spacing w:after="0" w:line="225" w:lineRule="exact"/>
        <w:rPr>
          <w:sz w:val="20"/>
          <w:szCs w:val="20"/>
          <w:color w:val="auto"/>
        </w:rPr>
      </w:pPr>
    </w:p>
    <w:p>
      <w:pPr>
        <w:ind w:right="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Opinion of Counsel</w:t>
      </w:r>
      <w:r>
        <w:rPr>
          <w:rFonts w:ascii="Times New Roman" w:cs="Times New Roman" w:eastAsia="Times New Roman" w:hAnsi="Times New Roman"/>
          <w:sz w:val="18"/>
          <w:szCs w:val="18"/>
          <w:color w:val="auto"/>
        </w:rPr>
        <w:t>” means a written opinion of counsel, who may be an employee of, or counsel for, the Company or an Affiliate of the Company, and who shall be reasonably acceptable to the Trustee.</w:t>
      </w:r>
    </w:p>
    <w:p>
      <w:pPr>
        <w:spacing w:after="0" w:line="155" w:lineRule="exact"/>
        <w:rPr>
          <w:sz w:val="20"/>
          <w:szCs w:val="20"/>
          <w:color w:val="auto"/>
        </w:rPr>
      </w:pPr>
    </w:p>
    <w:p>
      <w:pPr>
        <w:ind w:right="1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Original Issue Discount Security</w:t>
      </w:r>
      <w:r>
        <w:rPr>
          <w:rFonts w:ascii="Times New Roman" w:cs="Times New Roman" w:eastAsia="Times New Roman" w:hAnsi="Times New Roman"/>
          <w:sz w:val="18"/>
          <w:szCs w:val="18"/>
          <w:color w:val="auto"/>
        </w:rPr>
        <w:t>” means any Security that provides for an amount less than the principal amount thereof to be due and payable upon a declaration of acceleration of the Maturity thereof pursuant to Section 502.</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42" w:name="page43"/>
    <w:bookmarkEnd w:id="42"/>
    <w:p>
      <w:pPr>
        <w:ind w:right="58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Outstanding</w:t>
      </w:r>
      <w:r>
        <w:rPr>
          <w:rFonts w:ascii="Times New Roman" w:cs="Times New Roman" w:eastAsia="Times New Roman" w:hAnsi="Times New Roman"/>
          <w:sz w:val="18"/>
          <w:szCs w:val="18"/>
          <w:color w:val="auto"/>
        </w:rPr>
        <w:t xml:space="preserve">”, when used with respect to Securities of any series, means, as of the date of determination, all Securities theretofore authenticated and delivered under this Indenture,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1100" w:hanging="241"/>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theretofore cancelled by the Trustee or delivered to the Trustee for cancellation;</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56" w:lineRule="auto"/>
        <w:tabs>
          <w:tab w:leader="none" w:pos="11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or portions thereof for whose payment or redemption money or Eligible Obligations (or any combination of money and Eligible Obligations) in the necessary amount has been theretofore deposited with the Trustee or any Paying Agent (other than the Company or any other obligor on such Security) in trust or set aside and segregated in trust by the Company or any other obligor on such Security (if the Company or any other obligor on such Security acts as its own Paying Agent) for the Holders of such Securities;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such Securities, or portions thereof, are to be redeemed prior to the Stated Maturity thereof, notice of such redemption has been duly given pursuant to this Indenture or provision therefor satisfactory to the Trustee has been made;</w:t>
      </w:r>
    </w:p>
    <w:p>
      <w:pPr>
        <w:spacing w:after="0" w:line="79"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as to which the Company has effected defeasance as provided in Section 402;</w:t>
      </w:r>
    </w:p>
    <w:p>
      <w:pPr>
        <w:spacing w:after="0" w:line="117" w:lineRule="exact"/>
        <w:rPr>
          <w:rFonts w:ascii="Times New Roman" w:cs="Times New Roman" w:eastAsia="Times New Roman" w:hAnsi="Times New Roman"/>
          <w:sz w:val="18"/>
          <w:szCs w:val="18"/>
          <w:color w:val="auto"/>
        </w:rPr>
      </w:pPr>
    </w:p>
    <w:p>
      <w:pPr>
        <w:ind w:left="440" w:firstLine="419"/>
        <w:spacing w:after="0" w:line="289" w:lineRule="auto"/>
        <w:tabs>
          <w:tab w:leader="none" w:pos="1118"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that have been paid pursuant to Section 306 or in exchange for or in lieu of which other Securities have been authenticated and delivered pursuant to this Indenture, other than any such Securities in respect of which there have been presented to the Trustee proof satisfactory to it and the Company that such Securities are held by a bona fide purchaser in whose hands such Securities are valid obligations of the Company;</w:t>
      </w:r>
    </w:p>
    <w:p>
      <w:pPr>
        <w:spacing w:after="0" w:line="156"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in determining whether the Holders of the requisite principal amount of the Outstanding Securities have given, made or taken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request, demand, authorization, direction, notice, consent, waiver or other action hereunder,</w:t>
      </w:r>
    </w:p>
    <w:p>
      <w:pPr>
        <w:spacing w:after="0" w:line="52" w:lineRule="exact"/>
        <w:rPr>
          <w:sz w:val="20"/>
          <w:szCs w:val="20"/>
          <w:color w:val="auto"/>
        </w:rPr>
      </w:pPr>
    </w:p>
    <w:p>
      <w:pPr>
        <w:ind w:left="440" w:right="60" w:firstLine="423"/>
        <w:spacing w:after="0" w:line="254" w:lineRule="auto"/>
        <w:rPr>
          <w:sz w:val="20"/>
          <w:szCs w:val="20"/>
          <w:color w:val="auto"/>
        </w:rPr>
      </w:pPr>
      <w:r>
        <w:rPr>
          <w:rFonts w:ascii="Times New Roman" w:cs="Times New Roman" w:eastAsia="Times New Roman" w:hAnsi="Times New Roman"/>
          <w:sz w:val="18"/>
          <w:szCs w:val="18"/>
          <w:color w:val="auto"/>
        </w:rPr>
        <w:t>(i)Securities owned by the Company or any other obligor upon the Securities or any Affiliate of the Company or of such other obligor (unless the Company, such Affiliate or such obligor owns (x) all Securities Outstanding under this Indenture or (y) except for the purposes of actions to be taken by Holders of more than one series or Tranche voting as a class, all Outstanding Securities of each such series and each such Tranche, as the case may be, determined without regard to this clause) shall be disregarded and deemed not to be Outstanding, except that, in determining whether the Trustee shall be protected in relying upon any such request, demand, authorization, direction, notice, consent or waiver, only Securities that the Trustee knows to be so owned shall be so disregarded. Securities so owned that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84" w:lineRule="exact"/>
        <w:rPr>
          <w:sz w:val="20"/>
          <w:szCs w:val="20"/>
          <w:color w:val="auto"/>
        </w:rPr>
      </w:pPr>
    </w:p>
    <w:p>
      <w:pPr>
        <w:ind w:left="440" w:right="20" w:firstLine="423"/>
        <w:spacing w:after="0" w:line="261" w:lineRule="auto"/>
        <w:rPr>
          <w:sz w:val="20"/>
          <w:szCs w:val="20"/>
          <w:color w:val="auto"/>
        </w:rPr>
      </w:pPr>
      <w:r>
        <w:rPr>
          <w:rFonts w:ascii="Times New Roman" w:cs="Times New Roman" w:eastAsia="Times New Roman" w:hAnsi="Times New Roman"/>
          <w:sz w:val="18"/>
          <w:szCs w:val="18"/>
          <w:color w:val="auto"/>
        </w:rPr>
        <w:t>(ii)in determining whether the Holders of the requisite principal amount of Securities of any series or Tranche have concurred in any direction, waiver or consent, the principal amount of Original Issue Discount Securities that shall be deemed to be outstanding shall be the amount of the principal thereof that would be due and payable as of the date of such determination upon acceleration of the maturity thereof pursuant to Section 502;</w:t>
      </w:r>
    </w:p>
    <w:p>
      <w:pPr>
        <w:spacing w:after="0" w:line="72" w:lineRule="exact"/>
        <w:rPr>
          <w:sz w:val="20"/>
          <w:szCs w:val="20"/>
          <w:color w:val="auto"/>
        </w:rPr>
      </w:pPr>
    </w:p>
    <w:p>
      <w:pPr>
        <w:jc w:val="both"/>
        <w:ind w:left="440" w:right="220" w:firstLine="423"/>
        <w:spacing w:after="0" w:line="266" w:lineRule="auto"/>
        <w:rPr>
          <w:sz w:val="20"/>
          <w:szCs w:val="20"/>
          <w:color w:val="auto"/>
        </w:rPr>
      </w:pPr>
      <w:r>
        <w:rPr>
          <w:rFonts w:ascii="Times New Roman" w:cs="Times New Roman" w:eastAsia="Times New Roman" w:hAnsi="Times New Roman"/>
          <w:sz w:val="18"/>
          <w:szCs w:val="18"/>
          <w:color w:val="auto"/>
        </w:rPr>
        <w:t>(iii)in the case of any Security the principal of that is payable from time to time without presentment or surrender, the principal amount of such Security that shall be deemed to be Outstanding at any time for all purposes of this Indenture shall be the original principal amount thereof less the aggregate amount of principal thereof theretofore paid; and</w:t>
      </w:r>
    </w:p>
    <w:p>
      <w:pPr>
        <w:spacing w:after="0" w:line="68" w:lineRule="exact"/>
        <w:rPr>
          <w:sz w:val="20"/>
          <w:szCs w:val="20"/>
          <w:color w:val="auto"/>
        </w:rPr>
      </w:pPr>
    </w:p>
    <w:p>
      <w:pPr>
        <w:ind w:left="440" w:right="160" w:firstLine="423"/>
        <w:spacing w:after="0" w:line="266" w:lineRule="auto"/>
        <w:rPr>
          <w:sz w:val="20"/>
          <w:szCs w:val="20"/>
          <w:color w:val="auto"/>
        </w:rPr>
      </w:pPr>
      <w:r>
        <w:rPr>
          <w:rFonts w:ascii="Times New Roman" w:cs="Times New Roman" w:eastAsia="Times New Roman" w:hAnsi="Times New Roman"/>
          <w:sz w:val="18"/>
          <w:szCs w:val="18"/>
          <w:color w:val="auto"/>
        </w:rPr>
        <w:t>(iv)in the case of Securities having been denominated in a currency other than Dollars and remaining outstanding contemporaneously with Securities denominated in Dollars, the principal amount of any Security that is denominated in a currency other than Dollars or in a composite currency that shall be deemed to be Outstanding for such purposes shall be determined as contemplated by Section 301(b).</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43" w:name="page44"/>
    <w:bookmarkEnd w:id="43"/>
    <w:p>
      <w:pPr>
        <w:ind w:right="22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Paying Agent</w:t>
      </w:r>
      <w:r>
        <w:rPr>
          <w:rFonts w:ascii="Times New Roman" w:cs="Times New Roman" w:eastAsia="Times New Roman" w:hAnsi="Times New Roman"/>
          <w:sz w:val="18"/>
          <w:szCs w:val="18"/>
          <w:color w:val="auto"/>
        </w:rPr>
        <w:t>” means any Person, including the Company, authorized by the Company to pay the principal of (and premium, if any) or interest on any Securities on behalf of the Company.</w:t>
      </w:r>
    </w:p>
    <w:p>
      <w:pPr>
        <w:spacing w:after="0" w:line="155" w:lineRule="exact"/>
        <w:rPr>
          <w:sz w:val="20"/>
          <w:szCs w:val="20"/>
          <w:color w:val="auto"/>
        </w:rPr>
      </w:pPr>
    </w:p>
    <w:p>
      <w:pPr>
        <w:ind w:right="18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Periodic Offering</w:t>
      </w:r>
      <w:r>
        <w:rPr>
          <w:rFonts w:ascii="Times New Roman" w:cs="Times New Roman" w:eastAsia="Times New Roman" w:hAnsi="Times New Roman"/>
          <w:sz w:val="18"/>
          <w:szCs w:val="18"/>
          <w:color w:val="auto"/>
        </w:rPr>
        <w:t>” means an offering of Securities of a series from time to time any or all of the specific terms of which Securities, including without limitation the rate or rates of interest, if any, thereon, the Stated Maturity or Maturities thereof and the redemption provisions, if any, with respect thereto, are to be determined by the Company or its agents from time to time subsequent to the initial request for the authentication and delivery of such Securities by the Trustee, all as contemplated in Sections 301 and 303.</w:t>
      </w:r>
    </w:p>
    <w:p>
      <w:pPr>
        <w:spacing w:after="0" w:line="176" w:lineRule="exact"/>
        <w:rPr>
          <w:sz w:val="20"/>
          <w:szCs w:val="20"/>
          <w:color w:val="auto"/>
        </w:rPr>
      </w:pPr>
    </w:p>
    <w:p>
      <w:pPr>
        <w:ind w:right="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corporation, partnership, joint venture, trust, unincorporated organization or government or any agency or political subdivision thereof.</w:t>
      </w:r>
    </w:p>
    <w:p>
      <w:pPr>
        <w:spacing w:after="0" w:line="155" w:lineRule="exact"/>
        <w:rPr>
          <w:sz w:val="20"/>
          <w:szCs w:val="20"/>
          <w:color w:val="auto"/>
        </w:rPr>
      </w:pPr>
    </w:p>
    <w:p>
      <w:pPr>
        <w:ind w:right="24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Place of Payment</w:t>
      </w:r>
      <w:r>
        <w:rPr>
          <w:rFonts w:ascii="Times New Roman" w:cs="Times New Roman" w:eastAsia="Times New Roman" w:hAnsi="Times New Roman"/>
          <w:sz w:val="18"/>
          <w:szCs w:val="18"/>
          <w:color w:val="auto"/>
        </w:rPr>
        <w:t>”, when used with respect to the Securities of any series, or any Tranche thereof, means the place or places where the principal of (and premium, if any) and interest, if any, on the Securities of that series or Tranche are payable as specified as contemplated by Section 301(b).</w:t>
      </w:r>
    </w:p>
    <w:p>
      <w:pPr>
        <w:spacing w:after="0" w:line="171" w:lineRule="exact"/>
        <w:rPr>
          <w:sz w:val="20"/>
          <w:szCs w:val="20"/>
          <w:color w:val="auto"/>
        </w:rPr>
      </w:pPr>
    </w:p>
    <w:p>
      <w:pPr>
        <w:ind w:right="20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Predecessor Security</w:t>
      </w:r>
      <w:r>
        <w:rPr>
          <w:rFonts w:ascii="Times New Roman" w:cs="Times New Roman" w:eastAsia="Times New Roman" w:hAnsi="Times New Roman"/>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76" w:lineRule="exact"/>
        <w:rPr>
          <w:sz w:val="20"/>
          <w:szCs w:val="20"/>
          <w:color w:val="auto"/>
        </w:rPr>
      </w:pPr>
    </w:p>
    <w:p>
      <w:pPr>
        <w:ind w:right="2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Redemption Date</w:t>
      </w:r>
      <w:r>
        <w:rPr>
          <w:rFonts w:ascii="Times New Roman" w:cs="Times New Roman" w:eastAsia="Times New Roman" w:hAnsi="Times New Roman"/>
          <w:sz w:val="18"/>
          <w:szCs w:val="18"/>
          <w:color w:val="auto"/>
        </w:rPr>
        <w:t>”, when used with respect to any Security to be redeemed, means the date fixed for such redemption by or pursuant to this Indenture.</w:t>
      </w:r>
    </w:p>
    <w:p>
      <w:pPr>
        <w:spacing w:after="0" w:line="155"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 when used with respect to any Security to be redeemed, means the price at which it is to be redeemed pursuant to this Indenture, exclusive of accrued and unpaid interest, if any.</w:t>
      </w:r>
    </w:p>
    <w:p>
      <w:pPr>
        <w:spacing w:after="0" w:line="155" w:lineRule="exact"/>
        <w:rPr>
          <w:sz w:val="20"/>
          <w:szCs w:val="20"/>
          <w:color w:val="auto"/>
        </w:rPr>
      </w:pPr>
    </w:p>
    <w:p>
      <w:pPr>
        <w:ind w:right="1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Regular Record Date</w:t>
      </w:r>
      <w:r>
        <w:rPr>
          <w:rFonts w:ascii="Times New Roman" w:cs="Times New Roman" w:eastAsia="Times New Roman" w:hAnsi="Times New Roman"/>
          <w:sz w:val="18"/>
          <w:szCs w:val="18"/>
          <w:color w:val="auto"/>
        </w:rPr>
        <w:t>” for the interest payable on any Interest Payment Date on the Securities of any series means the date specified for that purpose as contemplated by Section 301(b).</w:t>
      </w:r>
    </w:p>
    <w:p>
      <w:pPr>
        <w:spacing w:after="0" w:line="155" w:lineRule="exact"/>
        <w:rPr>
          <w:sz w:val="20"/>
          <w:szCs w:val="20"/>
          <w:color w:val="auto"/>
        </w:rPr>
      </w:pPr>
    </w:p>
    <w:p>
      <w:pPr>
        <w:ind w:right="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Repayment Date</w:t>
      </w:r>
      <w:r>
        <w:rPr>
          <w:rFonts w:ascii="Times New Roman" w:cs="Times New Roman" w:eastAsia="Times New Roman" w:hAnsi="Times New Roman"/>
          <w:sz w:val="18"/>
          <w:szCs w:val="18"/>
          <w:color w:val="auto"/>
        </w:rPr>
        <w:t>”, when used with respect to any Security of any series to be repaid or repurchased, means the date, if any, fixed for such repayment or for such repurchase (whether at the option of the Holders or otherwise) pursuant to this Indenture.</w:t>
      </w:r>
    </w:p>
    <w:p>
      <w:pPr>
        <w:spacing w:after="0" w:line="155" w:lineRule="exact"/>
        <w:rPr>
          <w:sz w:val="20"/>
          <w:szCs w:val="20"/>
          <w:color w:val="auto"/>
        </w:rPr>
      </w:pPr>
    </w:p>
    <w:p>
      <w:pPr>
        <w:ind w:right="2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Repayment Price</w:t>
      </w:r>
      <w:r>
        <w:rPr>
          <w:rFonts w:ascii="Times New Roman" w:cs="Times New Roman" w:eastAsia="Times New Roman" w:hAnsi="Times New Roman"/>
          <w:sz w:val="18"/>
          <w:szCs w:val="18"/>
          <w:color w:val="auto"/>
        </w:rPr>
        <w:t>”, when used with respect to any Security of any series to be repaid, means the price, if any, at which it is to be repaid pursuant to Section 301(b).</w:t>
      </w:r>
    </w:p>
    <w:p>
      <w:pPr>
        <w:spacing w:after="0" w:line="15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Responsible Officer</w:t>
      </w:r>
      <w:r>
        <w:rPr>
          <w:rFonts w:ascii="Times New Roman" w:cs="Times New Roman" w:eastAsia="Times New Roman" w:hAnsi="Times New Roman"/>
          <w:sz w:val="17"/>
          <w:szCs w:val="17"/>
          <w:color w:val="auto"/>
        </w:rPr>
        <w:t>”, when used with respect to the Trustee, means any officer within the corporate trust department or any other successor group of the Trustee, including any vice president, assistant vice president, assistant secretary or any other officer of the Trustee customarily performing functions similar to those performed by any of the above designated officers and also means, with respect to a particular corporate trust matter, any other officer of the Trustee to whom such matter is referred because of his or her knowledge of and familiarity with the particular subject.</w:t>
      </w:r>
    </w:p>
    <w:p>
      <w:pPr>
        <w:spacing w:after="0" w:line="161" w:lineRule="exact"/>
        <w:rPr>
          <w:sz w:val="20"/>
          <w:szCs w:val="20"/>
          <w:color w:val="auto"/>
        </w:rPr>
      </w:pPr>
    </w:p>
    <w:p>
      <w:pPr>
        <w:ind w:right="6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has the meaning stated in the first recital of this Indenture and, more particularly, means any Security or Securities authenticated and delivered under this Indenture.</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Security Registrar</w:t>
      </w:r>
      <w:r>
        <w:rPr>
          <w:rFonts w:ascii="Times New Roman" w:cs="Times New Roman" w:eastAsia="Times New Roman" w:hAnsi="Times New Roman"/>
          <w:sz w:val="18"/>
          <w:szCs w:val="18"/>
          <w:color w:val="auto"/>
        </w:rPr>
        <w:t>” have the respective meanings specified in Section 305.</w:t>
      </w:r>
    </w:p>
    <w:p>
      <w:pPr>
        <w:spacing w:after="0" w:line="225" w:lineRule="exact"/>
        <w:rPr>
          <w:sz w:val="20"/>
          <w:szCs w:val="20"/>
          <w:color w:val="auto"/>
        </w:rPr>
      </w:pPr>
    </w:p>
    <w:p>
      <w:pPr>
        <w:ind w:right="6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series of Securities</w:t>
      </w:r>
      <w:r>
        <w:rPr>
          <w:rFonts w:ascii="Times New Roman" w:cs="Times New Roman" w:eastAsia="Times New Roman" w:hAnsi="Times New Roman"/>
          <w:sz w:val="18"/>
          <w:szCs w:val="18"/>
          <w:color w:val="auto"/>
        </w:rPr>
        <w:t>” means a series of Securities issued under this Indenture as determined by Board Resolution or as otherwise determined under this Indenture.</w:t>
      </w:r>
    </w:p>
    <w:p>
      <w:pPr>
        <w:spacing w:after="0" w:line="155" w:lineRule="exact"/>
        <w:rPr>
          <w:sz w:val="20"/>
          <w:szCs w:val="20"/>
          <w:color w:val="auto"/>
        </w:rPr>
      </w:pPr>
    </w:p>
    <w:p>
      <w:pPr>
        <w:jc w:val="center"/>
        <w:ind w:left="500" w:right="920"/>
        <w:spacing w:after="0" w:line="4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Special Record Date</w:t>
      </w:r>
      <w:r>
        <w:rPr>
          <w:rFonts w:ascii="Times New Roman" w:cs="Times New Roman" w:eastAsia="Times New Roman" w:hAnsi="Times New Roman"/>
          <w:sz w:val="18"/>
          <w:szCs w:val="18"/>
          <w:color w:val="auto"/>
        </w:rPr>
        <w:t>” for the payment of any Defaulted Interest means a date fixed by the Company pursuant to Section 307. 5</w:t>
      </w:r>
    </w:p>
    <w:p>
      <w:pPr>
        <w:sectPr>
          <w:pgSz w:w="11900" w:h="16838" w:orient="portrait"/>
          <w:cols w:equalWidth="0" w:num="1">
            <w:col w:w="11020"/>
          </w:cols>
          <w:pgMar w:left="440" w:top="266" w:right="439" w:bottom="1440" w:gutter="0" w:footer="0" w:header="0"/>
        </w:sectPr>
      </w:pPr>
    </w:p>
    <w:bookmarkStart w:id="44" w:name="page45"/>
    <w:bookmarkEnd w:id="44"/>
    <w:p>
      <w:pPr>
        <w:ind w:right="500" w:firstLine="991"/>
        <w:spacing w:after="0" w:line="31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7"/>
          <w:szCs w:val="17"/>
          <w:b w:val="1"/>
          <w:bCs w:val="1"/>
          <w:i w:val="1"/>
          <w:iCs w:val="1"/>
          <w:color w:val="auto"/>
        </w:rPr>
        <w:t>Stated Maturity</w:t>
      </w:r>
      <w:r>
        <w:rPr>
          <w:rFonts w:ascii="Times New Roman" w:cs="Times New Roman" w:eastAsia="Times New Roman" w:hAnsi="Times New Roman"/>
          <w:sz w:val="17"/>
          <w:szCs w:val="17"/>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32" w:lineRule="exact"/>
        <w:rPr>
          <w:sz w:val="20"/>
          <w:szCs w:val="20"/>
          <w:color w:val="auto"/>
        </w:rPr>
      </w:pPr>
    </w:p>
    <w:p>
      <w:pPr>
        <w:ind w:right="180"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of any Person means (a) any corporation, association or other business entity of which more than 50% of the outstanding total voting power ordinarily entitled (without regard to the occurrence of any contingency) to vote in the election of directors, managers, trustees or other voting members of the governing body thereof is at the time owned or controlled, directly or indirectly, by the Company or by one or more other Subsidiaries, or by the Company and one or more other Subsidiaries or (b) any partnership the sole general partner or the managing general partner of which is the Company or a Subsidiary of the Company or the only general partners of which are the Company or of one or more Subsidiaries of the Company (or any combination thereof).</w:t>
      </w:r>
    </w:p>
    <w:p>
      <w:pPr>
        <w:spacing w:after="0" w:line="182" w:lineRule="exact"/>
        <w:rPr>
          <w:sz w:val="20"/>
          <w:szCs w:val="20"/>
          <w:color w:val="auto"/>
        </w:rPr>
      </w:pPr>
    </w:p>
    <w:p>
      <w:pPr>
        <w:ind w:right="5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Tranche</w:t>
      </w:r>
      <w:r>
        <w:rPr>
          <w:rFonts w:ascii="Times New Roman" w:cs="Times New Roman" w:eastAsia="Times New Roman" w:hAnsi="Times New Roman"/>
          <w:sz w:val="18"/>
          <w:szCs w:val="18"/>
          <w:color w:val="auto"/>
        </w:rPr>
        <w:t>” means a group of Securities which (a) are of the same series and (b) have identical terms to other Tranches of such series except as to principal amount, date of issuance or first interest payment date, each of which may vary among Tranches of any one series.</w:t>
      </w:r>
    </w:p>
    <w:p>
      <w:pPr>
        <w:spacing w:after="0" w:line="155" w:lineRule="exact"/>
        <w:rPr>
          <w:sz w:val="20"/>
          <w:szCs w:val="20"/>
          <w:color w:val="auto"/>
        </w:rPr>
      </w:pPr>
    </w:p>
    <w:p>
      <w:pPr>
        <w:ind w:right="10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means the Person named as the “Trustee” in the first paragraph of this instrument until a successor Trustee shall have been appointed with respect to one or more series of Securities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76" w:lineRule="exact"/>
        <w:rPr>
          <w:sz w:val="20"/>
          <w:szCs w:val="20"/>
          <w:color w:val="auto"/>
        </w:rPr>
      </w:pPr>
    </w:p>
    <w:p>
      <w:pPr>
        <w:ind w:right="2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Indenture Act</w:t>
      </w:r>
      <w:r>
        <w:rPr>
          <w:rFonts w:ascii="Times New Roman" w:cs="Times New Roman" w:eastAsia="Times New Roman" w:hAnsi="Times New Roman"/>
          <w:sz w:val="18"/>
          <w:szCs w:val="18"/>
          <w:color w:val="auto"/>
        </w:rPr>
        <w:t>” means the Trust Indenture Act of 1939 as in force at the date as of which this instrument was executed, except as provided in Section 905.</w:t>
      </w:r>
    </w:p>
    <w:p>
      <w:pPr>
        <w:spacing w:after="0" w:line="15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Government Obligations</w:t>
      </w:r>
      <w:r>
        <w:rPr>
          <w:rFonts w:ascii="Times New Roman" w:cs="Times New Roman" w:eastAsia="Times New Roman" w:hAnsi="Times New Roman"/>
          <w:sz w:val="18"/>
          <w:szCs w:val="18"/>
          <w:color w:val="auto"/>
        </w:rPr>
        <w:t>” means (x) any security that is (i) a direct obligation of the United States of America for the payment of which the full faith and credit of the United States of America are pledged or (ii) an obligation of a Person controlled or supervised by and acting as an agency or instrumentality of the United States of America the payment of which is unconditionally guaranteed as a full faith and credit obligation by the United States of America, and (y) any depositary receipt issued by a bank (as defined in Section 3(a)(2) of the Securities Act of 1933) as custodian with respect to any U.S. Government Obligation that is 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of or interest on the U.S. Government Obligation evidenced by such depositary receipt.</w:t>
      </w:r>
    </w:p>
    <w:p>
      <w:pPr>
        <w:spacing w:after="0" w:line="188" w:lineRule="exact"/>
        <w:rPr>
          <w:sz w:val="20"/>
          <w:szCs w:val="20"/>
          <w:color w:val="auto"/>
        </w:rPr>
      </w:pPr>
    </w:p>
    <w:p>
      <w:pPr>
        <w:ind w:right="5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Vice President</w:t>
      </w:r>
      <w:r>
        <w:rPr>
          <w:rFonts w:ascii="Times New Roman" w:cs="Times New Roman" w:eastAsia="Times New Roman" w:hAnsi="Times New Roman"/>
          <w:sz w:val="18"/>
          <w:szCs w:val="18"/>
          <w:color w:val="auto"/>
        </w:rPr>
        <w:t>”, when used with respect to the Company or the Trustee, means any vice president, whether or not designated by a number or a word or words added before or after the title “vice president”.</w:t>
      </w:r>
    </w:p>
    <w:p>
      <w:pPr>
        <w:spacing w:after="0" w:line="157"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Compliance Certificates and Opinions</w:t>
      </w:r>
      <w:r>
        <w:rPr>
          <w:rFonts w:ascii="Times New Roman" w:cs="Times New Roman" w:eastAsia="Times New Roman" w:hAnsi="Times New Roman"/>
          <w:sz w:val="18"/>
          <w:szCs w:val="18"/>
          <w:color w:val="auto"/>
        </w:rPr>
        <w:t>. (a) Except as otherwise expressly provided in this Indenture, upon any application or request by the Company to the Trustee to take any action under any provision of this Indenture, the Company shall, if requested by the Trustee,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76" w:lineRule="exact"/>
        <w:rPr>
          <w:sz w:val="20"/>
          <w:szCs w:val="20"/>
          <w:color w:val="auto"/>
        </w:rPr>
      </w:pPr>
    </w:p>
    <w:p>
      <w:pPr>
        <w:ind w:right="700" w:firstLine="987"/>
        <w:spacing w:after="0" w:line="282" w:lineRule="auto"/>
        <w:tabs>
          <w:tab w:leader="none" w:pos="124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certificate or opinion with respect to compliance with a condition or covenant provided for in this Indenture (except for certificates provided for in Section 1004) shall include: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statement that each individual signing such certificate or opinion has read such covenant or condition and the definitions herein relating</w:t>
      </w:r>
    </w:p>
    <w:p>
      <w:pPr>
        <w:spacing w:after="0" w:line="38"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thereto;</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45" w:name="page46"/>
    <w:bookmarkEnd w:id="45"/>
    <w:p>
      <w:pPr>
        <w:ind w:left="440" w:right="100" w:firstLine="419"/>
        <w:spacing w:after="0" w:line="282" w:lineRule="auto"/>
        <w:tabs>
          <w:tab w:leader="none" w:pos="111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brief statement as to the nature and scope of the examination or investigation upon which the statements or opinions contained in such certificate or opinion are based;</w:t>
      </w:r>
    </w:p>
    <w:p>
      <w:pPr>
        <w:spacing w:after="0" w:line="53"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1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in the opinion of each such individual, such condition or covenant has been complied with.</w:t>
      </w:r>
    </w:p>
    <w:p>
      <w:pPr>
        <w:spacing w:after="0" w:line="22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i w:val="1"/>
          <w:iCs w:val="1"/>
          <w:color w:val="auto"/>
        </w:rPr>
        <w:t>Form of Documents Delivered to Trustee</w:t>
      </w:r>
      <w:r>
        <w:rPr>
          <w:rFonts w:ascii="Times New Roman" w:cs="Times New Roman" w:eastAsia="Times New Roman" w:hAnsi="Times New Roman"/>
          <w:sz w:val="18"/>
          <w:szCs w:val="18"/>
          <w:color w:val="auto"/>
        </w:rPr>
        <w:t>. (a)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74" w:lineRule="exact"/>
        <w:rPr>
          <w:sz w:val="20"/>
          <w:szCs w:val="20"/>
          <w:color w:val="auto"/>
        </w:rPr>
      </w:pPr>
    </w:p>
    <w:p>
      <w:pPr>
        <w:ind w:firstLine="987"/>
        <w:spacing w:after="0" w:line="255" w:lineRule="auto"/>
        <w:tabs>
          <w:tab w:leader="none" w:pos="12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certificate, statement or opinion of an officer of the Company may be based, insofar as it relates to legal matters, upon a certificate or an Opinion of Counsel, or representations by counsel. Any such certificate, statement or Opinion of Counsel may be based, insofar as it relates to factual matters, upon a certificate, statement or opinion of, or representations by, an officer or officers of the Company stating that the information with respect to such factual matters is in the possession of the Company. Any certificate, statement or opinion of an officer of the Company or of counsel may be based, insofar as it relates to accounting matters, upon a certificate, statement or opinion of, or representations by, an accountant or firm of accountants in the employ of the Company. Any certificate, statement or opinion of, or representations by, any independent firm of public accountants filed with the Trustee shall contain a statement that such firm is independent.</w:t>
      </w:r>
    </w:p>
    <w:p>
      <w:pPr>
        <w:spacing w:after="0" w:line="80" w:lineRule="exact"/>
        <w:rPr>
          <w:rFonts w:ascii="Times New Roman" w:cs="Times New Roman" w:eastAsia="Times New Roman" w:hAnsi="Times New Roman"/>
          <w:sz w:val="18"/>
          <w:szCs w:val="18"/>
          <w:color w:val="auto"/>
        </w:rPr>
      </w:pPr>
    </w:p>
    <w:p>
      <w:pPr>
        <w:ind w:right="160" w:firstLine="987"/>
        <w:spacing w:after="0" w:line="282" w:lineRule="auto"/>
        <w:tabs>
          <w:tab w:leader="none" w:pos="12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0"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i w:val="1"/>
          <w:iCs w:val="1"/>
          <w:color w:val="auto"/>
        </w:rPr>
        <w:t>Acts of Holders</w:t>
      </w:r>
      <w:r>
        <w:rPr>
          <w:rFonts w:ascii="Times New Roman" w:cs="Times New Roman" w:eastAsia="Times New Roman" w:hAnsi="Times New Roman"/>
          <w:sz w:val="18"/>
          <w:szCs w:val="18"/>
          <w:color w:val="auto"/>
        </w:rPr>
        <w:t>. (a) Any request, demand, authorization, direction, notice, consent, waiver or other action provided or permitted by this Indenture to be made, given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601) conclusive in favor of the Trustee and the Company, if made in the manner provided in this Section.</w:t>
      </w:r>
    </w:p>
    <w:p>
      <w:pPr>
        <w:spacing w:after="0" w:line="79" w:lineRule="exact"/>
        <w:rPr>
          <w:sz w:val="20"/>
          <w:szCs w:val="20"/>
          <w:color w:val="auto"/>
        </w:rPr>
      </w:pPr>
    </w:p>
    <w:p>
      <w:pPr>
        <w:ind w:right="60" w:firstLine="987"/>
        <w:spacing w:after="0" w:line="258" w:lineRule="auto"/>
        <w:tabs>
          <w:tab w:leader="none" w:pos="12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acceptable to the Trustee.</w:t>
      </w:r>
    </w:p>
    <w:p>
      <w:pPr>
        <w:spacing w:after="0" w:line="75" w:lineRule="exact"/>
        <w:rPr>
          <w:rFonts w:ascii="Times New Roman" w:cs="Times New Roman" w:eastAsia="Times New Roman" w:hAnsi="Times New Roman"/>
          <w:sz w:val="18"/>
          <w:szCs w:val="18"/>
          <w:color w:val="auto"/>
        </w:rPr>
      </w:pPr>
    </w:p>
    <w:p>
      <w:pPr>
        <w:ind w:right="420" w:firstLine="987"/>
        <w:spacing w:after="0" w:line="282" w:lineRule="auto"/>
        <w:tabs>
          <w:tab w:leader="none" w:pos="12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(except as otherwise contemplated in clause (ii) of the proviso to the definition of “Outstanding”) and serial numbers of Securities held by any Person, and the date of holding the same, shall be proved by the Security Register.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46" w:name="page47"/>
    <w:bookmarkEnd w:id="46"/>
    <w:p>
      <w:pPr>
        <w:jc w:val="both"/>
        <w:ind w:right="200" w:firstLine="987"/>
        <w:spacing w:after="0" w:line="261" w:lineRule="auto"/>
        <w:tabs>
          <w:tab w:leader="none" w:pos="124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request, demand, authorization, direction, notice, consent, election,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71" w:lineRule="exact"/>
        <w:rPr>
          <w:rFonts w:ascii="Times New Roman" w:cs="Times New Roman" w:eastAsia="Times New Roman" w:hAnsi="Times New Roman"/>
          <w:sz w:val="18"/>
          <w:szCs w:val="18"/>
          <w:color w:val="auto"/>
        </w:rPr>
      </w:pPr>
    </w:p>
    <w:p>
      <w:pPr>
        <w:ind w:right="80" w:firstLine="987"/>
        <w:spacing w:after="0" w:line="261" w:lineRule="auto"/>
        <w:tabs>
          <w:tab w:leader="none" w:pos="12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set a record date for purposes of determining the identity of Holders of any Outstanding Securities of any series entitled to vote or consent to any action by vote or consent authorized or permitted by Section 512 or 513. Such record date shall be not less than 10 nor more than 60 days prior to the first solicitation of such consent or the date of the most recent list of Holders of such Securities furnished to the Trustee pursuant to Section 701 prior to such solicitation.</w:t>
      </w:r>
    </w:p>
    <w:p>
      <w:pPr>
        <w:spacing w:after="0" w:line="71" w:lineRule="exact"/>
        <w:rPr>
          <w:rFonts w:ascii="Times New Roman" w:cs="Times New Roman" w:eastAsia="Times New Roman" w:hAnsi="Times New Roman"/>
          <w:sz w:val="18"/>
          <w:szCs w:val="18"/>
          <w:color w:val="auto"/>
        </w:rPr>
      </w:pPr>
    </w:p>
    <w:p>
      <w:pPr>
        <w:ind w:firstLine="987"/>
        <w:spacing w:after="0" w:line="255" w:lineRule="auto"/>
        <w:tabs>
          <w:tab w:leader="none" w:pos="121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solicits from Holders any request, demand, authorization, direction, notice, consent, election, waiver or other Act, the Company may, at its option, fix in advance a record date for the determination of Holders entitled to give such request, demand, authorization, direction, notice, consent, election, waiver or other Act, but the Company shall have no obligation to do so. If such a record date is fixed, such request, demand, authorization, direction, notice, consent, election, waiver or other Act may be given before or after such record date, but only the Holders of record at the close of business on the record date shall be deemed to be Holders for the purposes of determining whether Holders of the requisite proportion of the Outstanding Securities have authorized or agreed or consented to such request, demand, authorization, direction, notice, consent, election, waiver or other Act, and for that purpose the Outstanding Securities shall be computed as of the record date.</w:t>
      </w:r>
    </w:p>
    <w:p>
      <w:pPr>
        <w:spacing w:after="0" w:line="187" w:lineRule="exact"/>
        <w:rPr>
          <w:sz w:val="20"/>
          <w:szCs w:val="20"/>
          <w:color w:val="auto"/>
        </w:rPr>
      </w:pPr>
    </w:p>
    <w:p>
      <w:pPr>
        <w:jc w:val="both"/>
        <w:ind w:right="20" w:firstLine="991"/>
        <w:spacing w:after="0" w:line="267"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i w:val="1"/>
          <w:iCs w:val="1"/>
          <w:color w:val="auto"/>
        </w:rPr>
        <w:t>Notices, Etc. to Trustee and Company</w:t>
      </w:r>
      <w:r>
        <w:rPr>
          <w:rFonts w:ascii="Times New Roman" w:cs="Times New Roman" w:eastAsia="Times New Roman" w:hAnsi="Times New Roman"/>
          <w:sz w:val="18"/>
          <w:szCs w:val="18"/>
          <w:color w:val="auto"/>
        </w:rPr>
        <w:t>. Except as otherwise provided herein, any request, demand, authorization, direction, notice, consent, election, waiver or Act of Holders or other document provided or permitted by this Indenture to be made upon, given or furnished to, or filed with,</w:t>
      </w:r>
    </w:p>
    <w:p>
      <w:pPr>
        <w:spacing w:after="0" w:line="67" w:lineRule="exact"/>
        <w:rPr>
          <w:sz w:val="20"/>
          <w:szCs w:val="20"/>
          <w:color w:val="auto"/>
        </w:rPr>
      </w:pPr>
    </w:p>
    <w:p>
      <w:pPr>
        <w:ind w:left="440" w:right="20" w:firstLine="419"/>
        <w:spacing w:after="0" w:line="282" w:lineRule="auto"/>
        <w:tabs>
          <w:tab w:leader="none" w:pos="110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by any Holder or by the Company shall be sufficient for every purpose hereunder if made, given, furnished or filed in writing to or with the Trustee at its Corporate Trust Office, Attention: •, or</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1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instrument or at any other address furnished in writing to the Trustee by the Company prior to such mailing.</w:t>
      </w:r>
    </w:p>
    <w:p>
      <w:pPr>
        <w:spacing w:after="0" w:line="174"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i w:val="1"/>
          <w:iCs w:val="1"/>
          <w:color w:val="auto"/>
        </w:rPr>
        <w:t>Notice to Holders; Waiver</w:t>
      </w:r>
      <w:r>
        <w:rPr>
          <w:rFonts w:ascii="Times New Roman" w:cs="Times New Roman" w:eastAsia="Times New Roman" w:hAnsi="Times New Roman"/>
          <w:sz w:val="18"/>
          <w:szCs w:val="18"/>
          <w:color w:val="auto"/>
        </w:rPr>
        <w:t>. (a) Except as otherwise expressly provided herein, where this Indenture provides for notice of any event or reports to Holders, such notice or report shall be sufficiently given if in writing and mailed, first-class postage prepaid or electronically in the case of Global Securities, to each Holder of Securities affected by such event, at the address of such Holder as it appears in the Security Register and to addresses filed with the Trustee or preserved on the Trustee’s list pursuant to Section 702(a) for other Holders (and to such other addressees as may be required in the case of such notice or report under Section 313(c) of the Trust Indenture Act), not later than the latest date, and not earlier than the earliest date, prescribed for the giving of such notice or report.</w:t>
      </w:r>
    </w:p>
    <w:p>
      <w:pPr>
        <w:spacing w:after="0" w:line="76" w:lineRule="exact"/>
        <w:rPr>
          <w:sz w:val="20"/>
          <w:szCs w:val="20"/>
          <w:color w:val="auto"/>
        </w:rPr>
      </w:pPr>
    </w:p>
    <w:p>
      <w:pPr>
        <w:ind w:right="140" w:firstLine="987"/>
        <w:spacing w:after="0" w:line="282" w:lineRule="auto"/>
        <w:tabs>
          <w:tab w:leader="none" w:pos="124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where notice to Holders is given by mail, neither the failure to mail such notice, nor any defect in any notice so mailed, to any particular Holder shall affect the sufficiency of such notice with respect to other Holders.</w:t>
      </w:r>
    </w:p>
    <w:p>
      <w:pPr>
        <w:spacing w:after="0" w:line="53" w:lineRule="exact"/>
        <w:rPr>
          <w:rFonts w:ascii="Times New Roman" w:cs="Times New Roman" w:eastAsia="Times New Roman" w:hAnsi="Times New Roman"/>
          <w:sz w:val="18"/>
          <w:szCs w:val="18"/>
          <w:color w:val="auto"/>
        </w:rPr>
      </w:pPr>
    </w:p>
    <w:p>
      <w:pPr>
        <w:ind w:right="260" w:firstLine="987"/>
        <w:spacing w:after="0" w:line="266" w:lineRule="auto"/>
        <w:tabs>
          <w:tab w:leader="none" w:pos="12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47" w:name="page48"/>
    <w:bookmarkEnd w:id="47"/>
    <w:p>
      <w:pPr>
        <w:ind w:right="160" w:firstLine="987"/>
        <w:spacing w:after="0" w:line="266" w:lineRule="auto"/>
        <w:tabs>
          <w:tab w:leader="none" w:pos="12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if given to the Depositary for such Security (or its designee) pursuant to the applicable procedures of the Depositary.</w:t>
      </w:r>
    </w:p>
    <w:p>
      <w:pPr>
        <w:spacing w:after="0" w:line="174"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i w:val="1"/>
          <w:iCs w:val="1"/>
          <w:color w:val="auto"/>
        </w:rPr>
        <w:t>Conflict With Trust Indenture Act</w:t>
      </w:r>
      <w:r>
        <w:rPr>
          <w:rFonts w:ascii="Times New Roman" w:cs="Times New Roman" w:eastAsia="Times New Roman" w:hAnsi="Times New Roman"/>
          <w:sz w:val="18"/>
          <w:szCs w:val="18"/>
          <w:color w:val="auto"/>
        </w:rPr>
        <w:t>. If any provision hereof limits, qualifies or conflicts with a provision of the Trust Indenture Act that is required under the Trust Indenture Act to be a part of and govern this Indenture, the latter provision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180" w:lineRule="exact"/>
        <w:rPr>
          <w:sz w:val="20"/>
          <w:szCs w:val="20"/>
          <w:color w:val="auto"/>
        </w:rPr>
      </w:pPr>
    </w:p>
    <w:p>
      <w:pPr>
        <w:ind w:right="520" w:firstLine="991"/>
        <w:spacing w:after="0" w:line="284"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i w:val="1"/>
          <w:iCs w:val="1"/>
          <w:color w:val="auto"/>
        </w:rPr>
        <w:t>Effect of Headings and Table of Contents</w:t>
      </w:r>
      <w:r>
        <w:rPr>
          <w:rFonts w:ascii="Times New Roman" w:cs="Times New Roman" w:eastAsia="Times New Roman" w:hAnsi="Times New Roman"/>
          <w:sz w:val="18"/>
          <w:szCs w:val="18"/>
          <w:color w:val="auto"/>
        </w:rPr>
        <w:t>. The Article and Section headings herein and the Table of Contents are for convenience only and shall not affect the construction hereof.</w:t>
      </w:r>
    </w:p>
    <w:p>
      <w:pPr>
        <w:spacing w:after="0" w:line="158" w:lineRule="exact"/>
        <w:rPr>
          <w:sz w:val="20"/>
          <w:szCs w:val="20"/>
          <w:color w:val="auto"/>
        </w:rPr>
      </w:pPr>
    </w:p>
    <w:p>
      <w:pPr>
        <w:ind w:right="380" w:firstLine="991"/>
        <w:spacing w:after="0" w:line="284"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All covenants and agreements in this Indenture by the Company shall bind its successors and assigns, whether so expressed or not.</w:t>
      </w:r>
    </w:p>
    <w:p>
      <w:pPr>
        <w:spacing w:after="0" w:line="158" w:lineRule="exact"/>
        <w:rPr>
          <w:sz w:val="20"/>
          <w:szCs w:val="20"/>
          <w:color w:val="auto"/>
        </w:rPr>
      </w:pPr>
    </w:p>
    <w:p>
      <w:pPr>
        <w:ind w:right="380" w:firstLine="991"/>
        <w:spacing w:after="0" w:line="284" w:lineRule="auto"/>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i w:val="1"/>
          <w:iCs w:val="1"/>
          <w:color w:val="auto"/>
        </w:rPr>
        <w:t>Separability Clause</w:t>
      </w:r>
      <w:r>
        <w:rPr>
          <w:rFonts w:ascii="Times New Roman" w:cs="Times New Roman" w:eastAsia="Times New Roman" w:hAnsi="Times New Roman"/>
          <w:sz w:val="18"/>
          <w:szCs w:val="18"/>
          <w:color w:val="auto"/>
        </w:rPr>
        <w:t>. In case any provision in this Indenture or in the Securities is invalid, illegal or unenforceable, the validity, legality and enforceability of the remaining provisions shall not in any way be affected or impaired thereby.</w:t>
      </w:r>
    </w:p>
    <w:p>
      <w:pPr>
        <w:spacing w:after="0" w:line="158" w:lineRule="exact"/>
        <w:rPr>
          <w:sz w:val="20"/>
          <w:szCs w:val="20"/>
          <w:color w:val="auto"/>
        </w:rPr>
      </w:pPr>
    </w:p>
    <w:p>
      <w:pPr>
        <w:ind w:right="40" w:firstLine="991"/>
        <w:spacing w:after="0" w:line="290" w:lineRule="auto"/>
        <w:rPr>
          <w:sz w:val="20"/>
          <w:szCs w:val="20"/>
          <w:color w:val="auto"/>
        </w:rPr>
      </w:pPr>
      <w:r>
        <w:rPr>
          <w:rFonts w:ascii="Times New Roman" w:cs="Times New Roman" w:eastAsia="Times New Roman" w:hAnsi="Times New Roman"/>
          <w:sz w:val="17"/>
          <w:szCs w:val="17"/>
          <w:color w:val="auto"/>
        </w:rPr>
        <w:t xml:space="preserve">SECTION 111. </w:t>
      </w:r>
      <w:r>
        <w:rPr>
          <w:rFonts w:ascii="Times New Roman" w:cs="Times New Roman" w:eastAsia="Times New Roman" w:hAnsi="Times New Roman"/>
          <w:sz w:val="17"/>
          <w:szCs w:val="17"/>
          <w:i w:val="1"/>
          <w:iCs w:val="1"/>
          <w:color w:val="auto"/>
        </w:rPr>
        <w:t>Benefits of Indenture</w:t>
      </w:r>
      <w:r>
        <w:rPr>
          <w:rFonts w:ascii="Times New Roman" w:cs="Times New Roman" w:eastAsia="Times New Roman" w:hAnsi="Times New Roman"/>
          <w:sz w:val="17"/>
          <w:szCs w:val="17"/>
          <w:color w:val="auto"/>
        </w:rPr>
        <w:t>. Nothing in this Indenture or in the Securities, express or implied, shall give to any Person, other than the parties hereto (including any Paying Agent appointed pursuant to Section 1002 and Authenticating Agent appointed pursuant to Section 614 to the extent provided herein) and their successors hereunder and the Holders, any benefit or any legal or equitable right, remedy or claim under this Indenture.</w:t>
      </w:r>
    </w:p>
    <w:p>
      <w:pPr>
        <w:spacing w:after="0" w:line="155" w:lineRule="exact"/>
        <w:rPr>
          <w:sz w:val="20"/>
          <w:szCs w:val="20"/>
          <w:color w:val="auto"/>
        </w:rPr>
      </w:pPr>
    </w:p>
    <w:p>
      <w:pPr>
        <w:ind w:right="200" w:firstLine="991"/>
        <w:spacing w:after="0" w:line="284"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Indenture and the Securities shall be governed by and construed in accordance with the laws of the State of New York in the United States, but without giving effect to the conflicts of laws principles thereof.</w:t>
      </w:r>
    </w:p>
    <w:p>
      <w:pPr>
        <w:spacing w:after="0" w:line="158"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i w:val="1"/>
          <w:iCs w:val="1"/>
          <w:color w:val="auto"/>
        </w:rPr>
        <w:t>Legal Holidays</w:t>
      </w:r>
      <w:r>
        <w:rPr>
          <w:rFonts w:ascii="Times New Roman" w:cs="Times New Roman" w:eastAsia="Times New Roman" w:hAnsi="Times New Roman"/>
          <w:sz w:val="18"/>
          <w:szCs w:val="18"/>
          <w:color w:val="auto"/>
        </w:rPr>
        <w:t xml:space="preserve">. In any case where any Interest Payment Date, Redemption Date, Repayment Date or Stated Maturity of any Security is not a Business Day at any Place of Payment or the city in which the Corporate Trust Office of the Trustee is located, then (notwithstanding any other provision of this Indenture or of the Securities, other than a provision in Securities of any series, or in the Board Resolution, Supplemental Indenture or Officer’s Certificate that establishes the terms of such Securities, that specifically states that such provision shall apply in lieu of this Section) payment of interest or principal (and premium, if any) need not be made at such Place of Payment on such date, but may be made on the next succeeding Business Day at such Place of Payment with the same force and effect as if made on the Interest Payment Date or Redemption Date, Repayment Date, or at the Stated Maturity, and such extension of time shall in such case be (1) excluded in the computation of interest, if any, accruing on such Security at a fixed rate and (2) included in the computation of interest, if any, accruing on such Security at a floating 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extension would cause payment of interest at a floating rate to be made in the next following calendar month, such payment shall be made on the next preceding Business Day.</w:t>
      </w:r>
    </w:p>
    <w:p>
      <w:pPr>
        <w:spacing w:after="0" w:line="185" w:lineRule="exact"/>
        <w:rPr>
          <w:sz w:val="20"/>
          <w:szCs w:val="20"/>
          <w:color w:val="auto"/>
        </w:rPr>
      </w:pPr>
    </w:p>
    <w:p>
      <w:pPr>
        <w:ind w:right="300" w:firstLine="991"/>
        <w:spacing w:after="0" w:line="284"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i w:val="1"/>
          <w:iCs w:val="1"/>
          <w:color w:val="auto"/>
        </w:rPr>
        <w:t>Rules by Trustee and Agents</w:t>
      </w:r>
      <w:r>
        <w:rPr>
          <w:rFonts w:ascii="Times New Roman" w:cs="Times New Roman" w:eastAsia="Times New Roman" w:hAnsi="Times New Roman"/>
          <w:sz w:val="18"/>
          <w:szCs w:val="18"/>
          <w:color w:val="auto"/>
        </w:rPr>
        <w:t>. The Trustee may make reasonable rules for action by or at a meeting of Holders of one or more series. The Paying Agent or Security Registrar may make reasonable rules and set reasonable requirements for its functions.</w:t>
      </w:r>
    </w:p>
    <w:p>
      <w:pPr>
        <w:spacing w:after="0" w:line="158"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i w:val="1"/>
          <w:iCs w:val="1"/>
          <w:color w:val="auto"/>
        </w:rPr>
        <w:t>No Recourse Against Others</w:t>
      </w:r>
      <w:r>
        <w:rPr>
          <w:rFonts w:ascii="Times New Roman" w:cs="Times New Roman" w:eastAsia="Times New Roman" w:hAnsi="Times New Roman"/>
          <w:sz w:val="18"/>
          <w:szCs w:val="18"/>
          <w:color w:val="auto"/>
        </w:rPr>
        <w:t>. No past, present or future director, officer, stockholder or employee, as such, of the Company or any of its Affiliates or any successor corporation shall have any liability for any obligation, covenant or agreement of the Company under this Indenture or any indenture supplemental hereto, or in the Securities, or for any claim based on, in respect of or by reason of such obligations, covenants or agreements or their creation. Each Holder by accepting a Security waives and releases all such liability. The waiver and release are part of the consideration for the execution and delivery of this Indenture and the issue of the Securities.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TWO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FORMS</w:t>
      </w:r>
    </w:p>
    <w:p>
      <w:pPr>
        <w:spacing w:after="0" w:line="22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Forms Generally</w:t>
      </w:r>
      <w:r>
        <w:rPr>
          <w:rFonts w:ascii="Times New Roman" w:cs="Times New Roman" w:eastAsia="Times New Roman" w:hAnsi="Times New Roman"/>
          <w:sz w:val="18"/>
          <w:szCs w:val="18"/>
          <w:color w:val="auto"/>
        </w:rPr>
        <w:t>. (a) The Securities of each series shall be in substantially such form as shall be established by or pursuant to a Board Resolution, and set forth in an Officer’s Certificate, or established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law or with any rules or regulations pursuant thereto, or with any rules of any securities exchange or to conform with general usage, all as may, consistently herewith, be determined by the officers executing such Securities, as evidenced by their execution of the Securities. When the form of Securities of any series is established by action taken pursuant to a Board Resolution, a copy of an appropriate record of such action shall be delivered to the Trustee at or prior to the delivery of the Company Order contemplated by Section 303 for the authentication and delivery of such Securities.</w:t>
      </w:r>
    </w:p>
    <w:p>
      <w:pPr>
        <w:spacing w:after="0" w:line="79" w:lineRule="exact"/>
        <w:rPr>
          <w:sz w:val="20"/>
          <w:szCs w:val="20"/>
          <w:color w:val="auto"/>
        </w:rPr>
      </w:pPr>
    </w:p>
    <w:p>
      <w:pPr>
        <w:ind w:right="20" w:firstLine="987"/>
        <w:spacing w:after="0" w:line="282" w:lineRule="auto"/>
        <w:tabs>
          <w:tab w:leader="none" w:pos="12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definitive Securities shall be produced in such manner or combination of manners, all as determined by the officers executing such Securities, as evidenced by their execution of such Securities.</w:t>
      </w:r>
    </w:p>
    <w:p>
      <w:pPr>
        <w:spacing w:after="0" w:line="160" w:lineRule="exact"/>
        <w:rPr>
          <w:sz w:val="20"/>
          <w:szCs w:val="20"/>
          <w:color w:val="auto"/>
        </w:rPr>
      </w:pPr>
    </w:p>
    <w:p>
      <w:pPr>
        <w:ind w:right="380" w:firstLine="991"/>
        <w:spacing w:after="0" w:line="284"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Form of Trustee’s Certificate of Authentication</w:t>
      </w:r>
      <w:r>
        <w:rPr>
          <w:rFonts w:ascii="Times New Roman" w:cs="Times New Roman" w:eastAsia="Times New Roman" w:hAnsi="Times New Roman"/>
          <w:sz w:val="18"/>
          <w:szCs w:val="18"/>
          <w:color w:val="auto"/>
        </w:rPr>
        <w:t>. The Trustee’s certificate of authentication shall be in substantially the following form:</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herein, referred to in the within-mentioned Indenture.</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17145</wp:posOffset>
            </wp:positionV>
            <wp:extent cx="26231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6"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THREE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w:t>
      </w:r>
    </w:p>
    <w:p>
      <w:pPr>
        <w:spacing w:after="0" w:line="227" w:lineRule="exact"/>
        <w:rPr>
          <w:sz w:val="20"/>
          <w:szCs w:val="20"/>
          <w:color w:val="auto"/>
        </w:rPr>
      </w:pPr>
    </w:p>
    <w:p>
      <w:pPr>
        <w:ind w:right="380" w:firstLine="991"/>
        <w:spacing w:after="0" w:line="284"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Amount Unlimited; Issuable in Series</w:t>
      </w:r>
      <w:r>
        <w:rPr>
          <w:rFonts w:ascii="Times New Roman" w:cs="Times New Roman" w:eastAsia="Times New Roman" w:hAnsi="Times New Roman"/>
          <w:sz w:val="18"/>
          <w:szCs w:val="18"/>
          <w:color w:val="auto"/>
        </w:rPr>
        <w:t>. (a) The aggregate principal amount of Securities that may be authenticated and delivered under this Indenture is unlimited.</w:t>
      </w:r>
    </w:p>
    <w:p>
      <w:pPr>
        <w:spacing w:after="0" w:line="52" w:lineRule="exact"/>
        <w:rPr>
          <w:sz w:val="20"/>
          <w:szCs w:val="20"/>
          <w:color w:val="auto"/>
        </w:rPr>
      </w:pPr>
    </w:p>
    <w:p>
      <w:pPr>
        <w:ind w:right="100" w:firstLine="987"/>
        <w:spacing w:after="0" w:line="282" w:lineRule="auto"/>
        <w:tabs>
          <w:tab w:leader="none" w:pos="124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may be issued in one or more series. There shall be established in or pursuant to a Board Resolution, and set forth in an Officer’s Certificate, or established in one or more indentures supplemental hereto, prior to the issuance of Securities of any series,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such series (which shall distinguish the Securities of the series from all other Securities);</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61" w:lineRule="auto"/>
        <w:tabs>
          <w:tab w:leader="none" w:pos="111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such series that may be authenticated and delivered under this Indenture (except for Securities authenticated and delivered upon registration of transfer of, or in exchange for, or in lieu of, other Securities of such series pursuant to Section 304, 305, 306, 906, 1107 or 1204 and except for any Securities that, pursuant to Section 303, are deemed never to have been authenticated and delivered hereunder);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49" w:name="page50"/>
    <w:bookmarkEnd w:id="49"/>
    <w:p>
      <w:pPr>
        <w:ind w:right="240" w:firstLine="419"/>
        <w:spacing w:after="0" w:line="261" w:lineRule="auto"/>
        <w:tabs>
          <w:tab w:leader="none" w:pos="67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date or dates on which the principal and premium, if any, of the Securities of such series, or any Tranche thereof, is payable or any formula or other method or other means by which such date or dates shall be determined, by reference to an index or other fact or event ascertainable outside of this Indenture or otherwise (without regard to any provisions for redemption, prepayment, acceleration, purchase or extension);</w:t>
      </w:r>
    </w:p>
    <w:p>
      <w:pPr>
        <w:spacing w:after="0" w:line="71" w:lineRule="exact"/>
        <w:rPr>
          <w:rFonts w:ascii="Times New Roman" w:cs="Times New Roman" w:eastAsia="Times New Roman" w:hAnsi="Times New Roman"/>
          <w:sz w:val="18"/>
          <w:szCs w:val="18"/>
          <w:color w:val="auto"/>
        </w:rPr>
      </w:pPr>
    </w:p>
    <w:p>
      <w:pPr>
        <w:ind w:right="20" w:firstLine="419"/>
        <w:spacing w:after="0" w:line="254" w:lineRule="auto"/>
        <w:tabs>
          <w:tab w:leader="none" w:pos="67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Securities of such series, or any Tranche thereof, shall bear interest, if any (including the rate or rates at which overdue principal shall bear interest, if different from the rate or rates at which such Securities shall bear interest prior to Maturity, and, if applicable, the rate or rates at which overdue premium or interest shall bear interest, if any), or any formula or other method or other means by which such rate or rates shall be determined, by reference to an index or other fact or event ascertainable outside of this Indenture or otherwise; the date or dates from which such interest shall accrue; the Interest Payment Dates on which such interest shall be payable and the Regular Record Date, if any, for the interest payable on such Securities on any Interest Payment Date; the right of the Company, if any, to extend the interest payment periods and the duration of any such extension as contemplated by Section 312; and the basis of computation of interest, if other than as provided in Section 310;</w:t>
      </w:r>
    </w:p>
    <w:p>
      <w:pPr>
        <w:spacing w:after="0" w:line="83" w:lineRule="exact"/>
        <w:rPr>
          <w:rFonts w:ascii="Times New Roman" w:cs="Times New Roman" w:eastAsia="Times New Roman" w:hAnsi="Times New Roman"/>
          <w:sz w:val="18"/>
          <w:szCs w:val="18"/>
          <w:color w:val="auto"/>
        </w:rPr>
      </w:pPr>
    </w:p>
    <w:p>
      <w:pPr>
        <w:jc w:val="both"/>
        <w:ind w:right="60" w:firstLine="419"/>
        <w:spacing w:after="0" w:line="258" w:lineRule="auto"/>
        <w:tabs>
          <w:tab w:leader="none" w:pos="67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premium, if any, and interest, if any, on Securities of such series, or any Tranche thereof, shall be payable, where the Securities of such series, or any Tranche thereof, may be surrendered for registration of transferor for exchange, and where notices and demands to or upon the Company in respect of the Securities of such series, or any Tranche thereof, and this Indenture may be served and notices to Holders pursuant to Section 106 will be published; the Security Registrar and any Paying Agent or Agents for such series or Tranche; and if such is the case, that the principal of such Securities shall be payable without presentment or surrender thereof;</w:t>
      </w:r>
    </w:p>
    <w:p>
      <w:pPr>
        <w:spacing w:after="0" w:line="75" w:lineRule="exact"/>
        <w:rPr>
          <w:rFonts w:ascii="Times New Roman" w:cs="Times New Roman" w:eastAsia="Times New Roman" w:hAnsi="Times New Roman"/>
          <w:sz w:val="18"/>
          <w:szCs w:val="18"/>
          <w:color w:val="auto"/>
        </w:rPr>
      </w:pPr>
    </w:p>
    <w:p>
      <w:pPr>
        <w:ind w:right="40" w:firstLine="419"/>
        <w:spacing w:after="0" w:line="266" w:lineRule="auto"/>
        <w:tabs>
          <w:tab w:leader="none" w:pos="67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period or periods within which, the price or prices at which and the terms and conditions upon which Securities of such series, or any Tranche thereof, may be redeemed, in whole or in part, at the option of the Company and, if other than by a Board Resolution, the manner in which any election by the Company to redeem such Securities shall be evidenced;</w:t>
      </w:r>
    </w:p>
    <w:p>
      <w:pPr>
        <w:spacing w:after="0" w:line="67" w:lineRule="exact"/>
        <w:rPr>
          <w:rFonts w:ascii="Times New Roman" w:cs="Times New Roman" w:eastAsia="Times New Roman" w:hAnsi="Times New Roman"/>
          <w:sz w:val="18"/>
          <w:szCs w:val="18"/>
          <w:color w:val="auto"/>
        </w:rPr>
      </w:pPr>
    </w:p>
    <w:p>
      <w:pPr>
        <w:ind w:firstLine="419"/>
        <w:spacing w:after="0" w:line="261" w:lineRule="auto"/>
        <w:tabs>
          <w:tab w:leader="none" w:pos="67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or purchase Securities of such series, or any Tranche thereof, pursuant to any sinking fund or analogous provisions or at the option of the Holder thereof and the period or periods within which, the price or prices at which and the terms and conditions upon which Securities of such series, or any Tranche thereof, shall be redeemed or purchased, in whole or in part, pursuant to such obligation;</w:t>
      </w:r>
    </w:p>
    <w:p>
      <w:pPr>
        <w:spacing w:after="0" w:line="71" w:lineRule="exact"/>
        <w:rPr>
          <w:rFonts w:ascii="Times New Roman" w:cs="Times New Roman" w:eastAsia="Times New Roman" w:hAnsi="Times New Roman"/>
          <w:sz w:val="18"/>
          <w:szCs w:val="18"/>
          <w:color w:val="auto"/>
        </w:rPr>
      </w:pPr>
    </w:p>
    <w:p>
      <w:pPr>
        <w:ind w:right="780" w:firstLine="419"/>
        <w:spacing w:after="0" w:line="282" w:lineRule="auto"/>
        <w:tabs>
          <w:tab w:leader="none" w:pos="67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on which the Securities of such series will be subordinate in right and priority of payment to other debt of the Company;</w:t>
      </w:r>
    </w:p>
    <w:p>
      <w:pPr>
        <w:spacing w:after="0" w:line="53" w:lineRule="exact"/>
        <w:rPr>
          <w:rFonts w:ascii="Times New Roman" w:cs="Times New Roman" w:eastAsia="Times New Roman" w:hAnsi="Times New Roman"/>
          <w:sz w:val="18"/>
          <w:szCs w:val="18"/>
          <w:color w:val="auto"/>
        </w:rPr>
      </w:pPr>
    </w:p>
    <w:p>
      <w:pPr>
        <w:ind w:right="580" w:firstLine="419"/>
        <w:spacing w:after="0" w:line="282" w:lineRule="auto"/>
        <w:tabs>
          <w:tab w:leader="none" w:pos="67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any Securities of such series shall be issuable, if other than denominations of $1,000 and any integral multiple thereof; 502;</w:t>
      </w:r>
    </w:p>
    <w:p>
      <w:pPr>
        <w:spacing w:after="0" w:line="53" w:lineRule="exact"/>
        <w:rPr>
          <w:rFonts w:ascii="Times New Roman" w:cs="Times New Roman" w:eastAsia="Times New Roman" w:hAnsi="Times New Roman"/>
          <w:sz w:val="18"/>
          <w:szCs w:val="18"/>
          <w:color w:val="auto"/>
        </w:rPr>
      </w:pPr>
    </w:p>
    <w:p>
      <w:pPr>
        <w:ind w:right="320" w:firstLine="419"/>
        <w:spacing w:after="0" w:line="282" w:lineRule="auto"/>
        <w:tabs>
          <w:tab w:leader="none" w:pos="76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Securities of such series that shall be payable upon declaration of acceleration of the Maturity thereof pursuant to Section</w:t>
      </w:r>
    </w:p>
    <w:p>
      <w:pPr>
        <w:spacing w:after="0" w:line="53" w:lineRule="exact"/>
        <w:rPr>
          <w:rFonts w:ascii="Times New Roman" w:cs="Times New Roman" w:eastAsia="Times New Roman" w:hAnsi="Times New Roman"/>
          <w:sz w:val="18"/>
          <w:szCs w:val="18"/>
          <w:color w:val="auto"/>
        </w:rPr>
      </w:pPr>
    </w:p>
    <w:p>
      <w:pPr>
        <w:ind w:right="20" w:firstLine="419"/>
        <w:spacing w:after="0" w:line="261" w:lineRule="auto"/>
        <w:tabs>
          <w:tab w:leader="none" w:pos="76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currency of the United States of America, the currency or currencies, including composite currencies, in which the principal of or any premium or interest on the Securities of such series shall be payable and the manner of determining the equivalent of any such amount in Dollars is to be determined for any purpose, including for the purpose of determining the principal amount of such Securities deemed to be Outstanding at any time;</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70" w:right="459" w:bottom="1440" w:gutter="0" w:footer="0" w:header="0"/>
        </w:sectPr>
      </w:pPr>
    </w:p>
    <w:bookmarkStart w:id="50" w:name="page51"/>
    <w:bookmarkEnd w:id="50"/>
    <w:p>
      <w:pPr>
        <w:ind w:left="440" w:right="20" w:firstLine="419"/>
        <w:spacing w:after="0" w:line="261" w:lineRule="auto"/>
        <w:tabs>
          <w:tab w:leader="none" w:pos="120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principal of or any premium or interest on the Securities of such series is to be payable, or is to be payable at the election of the Company or a Holder thereof, in securities or other property, the type and amount of such securities or other property, or the manner of determining such amount shall be determined, and the period or periods within which, and the terms and conditions upon which, any such election may be made;</w:t>
      </w:r>
    </w:p>
    <w:p>
      <w:pPr>
        <w:spacing w:after="0" w:line="71"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20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to whom any interest on any Security of such series shall be payable, if other than the Person in whose name that Security is registered at the close of business on the Regular Record Date for such interest, and the extent to which, or the manner in which, any interest payable on a temporary or permanent Global Security on an interest payment date will be paid;</w:t>
      </w:r>
    </w:p>
    <w:p>
      <w:pPr>
        <w:spacing w:after="0" w:line="67"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20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with respect to the Securities of such series, and any addition to or change in the covenants of the Company for the benefit of the Holders of the Securities of such series in addition to those set forth in Article Ten;</w:t>
      </w:r>
    </w:p>
    <w:p>
      <w:pPr>
        <w:spacing w:after="0" w:line="53" w:lineRule="exact"/>
        <w:rPr>
          <w:rFonts w:ascii="Times New Roman" w:cs="Times New Roman" w:eastAsia="Times New Roman" w:hAnsi="Times New Roman"/>
          <w:sz w:val="18"/>
          <w:szCs w:val="18"/>
          <w:color w:val="auto"/>
        </w:rPr>
      </w:pPr>
    </w:p>
    <w:p>
      <w:pPr>
        <w:ind w:left="440" w:right="280" w:firstLine="419"/>
        <w:spacing w:after="0" w:line="282" w:lineRule="auto"/>
        <w:tabs>
          <w:tab w:leader="none" w:pos="120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Securities of such series may be converted into or exchanged for securities or other property of the Company or any other Person;</w:t>
      </w:r>
    </w:p>
    <w:p>
      <w:pPr>
        <w:spacing w:after="0" w:line="53"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20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Company’s obligations under this Indenture may be terminated through the deposit of money or Eligible Instruments as provided in Article Four;</w:t>
      </w:r>
    </w:p>
    <w:p>
      <w:pPr>
        <w:spacing w:after="0" w:line="53"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exceptions to Section 113, or variation in the definition of Business Day, with respect to the Securities of such series;</w:t>
      </w:r>
    </w:p>
    <w:p>
      <w:pPr>
        <w:spacing w:after="0" w:line="117"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collateral security, assurance or guaranty for the Securities of such series;</w:t>
      </w:r>
    </w:p>
    <w:p>
      <w:pPr>
        <w:spacing w:after="0" w:line="117"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20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non-applicability of Section 608 to the Securities of such series or any exceptions or modifications of Section 608 with respect to the Securities of such series;</w:t>
      </w:r>
    </w:p>
    <w:p>
      <w:pPr>
        <w:spacing w:after="0" w:line="53" w:lineRule="exact"/>
        <w:rPr>
          <w:rFonts w:ascii="Times New Roman" w:cs="Times New Roman" w:eastAsia="Times New Roman" w:hAnsi="Times New Roman"/>
          <w:sz w:val="18"/>
          <w:szCs w:val="18"/>
          <w:color w:val="auto"/>
        </w:rPr>
      </w:pPr>
    </w:p>
    <w:p>
      <w:pPr>
        <w:jc w:val="both"/>
        <w:ind w:left="440" w:firstLine="419"/>
        <w:spacing w:after="0" w:line="266" w:lineRule="auto"/>
        <w:tabs>
          <w:tab w:leader="none" w:pos="120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or duties of another Person to assume the obligations of the Company with respect to the Securities of such series (whether as joint obligor, primary obligor, secondary obligor or substitute obligor) and any rights or duties to discharge and release any obligor with respect to the Securities of such series or this Indenture to the extent related to such series; and</w:t>
      </w:r>
    </w:p>
    <w:p>
      <w:pPr>
        <w:spacing w:after="0" w:line="67"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20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conditions and rights of such series (which terms, conditions and rights shall not be inconsistent with the provisions of this Indenture, except as permitted by Section 901(a)(4)).</w:t>
      </w:r>
    </w:p>
    <w:p>
      <w:pPr>
        <w:spacing w:after="0" w:line="53" w:lineRule="exact"/>
        <w:rPr>
          <w:rFonts w:ascii="Times New Roman" w:cs="Times New Roman" w:eastAsia="Times New Roman" w:hAnsi="Times New Roman"/>
          <w:sz w:val="18"/>
          <w:szCs w:val="18"/>
          <w:color w:val="auto"/>
        </w:rPr>
      </w:pPr>
    </w:p>
    <w:p>
      <w:pPr>
        <w:ind w:right="40" w:firstLine="987"/>
        <w:spacing w:after="0" w:line="266" w:lineRule="auto"/>
        <w:tabs>
          <w:tab w:leader="none" w:pos="123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any one series (other than Securities offered in a Periodic Offering) shall be substantially identical except as to denomination and except as may otherwise be provided in or pursuant to such Board Resolution and set forth in such Officer’s Certificate or in any such indenture supplemental hereto and as reasonably acceptable to the Trustee. Securities of different series may differ in any respect.</w:t>
      </w:r>
    </w:p>
    <w:p>
      <w:pPr>
        <w:spacing w:after="0" w:line="67" w:lineRule="exact"/>
        <w:rPr>
          <w:rFonts w:ascii="Times New Roman" w:cs="Times New Roman" w:eastAsia="Times New Roman" w:hAnsi="Times New Roman"/>
          <w:sz w:val="18"/>
          <w:szCs w:val="18"/>
          <w:color w:val="auto"/>
        </w:rPr>
      </w:pPr>
    </w:p>
    <w:p>
      <w:pPr>
        <w:ind w:right="320" w:firstLine="987"/>
        <w:spacing w:after="0" w:line="274" w:lineRule="auto"/>
        <w:tabs>
          <w:tab w:leader="none" w:pos="1246"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terms and form or forms of any series of Securities are established by or pursuant to a Board Resolution, the Company shall deliver a copy of such Board Resolution to the Trustee at or prior to the issuance of such series with (1) the form or forms of Security that have been approved attached thereto, or (2) if such Board Resolution authorizes a specific officer or officers to approve the terms and form or forms of the Securities, a certificate of such officer or officers approving the terms and form or forms of Security with such form or forms of Securities attached thereto. Such Board Resolution or certificate may provide general terms or parameters for Securities of any series and may provide that the specific terms of particular Securities of a series may be determined in accordance with or pursuant to the Company Order referred to in Section 303.</w:t>
      </w:r>
    </w:p>
    <w:p>
      <w:pPr>
        <w:spacing w:after="0" w:line="64" w:lineRule="exact"/>
        <w:rPr>
          <w:rFonts w:ascii="Times New Roman" w:cs="Times New Roman" w:eastAsia="Times New Roman" w:hAnsi="Times New Roman"/>
          <w:sz w:val="17"/>
          <w:szCs w:val="17"/>
          <w:color w:val="auto"/>
        </w:rPr>
      </w:pPr>
    </w:p>
    <w:p>
      <w:pPr>
        <w:ind w:right="260" w:firstLine="987"/>
        <w:spacing w:after="0" w:line="258" w:lineRule="auto"/>
        <w:tabs>
          <w:tab w:leader="none" w:pos="123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Securities of a series subject to a Periodic Offering, the indenture supplemental hereto or the Board Resolution that establishes such series, or the Officer’s Certificate pursuant to such supplemental indenture or Board Resolution, as the case may be, may provide general terms or parameters for Securities of such series and provide either that the specific terms of Securities of such series shall be specified in a Company Order or that such terms shall be determined by the Company or its agents in accordance with procedures specified in a Company Order as contemplated by Section 303(c).</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51" w:name="page52"/>
    <w:bookmarkEnd w:id="51"/>
    <w:p>
      <w:pPr>
        <w:jc w:val="both"/>
        <w:ind w:right="200" w:firstLine="987"/>
        <w:spacing w:after="0" w:line="266" w:lineRule="auto"/>
        <w:tabs>
          <w:tab w:leader="none" w:pos="121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Unless otherwise specified with respect to a series of Securities pursuant to paragraph (2) of Section 301(b), such series of Securities may be issued in one or more Tranches with various principal amounts without the consent of any Holders and additional Tranches of such series may be authenticated and delivered pursuant to Section 303.</w:t>
      </w:r>
    </w:p>
    <w:p>
      <w:pPr>
        <w:spacing w:after="0" w:line="174" w:lineRule="exact"/>
        <w:rPr>
          <w:sz w:val="20"/>
          <w:szCs w:val="20"/>
          <w:color w:val="auto"/>
        </w:rPr>
      </w:pPr>
    </w:p>
    <w:p>
      <w:pPr>
        <w:ind w:right="320" w:firstLine="991"/>
        <w:spacing w:after="0" w:line="267"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Denominations</w:t>
      </w:r>
      <w:r>
        <w:rPr>
          <w:rFonts w:ascii="Times New Roman" w:cs="Times New Roman" w:eastAsia="Times New Roman" w:hAnsi="Times New Roman"/>
          <w:sz w:val="18"/>
          <w:szCs w:val="18"/>
          <w:color w:val="auto"/>
        </w:rPr>
        <w:t>. The Securities of each series shall be issuable in registered form in such denominations as shall be specified as contemplated by Section 301(b). In the absence of any such provisions with respect to the Securities of any series, the Securities of such series shall be issuable in denominations of $1,000 and any integral multiple thereof.</w:t>
      </w:r>
    </w:p>
    <w:p>
      <w:pPr>
        <w:spacing w:after="0" w:line="173" w:lineRule="exact"/>
        <w:rPr>
          <w:sz w:val="20"/>
          <w:szCs w:val="20"/>
          <w:color w:val="auto"/>
        </w:rPr>
      </w:pPr>
    </w:p>
    <w:p>
      <w:pPr>
        <w:ind w:right="2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Execution, Authentication, Delivery and Dating</w:t>
      </w:r>
      <w:r>
        <w:rPr>
          <w:rFonts w:ascii="Times New Roman" w:cs="Times New Roman" w:eastAsia="Times New Roman" w:hAnsi="Times New Roman"/>
          <w:sz w:val="18"/>
          <w:szCs w:val="18"/>
          <w:color w:val="auto"/>
        </w:rPr>
        <w:t>. (a) The Securities shall be signed on behalf of the Company by an Authorized Officer and attested by its Secretary or any Assistant Secretary. The signature of any of these officers on the Securities may be manual or facsimile. Typographical and other minor errors or defects in any such signature shall not affect the validity or enforceability of any Security that has been duly authenticated and delivered by the Trustee.</w:t>
      </w:r>
    </w:p>
    <w:p>
      <w:pPr>
        <w:spacing w:after="0" w:line="74" w:lineRule="exact"/>
        <w:rPr>
          <w:sz w:val="20"/>
          <w:szCs w:val="20"/>
          <w:color w:val="auto"/>
        </w:rPr>
      </w:pPr>
    </w:p>
    <w:p>
      <w:pPr>
        <w:ind w:firstLine="987"/>
        <w:spacing w:after="0" w:line="266" w:lineRule="auto"/>
        <w:tabs>
          <w:tab w:leader="none" w:pos="124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67" w:lineRule="exact"/>
        <w:rPr>
          <w:rFonts w:ascii="Times New Roman" w:cs="Times New Roman" w:eastAsia="Times New Roman" w:hAnsi="Times New Roman"/>
          <w:sz w:val="18"/>
          <w:szCs w:val="18"/>
          <w:color w:val="auto"/>
        </w:rPr>
      </w:pPr>
    </w:p>
    <w:p>
      <w:pPr>
        <w:ind w:right="80" w:firstLine="987"/>
        <w:spacing w:after="0" w:line="253" w:lineRule="auto"/>
        <w:tabs>
          <w:tab w:leader="none" w:pos="123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and from time to time after the execution and delivery of this Indenture, the Company may deliver Securities of any series (or any Tranche thereof) executed by the Company to the Trustee for authentication, together with a Company Order for the authentication and delivery of such Securities (or such Tranche), and the Trustee in accordance with the Company Order shall authenticate and deliver such Securities (or such Tranche);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with respect to Securities of a series subject to a Periodic Offering, (i) such Company Order may be delivered by the Company to the Trustee prior to the delivery to the Trustee of such Securities for authentication and delivery, (ii) the Trustee shall authenticate and deliver Securities of such series for original issue from time to time, in an aggregate principal amount not exceeding the aggregate principal amount established for such series, all pursuant to a Company Order or pursuant to such procedures acceptable to the Trustee as may be specified from time to time by a Company Order, (iii) the maturity date or dates, original issue date or dates, interest rate or rates and any other terms of Securities of such series shall be determined by Company Order or pursuant to such procedures and (iv) if provided for in such procedures, such Company Order may authorize authentication and delivery pursuant to oral or electronic instructions from the Company or its duly authorized agent or agents, which oral instructions shall be promptly confirmed in writing.</w:t>
      </w:r>
    </w:p>
    <w:p>
      <w:pPr>
        <w:spacing w:after="0" w:line="83" w:lineRule="exact"/>
        <w:rPr>
          <w:rFonts w:ascii="Times New Roman" w:cs="Times New Roman" w:eastAsia="Times New Roman" w:hAnsi="Times New Roman"/>
          <w:sz w:val="18"/>
          <w:szCs w:val="18"/>
          <w:color w:val="auto"/>
        </w:rPr>
      </w:pPr>
    </w:p>
    <w:p>
      <w:pPr>
        <w:ind w:right="320" w:firstLine="987"/>
        <w:spacing w:after="0" w:line="282" w:lineRule="auto"/>
        <w:tabs>
          <w:tab w:leader="none" w:pos="124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authenticating such Securities and accepting the additional responsibilities under this Indenture in relation to such Securities, the Trustee shall be entitled to receive, and (subject to Section 601) shall be fully protected in relying upon, an Opinion of Counsel stating:</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form of Securities has been established in conformity with the provisions of this Indenture;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terms of such Securities have been established in conformity with the provisions of this Indenture; and</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61" w:lineRule="auto"/>
        <w:tabs>
          <w:tab w:leader="none" w:pos="117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generally and to general principles of equity.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52" w:name="page53"/>
    <w:bookmarkEnd w:id="52"/>
    <w:p>
      <w:pPr>
        <w:ind w:right="60" w:firstLine="987"/>
        <w:spacing w:after="0" w:line="258" w:lineRule="auto"/>
        <w:tabs>
          <w:tab w:leader="none" w:pos="12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provisions of Section 301 and of the preceding paragraphs of Sections 303(c) and 303(d) in connection with a Periodic Offering, if all Securities of a series are not to be originally issued at one time, it shall not be necessary to deliver an Officer’s Certificate or execute a supplemental indenture otherwise required pursuant to Section 301(b) or the Company Order and Opinion of Counsel otherwise required pursuant to such preceding paragraphs at or prior to the time of authentication of each Security of such series if such documents are delivered at or prior to the authentication upon original issuance of the first Security of such series to be issued.</w:t>
      </w:r>
    </w:p>
    <w:p>
      <w:pPr>
        <w:spacing w:after="0" w:line="75" w:lineRule="exact"/>
        <w:rPr>
          <w:rFonts w:ascii="Times New Roman" w:cs="Times New Roman" w:eastAsia="Times New Roman" w:hAnsi="Times New Roman"/>
          <w:sz w:val="18"/>
          <w:szCs w:val="18"/>
          <w:color w:val="auto"/>
        </w:rPr>
      </w:pPr>
    </w:p>
    <w:p>
      <w:pPr>
        <w:jc w:val="both"/>
        <w:ind w:right="160" w:firstLine="987"/>
        <w:spacing w:after="0" w:line="266" w:lineRule="auto"/>
        <w:tabs>
          <w:tab w:leader="none" w:pos="121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form or terms have been so established, the Trustee shall not be required to authenticate such Securities if the issuance of such Securities pursuant to this Indenture will affect the Trustee’s own rights, duties or immunities under the Securities and this Indenture or otherwise in a manner that is not reasonably acceptable to the Trustee.</w:t>
      </w:r>
    </w:p>
    <w:p>
      <w:pPr>
        <w:spacing w:after="0" w:line="67" w:lineRule="exact"/>
        <w:rPr>
          <w:rFonts w:ascii="Times New Roman" w:cs="Times New Roman" w:eastAsia="Times New Roman" w:hAnsi="Times New Roman"/>
          <w:sz w:val="18"/>
          <w:szCs w:val="18"/>
          <w:color w:val="auto"/>
        </w:rPr>
      </w:pPr>
    </w:p>
    <w:p>
      <w:pPr>
        <w:jc w:val="both"/>
        <w:ind w:right="120" w:firstLine="987"/>
        <w:spacing w:after="0" w:line="261" w:lineRule="auto"/>
        <w:tabs>
          <w:tab w:leader="none" w:pos="12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or facsimile signature, and such certificate upon any Security shall be conclusive evidence, and the only evidence, that such Security has been duly authenticated and delivered hereunder and is entitled to the benefits of this Indenture.</w:t>
      </w:r>
    </w:p>
    <w:p>
      <w:pPr>
        <w:spacing w:after="0" w:line="178" w:lineRule="exact"/>
        <w:rPr>
          <w:sz w:val="20"/>
          <w:szCs w:val="20"/>
          <w:color w:val="auto"/>
        </w:rPr>
      </w:pPr>
    </w:p>
    <w:p>
      <w:pPr>
        <w:ind w:right="40" w:firstLine="991"/>
        <w:spacing w:after="0" w:line="281" w:lineRule="auto"/>
        <w:rPr>
          <w:sz w:val="20"/>
          <w:szCs w:val="20"/>
          <w:color w:val="auto"/>
        </w:rPr>
      </w:pPr>
      <w:r>
        <w:rPr>
          <w:rFonts w:ascii="Times New Roman" w:cs="Times New Roman" w:eastAsia="Times New Roman" w:hAnsi="Times New Roman"/>
          <w:sz w:val="17"/>
          <w:szCs w:val="17"/>
          <w:color w:val="auto"/>
        </w:rPr>
        <w:t xml:space="preserve">SECTION 304. </w:t>
      </w:r>
      <w:r>
        <w:rPr>
          <w:rFonts w:ascii="Times New Roman" w:cs="Times New Roman" w:eastAsia="Times New Roman" w:hAnsi="Times New Roman"/>
          <w:sz w:val="17"/>
          <w:szCs w:val="17"/>
          <w:i w:val="1"/>
          <w:iCs w:val="1"/>
          <w:color w:val="auto"/>
        </w:rPr>
        <w:t>Temporary Securities</w:t>
      </w:r>
      <w:r>
        <w:rPr>
          <w:rFonts w:ascii="Times New Roman" w:cs="Times New Roman" w:eastAsia="Times New Roman" w:hAnsi="Times New Roman"/>
          <w:sz w:val="17"/>
          <w:szCs w:val="17"/>
          <w:color w:val="auto"/>
        </w:rPr>
        <w:t>. (a) Until definitive Securities of any series (including Global Securities) are ready for delivery, the Company may execute, and upon Company Order the Trustee shall authenticate and deliver one or more temporary Securities that are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58"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color w:val="auto"/>
        </w:rPr>
        <w:t>(b)If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a like principal amount of definitive Securities of the same series of authorized denominations. Until so exchanged the temporary Securities of any series shall in all respects be entitled to the same benefits under this Indenture as definitive Securities of such series.</w:t>
      </w:r>
    </w:p>
    <w:p>
      <w:pPr>
        <w:spacing w:after="0" w:line="18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Registration, Registration of Transfer and Exchange</w:t>
      </w:r>
      <w:r>
        <w:rPr>
          <w:rFonts w:ascii="Times New Roman" w:cs="Times New Roman" w:eastAsia="Times New Roman" w:hAnsi="Times New Roman"/>
          <w:sz w:val="18"/>
          <w:szCs w:val="18"/>
          <w:color w:val="auto"/>
        </w:rPr>
        <w:t>. (a) The Company shall cause to be kept at the Corporate Trust Office of the Trustee a register (the register maintained in such office and in any other office or agency of the Company in a Place of Payment being herein sometimes collectively referred to as the “</w:t>
      </w:r>
      <w:r>
        <w:rPr>
          <w:rFonts w:ascii="Times New Roman" w:cs="Times New Roman" w:eastAsia="Times New Roman" w:hAnsi="Times New Roman"/>
          <w:sz w:val="18"/>
          <w:szCs w:val="18"/>
          <w:b w:val="1"/>
          <w:bCs w:val="1"/>
          <w:i w:val="1"/>
          <w:iCs w:val="1"/>
          <w:color w:val="auto"/>
        </w:rPr>
        <w:t>Security Register</w:t>
      </w:r>
      <w:r>
        <w:rPr>
          <w:rFonts w:ascii="Times New Roman" w:cs="Times New Roman" w:eastAsia="Times New Roman" w:hAnsi="Times New Roman"/>
          <w:sz w:val="18"/>
          <w:szCs w:val="18"/>
          <w:color w:val="auto"/>
        </w:rPr>
        <w:t>”) in which, subject to such reasonable regulations as it may prescribe, the Company shall provide for the registration of Securities and of transfers of Securities. The Trustee is hereby appointed “</w:t>
      </w:r>
      <w:r>
        <w:rPr>
          <w:rFonts w:ascii="Times New Roman" w:cs="Times New Roman" w:eastAsia="Times New Roman" w:hAnsi="Times New Roman"/>
          <w:sz w:val="18"/>
          <w:szCs w:val="18"/>
          <w:b w:val="1"/>
          <w:bCs w:val="1"/>
          <w:i w:val="1"/>
          <w:iCs w:val="1"/>
          <w:color w:val="auto"/>
        </w:rPr>
        <w:t>Security Registrar</w:t>
      </w:r>
      <w:r>
        <w:rPr>
          <w:rFonts w:ascii="Times New Roman" w:cs="Times New Roman" w:eastAsia="Times New Roman" w:hAnsi="Times New Roman"/>
          <w:sz w:val="18"/>
          <w:szCs w:val="18"/>
          <w:color w:val="auto"/>
        </w:rPr>
        <w:t>” for the purpose of registering Securities and transfers of Securities as herein provided.</w:t>
      </w:r>
    </w:p>
    <w:p>
      <w:pPr>
        <w:spacing w:after="0" w:line="77" w:lineRule="exact"/>
        <w:rPr>
          <w:sz w:val="20"/>
          <w:szCs w:val="20"/>
          <w:color w:val="auto"/>
        </w:rPr>
      </w:pPr>
    </w:p>
    <w:p>
      <w:pPr>
        <w:jc w:val="both"/>
        <w:ind w:right="80" w:firstLine="987"/>
        <w:spacing w:after="0" w:line="261" w:lineRule="auto"/>
        <w:tabs>
          <w:tab w:leader="none" w:pos="12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Securities issued in the form of a Global Security, upon surrender for registration of transfer of any Security of any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a like aggregate principal amount.</w:t>
      </w:r>
    </w:p>
    <w:p>
      <w:pPr>
        <w:spacing w:after="0" w:line="71" w:lineRule="exact"/>
        <w:rPr>
          <w:rFonts w:ascii="Times New Roman" w:cs="Times New Roman" w:eastAsia="Times New Roman" w:hAnsi="Times New Roman"/>
          <w:sz w:val="18"/>
          <w:szCs w:val="18"/>
          <w:color w:val="auto"/>
        </w:rPr>
      </w:pPr>
    </w:p>
    <w:p>
      <w:pPr>
        <w:ind w:right="500" w:firstLine="987"/>
        <w:spacing w:after="0" w:line="266" w:lineRule="auto"/>
        <w:tabs>
          <w:tab w:leader="none" w:pos="123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67"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such Holder’s attorney duly authorized in writing.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53" w:name="page54"/>
    <w:bookmarkEnd w:id="53"/>
    <w:p>
      <w:pPr>
        <w:ind w:firstLine="987"/>
        <w:spacing w:after="0" w:line="281" w:lineRule="auto"/>
        <w:tabs>
          <w:tab w:leader="none" w:pos="123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Unless otherwise provided in a Board Resolution or an Officer’s Certificate pursuant to a Board Resolution, or in an indenture supplemental hereto, with respect to Securities of any series, no service charge shall be made to the Holder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1106 or 1204 not involving any transfer.</w:t>
      </w:r>
    </w:p>
    <w:p>
      <w:pPr>
        <w:spacing w:after="0" w:line="56" w:lineRule="exact"/>
        <w:rPr>
          <w:rFonts w:ascii="Times New Roman" w:cs="Times New Roman" w:eastAsia="Times New Roman" w:hAnsi="Times New Roman"/>
          <w:sz w:val="17"/>
          <w:szCs w:val="17"/>
          <w:color w:val="auto"/>
        </w:rPr>
      </w:pPr>
    </w:p>
    <w:p>
      <w:pPr>
        <w:ind w:right="40" w:firstLine="987"/>
        <w:spacing w:after="0" w:line="261" w:lineRule="auto"/>
        <w:tabs>
          <w:tab w:leader="none" w:pos="121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(i) to issue, register the transfer of or exchange Securities of any series during a period beginning at the opening of business 15 days before the day of the mailing of a notice of redemption of Securities of that series selected for redemption under Section 1103 and ending at the close of business on the day of such mailing, or (ii) to register the transfer of or exchange any Security so selected for redemption in whole or in part, except the unredeemed portion of any Security being redeemed in part.</w:t>
      </w:r>
    </w:p>
    <w:p>
      <w:pPr>
        <w:spacing w:after="0" w:line="178" w:lineRule="exact"/>
        <w:rPr>
          <w:sz w:val="20"/>
          <w:szCs w:val="20"/>
          <w:color w:val="auto"/>
        </w:rPr>
      </w:pPr>
    </w:p>
    <w:p>
      <w:pPr>
        <w:jc w:val="both"/>
        <w:ind w:firstLine="991"/>
        <w:spacing w:after="0" w:line="267"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Mutilated, Destroyed, Lost and Stolen Securities</w:t>
      </w:r>
      <w:r>
        <w:rPr>
          <w:rFonts w:ascii="Times New Roman" w:cs="Times New Roman" w:eastAsia="Times New Roman" w:hAnsi="Times New Roman"/>
          <w:sz w:val="18"/>
          <w:szCs w:val="18"/>
          <w:color w:val="auto"/>
        </w:rPr>
        <w:t>. (a) If any mutilated Security is surrendered to the Trustee, the Company shall execute and the Trustee shall authenticate and deliver in exchange therefor a replacement Security of the same series and of like tenor and principal amount and bearing a number not contemporaneously outstanding.</w:t>
      </w:r>
    </w:p>
    <w:p>
      <w:pPr>
        <w:spacing w:after="0" w:line="67" w:lineRule="exact"/>
        <w:rPr>
          <w:sz w:val="20"/>
          <w:szCs w:val="20"/>
          <w:color w:val="auto"/>
        </w:rPr>
      </w:pPr>
    </w:p>
    <w:p>
      <w:pPr>
        <w:ind w:firstLine="987"/>
        <w:spacing w:after="0" w:line="258" w:lineRule="auto"/>
        <w:tabs>
          <w:tab w:leader="none" w:pos="12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has been delivered to the Company and the Trustee (i) evidence to their satisfaction of the destruction, loss or theft of any Security and (ii) such bond, security or indemnity as may be required by them to save each of them and any agent of either of them harmless, then, in the absence of actual notice to the Company or the Trustee that such Security has been acquired by a bona fide purchaser, the Company shall execute and upon its request the Trustee shall authenticate and deliver, a replacement Security of the same series (and Tranche, if applicable) and of like tenor and principal amount and bearing a number not contemporaneously outstanding.</w:t>
      </w:r>
    </w:p>
    <w:p>
      <w:pPr>
        <w:spacing w:after="0" w:line="75" w:lineRule="exact"/>
        <w:rPr>
          <w:rFonts w:ascii="Times New Roman" w:cs="Times New Roman" w:eastAsia="Times New Roman" w:hAnsi="Times New Roman"/>
          <w:sz w:val="18"/>
          <w:szCs w:val="18"/>
          <w:color w:val="auto"/>
        </w:rPr>
      </w:pPr>
    </w:p>
    <w:p>
      <w:pPr>
        <w:ind w:right="260" w:firstLine="987"/>
        <w:spacing w:after="0" w:line="282" w:lineRule="auto"/>
        <w:tabs>
          <w:tab w:leader="none" w:pos="12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53"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67" w:lineRule="exact"/>
        <w:rPr>
          <w:rFonts w:ascii="Times New Roman" w:cs="Times New Roman" w:eastAsia="Times New Roman" w:hAnsi="Times New Roman"/>
          <w:sz w:val="18"/>
          <w:szCs w:val="18"/>
          <w:color w:val="auto"/>
        </w:rPr>
      </w:pPr>
    </w:p>
    <w:p>
      <w:pPr>
        <w:ind w:right="20" w:firstLine="987"/>
        <w:spacing w:after="0" w:line="289" w:lineRule="auto"/>
        <w:tabs>
          <w:tab w:leader="none" w:pos="123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new Security of any series issued pursuant to this Section in lieu of any destroyed, lost or stolen Security shall constitute an original additional contractual obligation of the Company, whether or not the destroyed, lost or stolen Security is at any time enforceable by anyone, and shall be entitled to all the benefits of this Indenture equally and proportionately with any and all other Securities of that series duly issued hereunder.</w:t>
      </w:r>
    </w:p>
    <w:p>
      <w:pPr>
        <w:spacing w:after="0" w:line="49" w:lineRule="exact"/>
        <w:rPr>
          <w:rFonts w:ascii="Times New Roman" w:cs="Times New Roman" w:eastAsia="Times New Roman" w:hAnsi="Times New Roman"/>
          <w:sz w:val="17"/>
          <w:szCs w:val="17"/>
          <w:color w:val="auto"/>
        </w:rPr>
      </w:pPr>
    </w:p>
    <w:p>
      <w:pPr>
        <w:ind w:right="260" w:firstLine="987"/>
        <w:spacing w:after="0" w:line="282" w:lineRule="auto"/>
        <w:tabs>
          <w:tab w:leader="none" w:pos="121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60"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i w:val="1"/>
          <w:iCs w:val="1"/>
          <w:color w:val="auto"/>
        </w:rPr>
        <w:t>Payment of Interest; Interest Rights Preserved</w:t>
      </w:r>
      <w:r>
        <w:rPr>
          <w:rFonts w:ascii="Times New Roman" w:cs="Times New Roman" w:eastAsia="Times New Roman" w:hAnsi="Times New Roman"/>
          <w:sz w:val="18"/>
          <w:szCs w:val="18"/>
          <w:color w:val="auto"/>
        </w:rPr>
        <w:t xml:space="preserve">. (a) Unless otherwise provided as contemplated by Section 301(b) with respect to the Securities of any series, interest on any Security that is payable, and is punctually paid or duly provided for, on any Interest Payment Date shall be paid to the Person in whose name that Security (or one or more Predecessor Securities) is registered at the close of business on the Regular Record Date for such interest;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interest payable at Maturity will be paid to the Person to whom principal is payable.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54" w:name="page55"/>
    <w:bookmarkEnd w:id="54"/>
    <w:p>
      <w:pPr>
        <w:jc w:val="both"/>
        <w:ind w:right="40" w:firstLine="987"/>
        <w:spacing w:after="0" w:line="266" w:lineRule="auto"/>
        <w:tabs>
          <w:tab w:leader="none" w:pos="124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interest on any Security of any series that is payable, but is not punctually paid or duly provided for, on any Interest Payment Date (herein called “</w:t>
      </w:r>
      <w:r>
        <w:rPr>
          <w:rFonts w:ascii="Times New Roman" w:cs="Times New Roman" w:eastAsia="Times New Roman" w:hAnsi="Times New Roman"/>
          <w:sz w:val="18"/>
          <w:szCs w:val="18"/>
          <w:b w:val="1"/>
          <w:bCs w:val="1"/>
          <w:i w:val="1"/>
          <w:iCs w:val="1"/>
          <w:color w:val="auto"/>
        </w:rPr>
        <w:t>Defaulted Interest</w:t>
      </w:r>
      <w:r>
        <w:rPr>
          <w:rFonts w:ascii="Times New Roman" w:cs="Times New Roman" w:eastAsia="Times New Roman" w:hAnsi="Times New Roman"/>
          <w:sz w:val="18"/>
          <w:szCs w:val="18"/>
          <w:color w:val="auto"/>
        </w:rPr>
        <w:t>”) shall forthwith cease to be payable to the Holder on the relevant Regular Record Date by virtue of having been such Holder, and such Defaulted Interest may be paid by the Company, at its election in each case, as provided in clause (i) or (ii) below:</w:t>
      </w:r>
    </w:p>
    <w:p>
      <w:pPr>
        <w:spacing w:after="0" w:line="67" w:lineRule="exact"/>
        <w:rPr>
          <w:rFonts w:ascii="Times New Roman" w:cs="Times New Roman" w:eastAsia="Times New Roman" w:hAnsi="Times New Roman"/>
          <w:sz w:val="18"/>
          <w:szCs w:val="18"/>
          <w:color w:val="auto"/>
        </w:rPr>
      </w:pPr>
    </w:p>
    <w:p>
      <w:pPr>
        <w:ind w:left="440" w:right="80" w:firstLine="419"/>
        <w:spacing w:after="0" w:line="252" w:lineRule="auto"/>
        <w:tabs>
          <w:tab w:leader="none" w:pos="107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Company shall promptly notify the Trustee of such Special Record Date and, in the name and at the expense of the Company, shall cause notice of the proposed payment of such Defaulted Interest and the Special Record Date therefor to be mailed, first-class postage prepaid, to each Holder of Securities of such series at the address of such Holder as it appears in the Security Register,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(ii).</w:t>
      </w:r>
    </w:p>
    <w:p>
      <w:pPr>
        <w:spacing w:after="0" w:line="87"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12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(ii), such manner of payment shall be deemed practicable by the Trustee.</w:t>
      </w:r>
    </w:p>
    <w:p>
      <w:pPr>
        <w:spacing w:after="0" w:line="71" w:lineRule="exact"/>
        <w:rPr>
          <w:rFonts w:ascii="Times New Roman" w:cs="Times New Roman" w:eastAsia="Times New Roman" w:hAnsi="Times New Roman"/>
          <w:sz w:val="18"/>
          <w:szCs w:val="18"/>
          <w:color w:val="auto"/>
        </w:rPr>
      </w:pPr>
    </w:p>
    <w:p>
      <w:pPr>
        <w:ind w:right="260" w:firstLine="987"/>
        <w:spacing w:after="0" w:line="266" w:lineRule="auto"/>
        <w:tabs>
          <w:tab w:leader="none" w:pos="123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74"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i w:val="1"/>
          <w:iCs w:val="1"/>
          <w:color w:val="auto"/>
        </w:rPr>
        <w:t>Persons Deemed Owners</w:t>
      </w:r>
      <w:r>
        <w:rPr>
          <w:rFonts w:ascii="Times New Roman" w:cs="Times New Roman" w:eastAsia="Times New Roman" w:hAnsi="Times New Roman"/>
          <w:sz w:val="18"/>
          <w:szCs w:val="18"/>
          <w:color w:val="auto"/>
        </w:rPr>
        <w:t>. 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any premium) and (subject to Section 301 and Section 307) any interest on such Security and for all other purposes whatsoever, whether or not such Security be overdue, and neither the Company, the Trustee nor any agent of the Company or the Trustee shall be affected by notice to the contrary.</w:t>
      </w:r>
    </w:p>
    <w:p>
      <w:pPr>
        <w:spacing w:after="0" w:line="185"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Ownership of Securities of a series shall be proved by the computerized book-entry system of the Depositary in the case of Securities issued in the form of a Global Security.</w:t>
      </w:r>
    </w:p>
    <w:p>
      <w:pPr>
        <w:spacing w:after="0" w:line="162"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None of the Company, the Trustee, any Paying Agent or the Security Registrar shall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74" w:lineRule="exact"/>
        <w:rPr>
          <w:sz w:val="20"/>
          <w:szCs w:val="20"/>
          <w:color w:val="auto"/>
        </w:rPr>
      </w:pPr>
    </w:p>
    <w:p>
      <w:pPr>
        <w:ind w:right="1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i w:val="1"/>
          <w:iCs w:val="1"/>
          <w:color w:val="auto"/>
        </w:rPr>
        <w:t>Cancellation</w:t>
      </w:r>
      <w:r>
        <w:rPr>
          <w:rFonts w:ascii="Times New Roman" w:cs="Times New Roman" w:eastAsia="Times New Roman" w:hAnsi="Times New Roman"/>
          <w:sz w:val="18"/>
          <w:szCs w:val="18"/>
          <w:color w:val="auto"/>
        </w:rPr>
        <w:t>. Except as otherwise specified as contemplated by Section 301(b) for Securities of any series, all Securities surrendered for payment, redemption, registration of transfer or exchange or for credit against any sinking fund payment shall, if surrendered to any Person other than the Trustee, be delivered to the Trustee and, if not theretofore cancelled, shall be promptly cancelled by it. Except as otherwise specified as contemplated by Section 301(b) for Securities of any series, the Company may at any time deliver to the Trustee for cancellation any Securities previously authenticated and delivered hereunder that the Company may have acquired in any manner whatsoever or that the Company has not issued and sold, and all Securities so delivered shall be promptly cancelled by the Trustee. No Securities shall be authenticated in lieu of or in exchange for any Securities cancelled as provided in this Section, except as expressly permitted by this Indenture. Upon request of the Company, the Trustee shall provide it with a certificate of cancellation.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55" w:name="page56"/>
    <w:bookmarkEnd w:id="55"/>
    <w:p>
      <w:pPr>
        <w:ind w:right="360" w:firstLine="991"/>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310. </w:t>
      </w:r>
      <w:r>
        <w:rPr>
          <w:rFonts w:ascii="Times New Roman" w:cs="Times New Roman" w:eastAsia="Times New Roman" w:hAnsi="Times New Roman"/>
          <w:sz w:val="18"/>
          <w:szCs w:val="18"/>
          <w:i w:val="1"/>
          <w:iCs w:val="1"/>
          <w:color w:val="auto"/>
        </w:rPr>
        <w:t>Computation of Interest</w:t>
      </w:r>
      <w:r>
        <w:rPr>
          <w:rFonts w:ascii="Times New Roman" w:cs="Times New Roman" w:eastAsia="Times New Roman" w:hAnsi="Times New Roman"/>
          <w:sz w:val="18"/>
          <w:szCs w:val="18"/>
          <w:color w:val="auto"/>
        </w:rPr>
        <w:t>. Except as otherwise specified as contemplated by Section 301(b) for Securities of any series, interest on the Securities of each series shall be computed on the basis of a 360-day year of twelve 30-day months.</w:t>
      </w:r>
    </w:p>
    <w:p>
      <w:pPr>
        <w:spacing w:after="0" w:line="158"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i w:val="1"/>
          <w:iCs w:val="1"/>
          <w:color w:val="auto"/>
        </w:rPr>
        <w:t>Global Securities; Exchanges; Registration and Registration of Transfer</w:t>
      </w:r>
      <w:r>
        <w:rPr>
          <w:rFonts w:ascii="Times New Roman" w:cs="Times New Roman" w:eastAsia="Times New Roman" w:hAnsi="Times New Roman"/>
          <w:sz w:val="18"/>
          <w:szCs w:val="18"/>
          <w:color w:val="auto"/>
        </w:rPr>
        <w:t>. If specified as contemplated by Section 301(b) for Securities of any series, the Securities of such series may be issued in the form of one or more Global Securities, which shall be deposited with the Depositary, and, unless otherwise specified in the form of Global Security adopted pursuant to Section 301, be registered in the name of the Depository’s nominee.</w:t>
      </w:r>
    </w:p>
    <w:p>
      <w:pPr>
        <w:spacing w:after="0" w:line="182" w:lineRule="exact"/>
        <w:rPr>
          <w:sz w:val="20"/>
          <w:szCs w:val="20"/>
          <w:color w:val="auto"/>
        </w:rPr>
      </w:pPr>
    </w:p>
    <w:p>
      <w:pPr>
        <w:ind w:right="20" w:firstLine="991"/>
        <w:spacing w:after="0" w:line="269" w:lineRule="auto"/>
        <w:rPr>
          <w:sz w:val="20"/>
          <w:szCs w:val="20"/>
          <w:color w:val="auto"/>
        </w:rPr>
      </w:pPr>
      <w:r>
        <w:rPr>
          <w:rFonts w:ascii="Times New Roman" w:cs="Times New Roman" w:eastAsia="Times New Roman" w:hAnsi="Times New Roman"/>
          <w:sz w:val="17"/>
          <w:szCs w:val="17"/>
          <w:color w:val="auto"/>
        </w:rPr>
        <w:t xml:space="preserve">Except as otherwise specified as contemplated by Section 301(b) for Securities of any series, any permanent Global Security shall be exchangeable only as provided in this paragraph. If the beneficial owners of interests in a permanent Global Security are entitled to exchange such interests for Securities of such series of like tenor and principal amount of another authorized form, as specified as contemplated by Section 301(b), then without unnecessary delay but in any event not later than the earliest date on which such interests may be so exchanged, the Company shall deliver to the Trustee definitive Securities of that series in aggregate principal amount equal to the principal amount of such permanent Global Security, executed by the Company. On or after the earliest date on which such interests may be so exchanged, such permanent Global Security shall be surrendered from time to time in accordance with instructions given to the Trustee and the Depositary (which instructions shall be in writing but need not comply with Section 102 or be accompanied by an Opinion of Counsel) by the Depositary or such other depositary as shall be specified in the Company Order with respect thereto to the Trustee, as the Company’s agent for such purpose, to be exchanged, in whole or in part, for definitive Securities of the same series without charge and the Trustee shall authenticate and deliver, in exchange for each portion of such permanent Global Security, a like aggregate principal amount of definitive Securities of the same series of authorized denominations and of like tenor as the portion of such permanent Global Security to be exchanged, as shall be specified by the Depositary;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 such exchanges may occur during the periods specified by Section 305.</w:t>
      </w:r>
    </w:p>
    <w:p>
      <w:pPr>
        <w:spacing w:after="0" w:line="179"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The Global Security may be transferred to another nominee of the Depositary, or to a successor Depositary selected by the Company, and upon surrender for registration of transfer of the Global Security to the Trustee, the Company shall execute, and the Trustee shall authenticate and deliver, in the name of the designated transferee, a new Global Security in the same aggregate principal amount. If at any time the Depositary notifies the Company that it is unwilling or unable to continue as Depositary and a successor Depositary satisfactory to the Company is not appointed within 90 days after the Company receives such notice, the Company will execute, and the Trustee will authenticate and deliver, Securities in definitive form to the Depositary in exchange for the Global Security. In addition, if at any time the Company determines that it is not in the best interest of the Company or the beneficial owners of Securities to continue to have a Global Security representing all of the Securities held by a Depositary, the Company may, at its option, execute, and the Trustee will authenticate and deliver, Securities in definitive form to the Depositary in exchange for all or a portion of the Global Security.</w:t>
      </w:r>
    </w:p>
    <w:p>
      <w:pPr>
        <w:spacing w:after="0" w:line="186" w:lineRule="exact"/>
        <w:rPr>
          <w:sz w:val="20"/>
          <w:szCs w:val="20"/>
          <w:color w:val="auto"/>
        </w:rPr>
      </w:pPr>
    </w:p>
    <w:p>
      <w:pPr>
        <w:ind w:right="40" w:firstLine="991"/>
        <w:spacing w:after="0" w:line="281" w:lineRule="auto"/>
        <w:rPr>
          <w:sz w:val="20"/>
          <w:szCs w:val="20"/>
          <w:color w:val="auto"/>
        </w:rPr>
      </w:pPr>
      <w:r>
        <w:rPr>
          <w:rFonts w:ascii="Times New Roman" w:cs="Times New Roman" w:eastAsia="Times New Roman" w:hAnsi="Times New Roman"/>
          <w:sz w:val="17"/>
          <w:szCs w:val="17"/>
          <w:color w:val="auto"/>
        </w:rPr>
        <w:t xml:space="preserve">SECTION 312. </w:t>
      </w:r>
      <w:r>
        <w:rPr>
          <w:rFonts w:ascii="Times New Roman" w:cs="Times New Roman" w:eastAsia="Times New Roman" w:hAnsi="Times New Roman"/>
          <w:sz w:val="17"/>
          <w:szCs w:val="17"/>
          <w:i w:val="1"/>
          <w:iCs w:val="1"/>
          <w:color w:val="auto"/>
        </w:rPr>
        <w:t>Extension of Interest Payment</w:t>
      </w:r>
      <w:r>
        <w:rPr>
          <w:rFonts w:ascii="Times New Roman" w:cs="Times New Roman" w:eastAsia="Times New Roman" w:hAnsi="Times New Roman"/>
          <w:sz w:val="17"/>
          <w:szCs w:val="17"/>
          <w:color w:val="auto"/>
        </w:rPr>
        <w:t>. The Company shall have the right at any time, so long as the Company is not in default in the payment of interest on the Securities of any series hereunder, to extend interest payment periods on all Securities of one or more series, if so specified as contemplated by Section 301(b) with respect to such Securities and upon such terms as may be specified as contemplated by Section 301(b) with respect to such Securities. If the Company ever so extends any such interest payment period, the Company shall promptly notify the Trustee.</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8" w:right="45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FOUR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227"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Termination of Company’s Obligations</w:t>
      </w:r>
      <w:r>
        <w:rPr>
          <w:rFonts w:ascii="Times New Roman" w:cs="Times New Roman" w:eastAsia="Times New Roman" w:hAnsi="Times New Roman"/>
          <w:sz w:val="18"/>
          <w:szCs w:val="18"/>
          <w:color w:val="auto"/>
        </w:rPr>
        <w:t>. (a) This Indenture shall upon Company Request cease to be of further effect with respect to the Securities of any series (except as to any surviving rights of registration of transfer or exchange of Securities herein expressly provided for), and the Trustee, at the expense of the Company, shall execute instruments in form and substance satisfactory to the Trustee and the Company acknowledging termination of the Company’s obligations under the Securities of such series and this Indenture, when</w:t>
      </w:r>
    </w:p>
    <w:p>
      <w:pPr>
        <w:spacing w:after="0" w:line="74" w:lineRule="exact"/>
        <w:rPr>
          <w:sz w:val="20"/>
          <w:szCs w:val="20"/>
          <w:color w:val="auto"/>
        </w:rPr>
      </w:pPr>
    </w:p>
    <w:p>
      <w:pPr>
        <w:ind w:left="1240" w:hanging="253"/>
        <w:spacing w:after="0"/>
        <w:tabs>
          <w:tab w:leader="none" w:pos="1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17" w:lineRule="exact"/>
        <w:rPr>
          <w:rFonts w:ascii="Times New Roman" w:cs="Times New Roman" w:eastAsia="Times New Roman" w:hAnsi="Times New Roman"/>
          <w:sz w:val="18"/>
          <w:szCs w:val="18"/>
          <w:color w:val="auto"/>
        </w:rPr>
      </w:pPr>
    </w:p>
    <w:p>
      <w:pPr>
        <w:ind w:left="440" w:right="100" w:firstLine="948"/>
        <w:spacing w:after="0" w:line="266" w:lineRule="auto"/>
        <w:tabs>
          <w:tab w:leader="none" w:pos="168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previously authenticated and delivered (other than (i) Securities of such series that have been destroyed, lost or stolen and that have been replaced or paid as provided in Section 306 and (ii) Securities of such series that are deemed paid and discharged pursuant to Section 402) have been delivered to the Trustee for cancellation; or</w:t>
      </w:r>
    </w:p>
    <w:p>
      <w:pPr>
        <w:spacing w:after="0" w:line="6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Securities of such series not previously delivered to the Trustee for cancellation</w:t>
      </w:r>
    </w:p>
    <w:p>
      <w:pPr>
        <w:spacing w:after="0" w:line="117" w:lineRule="exact"/>
        <w:rPr>
          <w:rFonts w:ascii="Times New Roman" w:cs="Times New Roman" w:eastAsia="Times New Roman" w:hAnsi="Times New Roman"/>
          <w:sz w:val="18"/>
          <w:szCs w:val="18"/>
          <w:color w:val="auto"/>
        </w:rPr>
      </w:pPr>
    </w:p>
    <w:p>
      <w:pPr>
        <w:ind w:left="2200" w:hanging="221"/>
        <w:spacing w:after="0"/>
        <w:tabs>
          <w:tab w:leader="none" w:pos="220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(whether at Stated Maturity, early redemption or otherwise), or</w:t>
      </w:r>
    </w:p>
    <w:p>
      <w:pPr>
        <w:spacing w:after="0" w:line="117"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117" w:lineRule="exact"/>
        <w:rPr>
          <w:rFonts w:ascii="Times New Roman" w:cs="Times New Roman" w:eastAsia="Times New Roman" w:hAnsi="Times New Roman"/>
          <w:sz w:val="18"/>
          <w:szCs w:val="18"/>
          <w:color w:val="auto"/>
        </w:rPr>
      </w:pPr>
    </w:p>
    <w:p>
      <w:pPr>
        <w:ind w:right="60" w:firstLine="1979"/>
        <w:spacing w:after="0" w:line="282" w:lineRule="auto"/>
        <w:tabs>
          <w:tab w:leader="none" w:pos="2298"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and the Company in the case of (i), (ii) or (iii) above has irrevocably deposited or caused to be deposited with the Trustee as funds in trust solely for the benefit of the Holders of the Securities of such series an amount in cash in Dollars (or such other currency or composite currency in which the Securities of such series are denominated), Eligible Obligations or any combination thereof, together (if necessary in the case of a series of Securities not bearing interest at a fixed rate) with any Hedging Obligation, so that such funds in each case are sufficient to pay principal of, and any premium and interest on, all Outstanding Securities of such series;</w:t>
      </w:r>
    </w:p>
    <w:p>
      <w:pPr>
        <w:spacing w:after="0" w:line="75" w:lineRule="exact"/>
        <w:rPr>
          <w:sz w:val="20"/>
          <w:szCs w:val="20"/>
          <w:color w:val="auto"/>
        </w:rPr>
      </w:pPr>
    </w:p>
    <w:p>
      <w:pPr>
        <w:ind w:left="1120" w:hanging="261"/>
        <w:spacing w:after="0"/>
        <w:tabs>
          <w:tab w:leader="none" w:pos="11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by the Company; and</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1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53"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satisfaction and discharge of this Indenture, the obligations of the Company to the Trustee under Section 607, the obligations of the Trustee to any Authenticating Agent under Section 614 and, if money has been deposited with the Trustee pursuant to subclause (B) of clause (1) of this Section, the obligations of the Trustee under Section 405 and Section 1003(e) shall survive.</w:t>
      </w:r>
    </w:p>
    <w:p>
      <w:pPr>
        <w:spacing w:after="0" w:line="67" w:lineRule="exact"/>
        <w:rPr>
          <w:rFonts w:ascii="Times New Roman" w:cs="Times New Roman" w:eastAsia="Times New Roman" w:hAnsi="Times New Roman"/>
          <w:sz w:val="18"/>
          <w:szCs w:val="18"/>
          <w:color w:val="auto"/>
        </w:rPr>
      </w:pPr>
    </w:p>
    <w:p>
      <w:pPr>
        <w:jc w:val="both"/>
        <w:ind w:right="100" w:firstLine="987"/>
        <w:spacing w:after="0" w:line="266" w:lineRule="auto"/>
        <w:tabs>
          <w:tab w:leader="none" w:pos="123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satisfaction and discharge of this Indenture as provided in this Section 401, the Trustee shall assign, transfer and turn over to the Company, subject to the claim provided by Section 607, any and all money, securities and other property then held by the Trustee for the benefit of the Holders of the Securities.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66" w:right="459" w:bottom="1440" w:gutter="0" w:footer="0" w:header="0"/>
        </w:sectPr>
      </w:pPr>
    </w:p>
    <w:bookmarkStart w:id="57" w:name="page58"/>
    <w:bookmarkEnd w:id="57"/>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may elect, at its option at any time, to have Section 402 or Section 403 applied to the Outstanding Securities of any series in accordance with any applicable requirements provided pursuant to Section 301 and upon compliance with the conditions set forth below in this Article. Any such election shall be evidenced by a Board Resolution or in another manner specified as contemplated by Section 301(b) for such Securities.</w:t>
      </w:r>
    </w:p>
    <w:p>
      <w:pPr>
        <w:spacing w:after="0" w:line="156" w:lineRule="exact"/>
        <w:rPr>
          <w:sz w:val="20"/>
          <w:szCs w:val="20"/>
          <w:color w:val="auto"/>
        </w:rPr>
      </w:pPr>
    </w:p>
    <w:p>
      <w:pPr>
        <w:ind w:right="20"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Defeasance and Discharge of Indenture</w:t>
      </w:r>
      <w:r>
        <w:rPr>
          <w:rFonts w:ascii="Times New Roman" w:cs="Times New Roman" w:eastAsia="Times New Roman" w:hAnsi="Times New Roman"/>
          <w:sz w:val="18"/>
          <w:szCs w:val="18"/>
          <w:color w:val="auto"/>
        </w:rPr>
        <w:t>. Upon the Company’s exercise of its option (if any) to have this Section applied to all the Outstanding Securities of any series or Tranche, or any portion of the principal amount thereof, and subject to the conditions set forth in Section 404 being satisfied, the Company shall be deemed to have paid and discharged the entire indebtedness on such Outstanding Securities of such series or Tranche, and the provisions of this Indenture, as it relates to such Outstanding Securities of such series or Tranche, shall be satisfied and discharged and shall no longer be in effect (and the Trustee, at the expense of the Company, shall at Company Request execute proper instruments acknowledging the same), except as to:</w:t>
      </w:r>
    </w:p>
    <w:p>
      <w:pPr>
        <w:spacing w:after="0" w:line="76" w:lineRule="exact"/>
        <w:rPr>
          <w:sz w:val="20"/>
          <w:szCs w:val="20"/>
          <w:color w:val="auto"/>
        </w:rPr>
      </w:pPr>
    </w:p>
    <w:p>
      <w:pPr>
        <w:ind w:left="440" w:right="60" w:firstLine="419"/>
        <w:spacing w:after="0" w:line="256" w:lineRule="auto"/>
        <w:tabs>
          <w:tab w:leader="none" w:pos="110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Securities of such series to receive, solely from the trust funds described in Section 405, (x) payment of the principal of (and premium, if any) and each installment of principal of (and premium, if any) or interest, if any, on the Outstanding Securities of such series, or portions thereof, on the Stated Maturity of such principal or installment of principal or interest to but excluding the Redemption Date designated by the Company pursuant to subparagraph (viii) of Section 404 and (y) the benefit of any mandatory sinking fund payments applicable to the Securities of such series or Tranche on the day on which such payments are due and payable in accordance with the terms of this Indenture and the Securities of such series or Tranche;</w:t>
      </w:r>
    </w:p>
    <w:p>
      <w:pPr>
        <w:spacing w:after="0" w:line="79" w:lineRule="exact"/>
        <w:rPr>
          <w:rFonts w:ascii="Times New Roman" w:cs="Times New Roman" w:eastAsia="Times New Roman" w:hAnsi="Times New Roman"/>
          <w:sz w:val="18"/>
          <w:szCs w:val="18"/>
          <w:color w:val="auto"/>
        </w:rPr>
      </w:pPr>
    </w:p>
    <w:p>
      <w:pPr>
        <w:ind w:left="440" w:right="200" w:firstLine="419"/>
        <w:spacing w:after="0" w:line="266" w:lineRule="auto"/>
        <w:tabs>
          <w:tab w:leader="none" w:pos="111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and the Trustee with respect to such Securities of such series or Tranche under Sections 304, 305, 306, 614, 1002 and 1003 and, if the Company shall have designated a Redemption Date pursuant to subparagraph (x) of Section 404, Sections 1104 and 1106; and</w:t>
      </w:r>
    </w:p>
    <w:p>
      <w:pPr>
        <w:spacing w:after="0" w:line="6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obligations with respect to the Trustee under Section 607.</w:t>
      </w:r>
    </w:p>
    <w:p>
      <w:pPr>
        <w:spacing w:after="0" w:line="223"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Defeasance of Certain Obligations</w:t>
      </w:r>
      <w:r>
        <w:rPr>
          <w:rFonts w:ascii="Times New Roman" w:cs="Times New Roman" w:eastAsia="Times New Roman" w:hAnsi="Times New Roman"/>
          <w:sz w:val="18"/>
          <w:szCs w:val="18"/>
          <w:color w:val="auto"/>
        </w:rPr>
        <w:t xml:space="preserve">. The Company may omit to comply with its obligations under the covenants contained in Sections 801, 1006 and 1007 with respect to any Security or Securities of any series (and in respect of any term, provision or condition set forth in the covenants or restrictions specified for such Securities pursuant to Section 301(b), in any supplemental indenture, Board Resolution or Officer’s Certificate establishing such Security), and the failure to comply with any such provisions shall not constitute a Default or Event of Default under Section 501(4),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conditions set forth in Section 404 have been satisfied.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Conditions to Defeasance</w:t>
      </w:r>
      <w:r>
        <w:rPr>
          <w:rFonts w:ascii="Times New Roman" w:cs="Times New Roman" w:eastAsia="Times New Roman" w:hAnsi="Times New Roman"/>
          <w:sz w:val="18"/>
          <w:szCs w:val="18"/>
          <w:color w:val="auto"/>
        </w:rPr>
        <w:t>. The following conditions shall be the conditions to the application of Section 402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403:</w:t>
      </w:r>
    </w:p>
    <w:p>
      <w:pPr>
        <w:spacing w:after="0" w:line="99" w:lineRule="exact"/>
        <w:rPr>
          <w:sz w:val="20"/>
          <w:szCs w:val="20"/>
          <w:color w:val="auto"/>
        </w:rPr>
      </w:pPr>
    </w:p>
    <w:p>
      <w:pPr>
        <w:ind w:left="440" w:firstLine="419"/>
        <w:spacing w:after="0" w:line="253" w:lineRule="auto"/>
        <w:tabs>
          <w:tab w:leader="none" w:pos="10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deposited or caused to be deposited irrevocably with the Trustee as trust funds in trust, specifically pledged as security for, and dedicated solely to, the benefit of the Holders of the Securities of such series, (x) cash in Dollars (or such other currency or composite currency in which such Securities are denominated) in an amount sufficient, or (y) Eligible Obligations which through the payment of interest and principal in respect thereof in accordance with their terms will provide on or before the due date of any payment referred to in clause (1) or (2) of this subparagraph (i) money in an amount sufficient or (z) a combination of such cash and Eligible Obligations, together (if necessary in the case of a series of Securities not bearing interest at a fixed rate) with any Hedging Obligation so that such funds are sufficient, in the opinion of a nationally recognized firm of independent certified public accountants expressed in a written certification thereof delivered to the Trustee, to pay and discharge (1) the principal of (and premium, if any) and each installment of principal (and premium, if any) and interest, if any, on such Securities on the Stated Maturity of such principal or installment of principal or interest or to but excluding the Redemption Date designated by the Company in accordance with Section 404(a)(1)(B)(iii) and (2) any mandatory sinking fund payments applicable to the Securities of such series on the day on which such payments are due and payable in accordance with the terms of this Indenture and of the Securities of such series;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58" w:name="page59"/>
    <w:bookmarkEnd w:id="58"/>
    <w:p>
      <w:pPr>
        <w:ind w:left="440" w:firstLine="419"/>
        <w:spacing w:after="0" w:line="256" w:lineRule="auto"/>
        <w:tabs>
          <w:tab w:leader="none" w:pos="112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of an election to have Section 402 apply, the Company has delivered to the Trustee an Officer’s Certificate and an Opinion of Counsel to the effect that (x) the Company has received from, or there has been published by, the Internal Revenue Service a ruling or (y) there has been a change in law or regulation occurring after the date hereof, to the effect that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79"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7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election to have Section 403 apply, the Company has delivered to the Trustee an Officer’s Certificate and an Opinion of Counsel to the effect that Holders of the Securities of such series will not recognize income, gain or loss for federal income tax purposes as a result of such deposit and defeasance and will be subject to federal income tax on the same amount and in the same manner and at the same times, as would have been the case if such deposit and defeasance had not occurred;</w:t>
      </w:r>
    </w:p>
    <w:p>
      <w:pPr>
        <w:spacing w:after="0" w:line="71"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6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provision would not cause any Outstanding Securities of such series then listed on a securities exchange to be delisted as a result</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98"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6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event that with notice or lapse of time would become an Event of Default with respect to the Securities of such series has occurred and is continuing on the date of such deposit;</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21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stating that the deposit was not made by the Company with the intent of preferring the holders of the Securities of such series over any other creditors of the Company or with the intent of defeating, hindering, delaying or defrauding any other creditors of the Company;</w:t>
      </w:r>
    </w:p>
    <w:p>
      <w:pPr>
        <w:spacing w:after="0" w:line="67"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26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shall not, as specified in an Opinion of Counsel, cause the Trustee with respect to the Securities of such series to have a conflicting interest as defined in Section 608 and for purposes of the Trust Indenture Act with respect to the Securities of such series;</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6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provided for relating to the defeasance contemplated by this Section have been complied with; and</w:t>
      </w:r>
    </w:p>
    <w:p>
      <w:pPr>
        <w:spacing w:after="0" w:line="53" w:lineRule="exact"/>
        <w:rPr>
          <w:rFonts w:ascii="Times New Roman" w:cs="Times New Roman" w:eastAsia="Times New Roman" w:hAnsi="Times New Roman"/>
          <w:sz w:val="18"/>
          <w:szCs w:val="18"/>
          <w:color w:val="auto"/>
        </w:rPr>
      </w:pPr>
    </w:p>
    <w:p>
      <w:pPr>
        <w:ind w:left="440" w:firstLine="419"/>
        <w:spacing w:after="0" w:line="256" w:lineRule="auto"/>
        <w:tabs>
          <w:tab w:leader="none" w:pos="111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deposited or caused to be deposited money or Eligible Obligations to pay or discharge the principal of (and premium, if any) and interest on the Outstanding Securities of a series to but excluding a Redemption Date pursuant to clause (i) of this Section 404, such Redemption Date shall be irrevocably designated by a Board Resolution delivered to the Trustee on or prior to the date of deposit of such money or Eligible Obligations, and such Board Resolution shall be accompanied by an irrevocable Company Request that the Trustee give notice of such redemption in the name and at the expense of the Company not less than 30 nor more than 60 days prior to such Redemption Date in accordance with Section 1104.</w:t>
      </w:r>
    </w:p>
    <w:p>
      <w:pPr>
        <w:spacing w:after="0" w:line="185"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Application of Trust Money</w:t>
      </w:r>
      <w:r>
        <w:rPr>
          <w:rFonts w:ascii="Times New Roman" w:cs="Times New Roman" w:eastAsia="Times New Roman" w:hAnsi="Times New Roman"/>
          <w:sz w:val="18"/>
          <w:szCs w:val="18"/>
          <w:color w:val="auto"/>
        </w:rPr>
        <w:t xml:space="preserve">. (a) Neither the Eligible Obligations nor the funds deposited with the Trustee pursuant to Sections 401, 402 or 403, nor the principal or interest payments on any such Eligible Obligations, shall be withdrawn or used for any purpose other than, and shall be held in trust for, the payment of the principal of and premium, if any, and interest, if any, on the Securities or portions of principal amount thereof in respect of which such deposit was made, all subject, however, to the provisions of Section 606;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so long as no Event of Default has occurred and is continuing, any cash received from such principal or interest payments on such Eligible Obligations deposited with the Trustee, if not then needed for such</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59" w:name="page60"/>
    <w:bookmarkEnd w:id="59"/>
    <w:p>
      <w:pPr>
        <w:ind w:right="14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purpose, shall, to the extent practicable, be invested in Eligible Obligations of the type described in Sections 401 and 402(d)(2)(A) maturing at such times and in such amounts as shall be sufficient to pay when due the principal of and any premium and interest due and to become due on such Securities or portions thereof on and prior to the Maturity thereof, and interest earned from such reinvestment shall be paid over to the Company as received by the Trustee, free and clear of any trust, lien or pledge under this Indenture except the claim provided by Section 607; and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so long as there shall not have occurred and be continuing an Event of Default, any moneys held by the Trustee in accordance with this Section on the Maturity of all such Securities in excess of the amount required to pay the principal of and premium, if any, and interest, if any, then due on such Securities shall be paid over to the Company free and clear of any trust, lien or pledge under this Indenture except the claim provided by Section 607.</w:t>
      </w:r>
    </w:p>
    <w:p>
      <w:pPr>
        <w:spacing w:after="0" w:line="63" w:lineRule="exact"/>
        <w:rPr>
          <w:sz w:val="20"/>
          <w:szCs w:val="20"/>
          <w:color w:val="auto"/>
        </w:rPr>
      </w:pPr>
    </w:p>
    <w:p>
      <w:pPr>
        <w:jc w:val="both"/>
        <w:ind w:right="280" w:firstLine="987"/>
        <w:spacing w:after="0" w:line="266" w:lineRule="auto"/>
        <w:tabs>
          <w:tab w:leader="none" w:pos="12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and shall indemnify the Trustee against any tax, fee or other charge imposed on or assessed against Eligible Obligations deposited pursuant to Section 401, 402 or 403 or the principal and any premium and interest received in respect of such obligations other than any payable by or on behalf of Holders.</w:t>
      </w:r>
    </w:p>
    <w:p>
      <w:pPr>
        <w:spacing w:after="0" w:line="67" w:lineRule="exact"/>
        <w:rPr>
          <w:rFonts w:ascii="Times New Roman" w:cs="Times New Roman" w:eastAsia="Times New Roman" w:hAnsi="Times New Roman"/>
          <w:sz w:val="18"/>
          <w:szCs w:val="18"/>
          <w:color w:val="auto"/>
        </w:rPr>
      </w:pPr>
    </w:p>
    <w:p>
      <w:pPr>
        <w:ind w:right="100" w:firstLine="987"/>
        <w:spacing w:after="0" w:line="258" w:lineRule="auto"/>
        <w:tabs>
          <w:tab w:leader="none" w:pos="12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deliver or pay to the Company from time to time upon Company Request any Eligible Obligations or money held by it as provided in Section 401, 402 or 403 that, in the opinion of a nationally recognized firm of independent certified public accountants expressed in a written certification thereof delivered to the Trustee, are then in excess of the amount thereof that then would have been required to be deposited for the purpose for which such Eligible Obligations or money was deposited or received. This provision shall not authorize the sale by the Trustee of any Eligible Obligations held under this Indenture.</w:t>
      </w:r>
    </w:p>
    <w:p>
      <w:pPr>
        <w:spacing w:after="0" w:line="181"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Reinstatement</w:t>
      </w:r>
      <w:r>
        <w:rPr>
          <w:rFonts w:ascii="Times New Roman" w:cs="Times New Roman" w:eastAsia="Times New Roman" w:hAnsi="Times New Roman"/>
          <w:sz w:val="18"/>
          <w:szCs w:val="18"/>
          <w:color w:val="auto"/>
        </w:rPr>
        <w:t xml:space="preserve">. 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402 or Section 403 shall be revived and reinstated as though no deposit had occurred pursuant to this Article with respect to such Securities, until such time as the Trustee or Paying Agent is permitted to apply all money held in trust pursuant to Section 405 with respect to such Securities in accordance with this Article;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Company makes any payment of principal of or any premium or interest on any such Security following such reinstatement of its obligations, the Company shall be subrogated to the rights (if any) of the Holders of such Securities to receive such payment from the money so held in trust.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FIVE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REMEDIES</w:t>
      </w:r>
    </w:p>
    <w:p>
      <w:pPr>
        <w:spacing w:after="0" w:line="225" w:lineRule="exact"/>
        <w:rPr>
          <w:sz w:val="20"/>
          <w:szCs w:val="20"/>
          <w:color w:val="auto"/>
        </w:rPr>
      </w:pPr>
    </w:p>
    <w:p>
      <w:pPr>
        <w:ind w:right="80" w:firstLine="991"/>
        <w:spacing w:after="0" w:line="268"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wherever used herein with respect to Securities of any series, means any one of the following events, unless such event is either inapplicable to a particular series or its is specifically deleted or modified in the applicable Board Resolution or supplemental indenture under which such series of Securities is issued, as the case may be, as contemplated by Section 301:</w:t>
      </w:r>
    </w:p>
    <w:p>
      <w:pPr>
        <w:spacing w:after="0" w:line="67" w:lineRule="exact"/>
        <w:rPr>
          <w:sz w:val="20"/>
          <w:szCs w:val="20"/>
          <w:color w:val="auto"/>
        </w:rPr>
      </w:pPr>
    </w:p>
    <w:p>
      <w:pPr>
        <w:ind w:left="440" w:right="60" w:firstLine="419"/>
        <w:spacing w:after="0" w:line="266" w:lineRule="auto"/>
        <w:tabs>
          <w:tab w:leader="none" w:pos="111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default in the payment of any interest upon any Security of that series when it becomes due and payable, and continuance of such default for a period of 30 days;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valid extension of the interest payment period by the Company as contemplated in Section 312 shall not constitute a failure to pay interest for this purpose; or</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any Security of that series at its Maturity and, in the case of technical or administrative difficulties, only if such default persists for a period of more than three Business Days; or</w:t>
      </w:r>
    </w:p>
    <w:p>
      <w:pPr>
        <w:spacing w:after="0" w:line="53"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1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deposit of any sinking fund payment, when and as due by the terms of a Security of that series and continuance of such default for a period of 30 days;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60" w:name="page61"/>
    <w:bookmarkEnd w:id="60"/>
    <w:p>
      <w:pPr>
        <w:ind w:left="440" w:firstLine="419"/>
        <w:spacing w:after="0" w:line="256" w:lineRule="auto"/>
        <w:tabs>
          <w:tab w:leader="none" w:pos="111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one or more series of Securities other than that series), and continuance of such default or breach for a period of 60 days after there has been given, by registered or certified mail, to the Company by the Trustee or to the Company and the Trustee by the Holders of at least 25% in aggregate principal amount of the Outstanding Securities of such series a written notice specifying such default or breach and requiring it to be remedied and stating that such notice is a “</w:t>
      </w:r>
      <w:r>
        <w:rPr>
          <w:rFonts w:ascii="Times New Roman" w:cs="Times New Roman" w:eastAsia="Times New Roman" w:hAnsi="Times New Roman"/>
          <w:sz w:val="18"/>
          <w:szCs w:val="18"/>
          <w:b w:val="1"/>
          <w:bCs w:val="1"/>
          <w:i w:val="1"/>
          <w:iCs w:val="1"/>
          <w:color w:val="auto"/>
        </w:rPr>
        <w:t>Notice of Default</w:t>
      </w:r>
      <w:r>
        <w:rPr>
          <w:rFonts w:ascii="Times New Roman" w:cs="Times New Roman" w:eastAsia="Times New Roman" w:hAnsi="Times New Roman"/>
          <w:sz w:val="18"/>
          <w:szCs w:val="18"/>
          <w:color w:val="auto"/>
        </w:rPr>
        <w:t>” hereunder; or</w:t>
      </w:r>
    </w:p>
    <w:p>
      <w:pPr>
        <w:spacing w:after="0" w:line="79" w:lineRule="exact"/>
        <w:rPr>
          <w:rFonts w:ascii="Times New Roman" w:cs="Times New Roman" w:eastAsia="Times New Roman" w:hAnsi="Times New Roman"/>
          <w:sz w:val="18"/>
          <w:szCs w:val="18"/>
          <w:color w:val="auto"/>
        </w:rPr>
      </w:pPr>
    </w:p>
    <w:p>
      <w:pPr>
        <w:ind w:left="440" w:right="60" w:firstLine="419"/>
        <w:spacing w:after="0" w:line="255" w:lineRule="auto"/>
        <w:tabs>
          <w:tab w:leader="none" w:pos="111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80" w:lineRule="exact"/>
        <w:rPr>
          <w:rFonts w:ascii="Times New Roman" w:cs="Times New Roman" w:eastAsia="Times New Roman" w:hAnsi="Times New Roman"/>
          <w:sz w:val="18"/>
          <w:szCs w:val="18"/>
          <w:color w:val="auto"/>
        </w:rPr>
      </w:pPr>
    </w:p>
    <w:p>
      <w:pPr>
        <w:ind w:left="440" w:firstLine="419"/>
        <w:spacing w:after="0" w:line="254" w:lineRule="auto"/>
        <w:tabs>
          <w:tab w:leader="none" w:pos="111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80"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Securities of such series pursuant to Section 301(b).</w:t>
      </w:r>
    </w:p>
    <w:p>
      <w:pPr>
        <w:spacing w:after="0" w:line="223"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Acceleration of Maturity; Rescission and Annulment</w:t>
      </w:r>
      <w:r>
        <w:rPr>
          <w:rFonts w:ascii="Times New Roman" w:cs="Times New Roman" w:eastAsia="Times New Roman" w:hAnsi="Times New Roman"/>
          <w:sz w:val="18"/>
          <w:szCs w:val="18"/>
          <w:color w:val="auto"/>
        </w:rPr>
        <w:t>. If an Event of Default with respect to Securities of any series at the time Outstanding occurs and is continuing, then in every such case the Trustee or the Holders of not less than 25% in aggregate principal amount of the Outstanding Securities of such series, by a notice in writing to the Company (and to the Trustee if given by such Holders), may declare the principal amount (or, if the Securities of such series are Original Issue Discount Securities or Indexed Securities, such portion of the principal amount of such Securities as may be specified in the terms thereof) to be due and payable immediately and upon any such declaration such principal amount (or specified amount) shall become immediately due and payable. If an Event of Default specified in Section 501(5) or (6) occurs, the principal of all the Securities then Outstanding (or if any such Securities are Original Issue Discount Securities or Indexed Securities, such portion of the principal amount of such Securities as may be specified in the terms thereof) shall automatically become and be immediately due and payable without any declaration or other act or notice on the part of the Trustee or any Holders of the Securities.</w:t>
      </w:r>
    </w:p>
    <w:p>
      <w:pPr>
        <w:spacing w:after="0" w:line="190"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At any time after such a declaration of acceleration with respect to Securities of one or more series has been made and before a judgment or decree for payment of the money due has been obtained by the Trustee as hereinafter in this Article provided, the Event or Events of Default giving rise to such declaration of acceleration shall, without further act, be deemed to have been waived, and such declaration and its consequences shall, without further act, be deemed to have been rescinded and annulled, if</w:t>
      </w:r>
    </w:p>
    <w:p>
      <w:pPr>
        <w:spacing w:after="0" w:line="72" w:lineRule="exact"/>
        <w:rPr>
          <w:sz w:val="20"/>
          <w:szCs w:val="20"/>
          <w:color w:val="auto"/>
        </w:rPr>
      </w:pPr>
    </w:p>
    <w:p>
      <w:pPr>
        <w:ind w:left="5420" w:right="3580" w:hanging="4561"/>
        <w:spacing w:after="0" w:line="454" w:lineRule="auto"/>
        <w:tabs>
          <w:tab w:leader="none" w:pos="11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deposited irrevocably with the Trustee a sum sufficient to pay 22</w:t>
      </w:r>
    </w:p>
    <w:p>
      <w:pPr>
        <w:sectPr>
          <w:pgSz w:w="11900" w:h="16838" w:orient="portrait"/>
          <w:cols w:equalWidth="0" w:num="1">
            <w:col w:w="10980"/>
          </w:cols>
          <w:pgMar w:left="440" w:top="270" w:right="479" w:bottom="1440" w:gutter="0" w:footer="0" w:header="0"/>
        </w:sectPr>
      </w:pPr>
    </w:p>
    <w:bookmarkStart w:id="61" w:name="page62"/>
    <w:bookmarkEnd w:id="61"/>
    <w:p>
      <w:pPr>
        <w:ind w:left="1720" w:hanging="292"/>
        <w:spacing w:after="0"/>
        <w:tabs>
          <w:tab w:leader="none" w:pos="17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overdue interest on all Securities of any such series,</w:t>
      </w:r>
    </w:p>
    <w:p>
      <w:pPr>
        <w:spacing w:after="0" w:line="117" w:lineRule="exact"/>
        <w:rPr>
          <w:rFonts w:ascii="Times New Roman" w:cs="Times New Roman" w:eastAsia="Times New Roman" w:hAnsi="Times New Roman"/>
          <w:sz w:val="18"/>
          <w:szCs w:val="18"/>
          <w:color w:val="auto"/>
        </w:rPr>
      </w:pPr>
    </w:p>
    <w:p>
      <w:pPr>
        <w:ind w:firstLine="1428"/>
        <w:spacing w:after="0" w:line="282" w:lineRule="auto"/>
        <w:tabs>
          <w:tab w:leader="none" w:pos="171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Securities of such series that have become due otherwise than by such declaration of acceleration and interest thereon at the rate or rates prescribed therefor in such Securities,</w:t>
      </w:r>
    </w:p>
    <w:p>
      <w:pPr>
        <w:spacing w:after="0" w:line="53" w:lineRule="exact"/>
        <w:rPr>
          <w:rFonts w:ascii="Times New Roman" w:cs="Times New Roman" w:eastAsia="Times New Roman" w:hAnsi="Times New Roman"/>
          <w:sz w:val="18"/>
          <w:szCs w:val="18"/>
          <w:color w:val="auto"/>
        </w:rPr>
      </w:pPr>
    </w:p>
    <w:p>
      <w:pPr>
        <w:ind w:right="120" w:firstLine="1428"/>
        <w:spacing w:after="0" w:line="282" w:lineRule="auto"/>
        <w:tabs>
          <w:tab w:leader="none" w:pos="171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of such interest is lawful, interest upon overdue interest at the rate or rates borne by such Securities, unless another rate is provided in such Securities, and</w:t>
      </w:r>
    </w:p>
    <w:p>
      <w:pPr>
        <w:spacing w:after="0" w:line="53" w:lineRule="exact"/>
        <w:rPr>
          <w:rFonts w:ascii="Times New Roman" w:cs="Times New Roman" w:eastAsia="Times New Roman" w:hAnsi="Times New Roman"/>
          <w:sz w:val="18"/>
          <w:szCs w:val="18"/>
          <w:color w:val="auto"/>
        </w:rPr>
      </w:pPr>
    </w:p>
    <w:p>
      <w:pPr>
        <w:ind w:left="1720" w:hanging="292"/>
        <w:spacing w:after="0"/>
        <w:tabs>
          <w:tab w:leader="none" w:pos="17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due to the Trustee under Section 607; and</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with respect to Securities of that series, other than the non-payment of the principal of Securities of that series that have become due solely by such declaration of acceleration, have been cured or waived as provided in Section 513.</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such rescission shall affect any subsequent Event of Default or impair any right consequent thereon.</w:t>
      </w:r>
    </w:p>
    <w:p>
      <w:pPr>
        <w:spacing w:after="0" w:line="223" w:lineRule="exact"/>
        <w:rPr>
          <w:sz w:val="20"/>
          <w:szCs w:val="20"/>
          <w:color w:val="auto"/>
        </w:rPr>
      </w:pPr>
    </w:p>
    <w:p>
      <w:pPr>
        <w:ind w:right="20"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i w:val="1"/>
          <w:iCs w:val="1"/>
          <w:color w:val="auto"/>
        </w:rPr>
        <w:t>Collection of Indebtedness and Suits for Enforcement by Trustee</w:t>
      </w:r>
      <w:r>
        <w:rPr>
          <w:rFonts w:ascii="Times New Roman" w:cs="Times New Roman" w:eastAsia="Times New Roman" w:hAnsi="Times New Roman"/>
          <w:sz w:val="18"/>
          <w:szCs w:val="18"/>
          <w:color w:val="auto"/>
        </w:rPr>
        <w:t>. If an Event of Default described in clause (1) or (2) of Section 501 has occurred and is continuing, the Company shall, upon demand of the Trustee, pay to the Trustee, for the benefit of the Holders of the Securities of the series with respect to which such Event of Default has occurred, the whole amount then due and payable on such Securities for principal and any premium or interest and, to the extent that payment of such interest shall be legally enforceable, interest on any overdue principal and premium and on any overdue interest, at the rate or rates borne by such Securities, unless another rate is provided in such Securities, and, in addition thereto, such further amount as shall be sufficient to cover any amounts due to the Trustee under Section 607.</w:t>
      </w:r>
    </w:p>
    <w:p>
      <w:pPr>
        <w:spacing w:after="0" w:line="184"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deems most effectual to protect and enforce any such rights, whether for the specific enforcement of any covenant or agreement in this Indenture or in aid of the exercise of any power granted herein, or to enforce any other proper remedy.</w:t>
      </w:r>
    </w:p>
    <w:p>
      <w:pPr>
        <w:spacing w:after="0" w:line="178"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i w:val="1"/>
          <w:iCs w:val="1"/>
          <w:color w:val="auto"/>
        </w:rPr>
        <w:t>Trustee May File Proofs of Claim</w:t>
      </w:r>
      <w:r>
        <w:rPr>
          <w:rFonts w:ascii="Times New Roman" w:cs="Times New Roman" w:eastAsia="Times New Roman" w:hAnsi="Times New Roman"/>
          <w:sz w:val="18"/>
          <w:szCs w:val="18"/>
          <w:color w:val="auto"/>
        </w:rPr>
        <w:t>.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77" w:lineRule="exact"/>
        <w:rPr>
          <w:sz w:val="20"/>
          <w:szCs w:val="20"/>
          <w:color w:val="auto"/>
        </w:rPr>
      </w:pPr>
    </w:p>
    <w:p>
      <w:pPr>
        <w:jc w:val="both"/>
        <w:ind w:left="440" w:right="60" w:firstLine="419"/>
        <w:spacing w:after="0" w:line="266" w:lineRule="auto"/>
        <w:tabs>
          <w:tab w:leader="none" w:pos="107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principal and premium or interest owing and unpaid in respect of the Securities and to file such other papers or documents as may be necessary or advisable in order to have the claims of the Trustee (including any claim for amounts due to the Trustee under Section 607) and of the Holders allowed in such judicial proceeding,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moneys or other property payable or deliverable on any such claims and to distribute the same;</w:t>
      </w:r>
    </w:p>
    <w:p>
      <w:pPr>
        <w:spacing w:after="0" w:line="22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judicial proceeding is hereby authorized by each Holder to make such payments to the Trustee and, if the Trustee consents to the making of such payments directly to the Holders, to pay to the Trustee any amount due it under Section 607.</w:t>
      </w: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20"/>
          </w:cols>
          <w:pgMar w:left="440" w:top="270" w:right="539" w:bottom="1440" w:gutter="0" w:footer="0" w:header="0"/>
        </w:sectPr>
      </w:pPr>
    </w:p>
    <w:bookmarkStart w:id="62" w:name="page63"/>
    <w:bookmarkEnd w:id="62"/>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74"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i w:val="1"/>
          <w:iCs w:val="1"/>
          <w:color w:val="auto"/>
        </w:rPr>
        <w:t>Trustee May Enforce Claims Without Possession of Securities</w:t>
      </w:r>
      <w:r>
        <w:rPr>
          <w:rFonts w:ascii="Times New Roman" w:cs="Times New Roman" w:eastAsia="Times New Roman" w:hAnsi="Times New Roman"/>
          <w:sz w:val="18"/>
          <w:szCs w:val="18"/>
          <w:color w:val="auto"/>
        </w:rPr>
        <w:t>. 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amounts due to the Trustee under Section 607, be for the ratable benefit of the Holders of the Securities in respect of which such judgment has been recovered.</w:t>
      </w:r>
    </w:p>
    <w:p>
      <w:pPr>
        <w:spacing w:after="0" w:line="183" w:lineRule="exact"/>
        <w:rPr>
          <w:sz w:val="20"/>
          <w:szCs w:val="20"/>
          <w:color w:val="auto"/>
        </w:rPr>
      </w:pPr>
    </w:p>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i w:val="1"/>
          <w:iCs w:val="1"/>
          <w:color w:val="auto"/>
        </w:rPr>
        <w:t>Application of Money Collected</w:t>
      </w:r>
      <w:r>
        <w:rPr>
          <w:rFonts w:ascii="Times New Roman" w:cs="Times New Roman" w:eastAsia="Times New Roman" w:hAnsi="Times New Roman"/>
          <w:sz w:val="18"/>
          <w:szCs w:val="18"/>
          <w:color w:val="auto"/>
        </w:rPr>
        <w:t>. Any money collected by the Trustee pursuant to this Article shall be applied in the following order, at the date or dates fixed by the Trustee, and, in case of the distribution of such money on account of principal and any premium and interest, upon presentation of the Securities in respect of which or for the benefit of which such money shall have been collected and the notation thereon of the payment if only partially paid and upon surrender thereof if fully paid:</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FIRST: To the payment of all amounts due the Trustee under Section 607;</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for principal of and any premium and interest on the Securities in respect of which or for the benefit of which such money has been collected, ratably, without preference or priority of any kind, according to the amounts due and payable on such Securities for principal and any premium and interest, respectively; and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THIRD: The balance, if any, to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Trustee may fix a record date and payment date for any such payment to Holders of Securities.</w:t>
      </w:r>
    </w:p>
    <w:p>
      <w:pPr>
        <w:spacing w:after="0" w:line="223" w:lineRule="exact"/>
        <w:rPr>
          <w:sz w:val="20"/>
          <w:szCs w:val="20"/>
          <w:color w:val="auto"/>
        </w:rPr>
      </w:pPr>
    </w:p>
    <w:p>
      <w:pPr>
        <w:ind w:right="260" w:firstLine="991"/>
        <w:spacing w:after="0" w:line="315" w:lineRule="auto"/>
        <w:rPr>
          <w:sz w:val="20"/>
          <w:szCs w:val="20"/>
          <w:color w:val="auto"/>
        </w:rPr>
      </w:pPr>
      <w:r>
        <w:rPr>
          <w:rFonts w:ascii="Times New Roman" w:cs="Times New Roman" w:eastAsia="Times New Roman" w:hAnsi="Times New Roman"/>
          <w:sz w:val="17"/>
          <w:szCs w:val="17"/>
          <w:color w:val="auto"/>
        </w:rPr>
        <w:t xml:space="preserve">SECTION 507. </w:t>
      </w:r>
      <w:r>
        <w:rPr>
          <w:rFonts w:ascii="Times New Roman" w:cs="Times New Roman" w:eastAsia="Times New Roman" w:hAnsi="Times New Roman"/>
          <w:sz w:val="17"/>
          <w:szCs w:val="17"/>
          <w:i w:val="1"/>
          <w:iCs w:val="1"/>
          <w:color w:val="auto"/>
        </w:rPr>
        <w:t>Limitation on Suits</w:t>
      </w:r>
      <w:r>
        <w:rPr>
          <w:rFonts w:ascii="Times New Roman" w:cs="Times New Roman" w:eastAsia="Times New Roman" w:hAnsi="Times New Roman"/>
          <w:sz w:val="17"/>
          <w:szCs w:val="17"/>
          <w:color w:val="auto"/>
        </w:rPr>
        <w:t>. No Holder of any Security of any series shall have any right to institute any proceeding, judicial or otherwise, with respect to this Indenture or such Security, or for the appointment of a receiver or trustee, or for any other remedy hereunder, unless</w:t>
      </w:r>
    </w:p>
    <w:p>
      <w:pPr>
        <w:spacing w:after="0" w:line="29" w:lineRule="exact"/>
        <w:rPr>
          <w:sz w:val="20"/>
          <w:szCs w:val="20"/>
          <w:color w:val="auto"/>
        </w:rPr>
      </w:pPr>
    </w:p>
    <w:p>
      <w:pPr>
        <w:ind w:left="1120" w:hanging="261"/>
        <w:spacing w:after="0"/>
        <w:tabs>
          <w:tab w:leader="none" w:pos="11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with respect to the Securities of that</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w:t>
      </w:r>
    </w:p>
    <w:p>
      <w:pPr>
        <w:spacing w:after="0" w:line="98"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1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aggregate principal amount of the Outstanding Securities of that series shall have made written request to the Trustee to institute proceedings in respect of such Event of Default in its own name as Trustee hereunder;</w:t>
      </w:r>
    </w:p>
    <w:p>
      <w:pPr>
        <w:spacing w:after="0" w:line="53"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11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indemnity against the reasonable costs, expenses and liabilities to be incurred in compliance with such request;</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has failed to institute any such proceeding; and</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aggregate principal amount of the Outstanding Securities of that series;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70" w:right="479" w:bottom="1440" w:gutter="0" w:footer="0" w:header="0"/>
        </w:sectPr>
      </w:pPr>
    </w:p>
    <w:bookmarkStart w:id="63" w:name="page64"/>
    <w:bookmarkEnd w:id="63"/>
    <w:p>
      <w:pPr>
        <w:jc w:val="both"/>
        <w:ind w:right="1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508. </w:t>
      </w:r>
      <w:r>
        <w:rPr>
          <w:rFonts w:ascii="Times New Roman" w:cs="Times New Roman" w:eastAsia="Times New Roman" w:hAnsi="Times New Roman"/>
          <w:sz w:val="18"/>
          <w:szCs w:val="18"/>
          <w:i w:val="1"/>
          <w:iCs w:val="1"/>
          <w:color w:val="auto"/>
        </w:rPr>
        <w:t>Unconditional Right of Holders to Receive Principal, Premium and Interest</w:t>
      </w:r>
      <w:r>
        <w:rPr>
          <w:rFonts w:ascii="Times New Roman" w:cs="Times New Roman" w:eastAsia="Times New Roman" w:hAnsi="Times New Roman"/>
          <w:sz w:val="18"/>
          <w:szCs w:val="18"/>
          <w:color w:val="auto"/>
        </w:rPr>
        <w:t>. Notwithstanding any other provision in this Indenture, the Holder of any Security shall have the right, which is absolute and unconditional, to receive payment of the principal of and premium and (subject to Section 307) interest on such Security on the Stated Maturity or Maturities expressed in such Security (or, in the case of redemption, on the Redemption Date, or, in the case of repayment at the option of the Holder, on the Repayment Date) and to institute suit for the enforcement of any such payment, and such rights shall not be impaired without the consent of such Holder.</w:t>
      </w:r>
    </w:p>
    <w:p>
      <w:pPr>
        <w:spacing w:after="0" w:line="183"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i w:val="1"/>
          <w:iCs w:val="1"/>
          <w:color w:val="auto"/>
        </w:rPr>
        <w:t>Restoration of Rights and Remedies</w:t>
      </w:r>
      <w:r>
        <w:rPr>
          <w:rFonts w:ascii="Times New Roman" w:cs="Times New Roman" w:eastAsia="Times New Roman" w:hAnsi="Times New Roman"/>
          <w:sz w:val="18"/>
          <w:szCs w:val="18"/>
          <w:color w:val="auto"/>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such Holder shall be restored severally and respectively to their former positions hereunder and thereafter all rights and remedies of the Trustee and such Holder shall continue as though no such proceeding had been instituted.</w:t>
      </w:r>
    </w:p>
    <w:p>
      <w:pPr>
        <w:spacing w:after="0" w:line="183" w:lineRule="exact"/>
        <w:rPr>
          <w:sz w:val="20"/>
          <w:szCs w:val="20"/>
          <w:color w:val="auto"/>
        </w:rPr>
      </w:pPr>
    </w:p>
    <w:p>
      <w:pPr>
        <w:ind w:right="140" w:firstLine="991"/>
        <w:spacing w:after="0" w:line="277" w:lineRule="auto"/>
        <w:rPr>
          <w:sz w:val="20"/>
          <w:szCs w:val="20"/>
          <w:color w:val="auto"/>
        </w:rPr>
      </w:pPr>
      <w:r>
        <w:rPr>
          <w:rFonts w:ascii="Times New Roman" w:cs="Times New Roman" w:eastAsia="Times New Roman" w:hAnsi="Times New Roman"/>
          <w:sz w:val="17"/>
          <w:szCs w:val="17"/>
          <w:color w:val="auto"/>
        </w:rPr>
        <w:t xml:space="preserve">SECTION 510. </w:t>
      </w:r>
      <w:r>
        <w:rPr>
          <w:rFonts w:ascii="Times New Roman" w:cs="Times New Roman" w:eastAsia="Times New Roman" w:hAnsi="Times New Roman"/>
          <w:sz w:val="17"/>
          <w:szCs w:val="17"/>
          <w:i w:val="1"/>
          <w:iCs w:val="1"/>
          <w:color w:val="auto"/>
        </w:rPr>
        <w:t>Rights and Remedies Cumulative</w:t>
      </w:r>
      <w:r>
        <w:rPr>
          <w:rFonts w:ascii="Times New Roman" w:cs="Times New Roman" w:eastAsia="Times New Roman" w:hAnsi="Times New Roman"/>
          <w:sz w:val="17"/>
          <w:szCs w:val="17"/>
          <w:color w:val="auto"/>
        </w:rPr>
        <w:t>. Except as otherwise provided with respect to the replacement or payment of mutilated, destroyed, lost or stolen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68"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i w:val="1"/>
          <w:iCs w:val="1"/>
          <w:color w:val="auto"/>
        </w:rPr>
        <w:t>Delay or Omission Not Waiver</w:t>
      </w:r>
      <w:r>
        <w:rPr>
          <w:rFonts w:ascii="Times New Roman" w:cs="Times New Roman" w:eastAsia="Times New Roman" w:hAnsi="Times New Roman"/>
          <w:sz w:val="18"/>
          <w:szCs w:val="18"/>
          <w:color w:val="auto"/>
        </w:rPr>
        <w:t>. 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i w:val="1"/>
          <w:iCs w:val="1"/>
          <w:color w:val="auto"/>
        </w:rPr>
        <w:t>Control by Holders</w:t>
      </w:r>
      <w:r>
        <w:rPr>
          <w:rFonts w:ascii="Times New Roman" w:cs="Times New Roman" w:eastAsia="Times New Roman" w:hAnsi="Times New Roman"/>
          <w:sz w:val="18"/>
          <w:szCs w:val="18"/>
          <w:color w:val="auto"/>
        </w:rPr>
        <w:t xml:space="preserve">. If an Event of Default shall have occurred and be continuing in respect of a series of Securities, the Holders of a majority in aggregate principal amount of the Outstanding Securities of that series shall have the right to direct the time, method and place of conducting any proceeding for any remedy available to the Trustee, or exercising any trust or power conferred on the Trustee, with respect to the Securities of such series or Tranche;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an Event of Default has occurred and is continuing with respect to more than one series of Securities of equal ranking, the Holders of a majority in aggregate principal amount of the Outstanding Securities of all such series of equal ranking, considered as one class, shall have the right to make such direction, and not the Holders of the Securities of any one of such series of equal ranking; </w:t>
      </w: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w:t>
      </w:r>
    </w:p>
    <w:p>
      <w:pPr>
        <w:spacing w:after="0" w:line="77" w:lineRule="exact"/>
        <w:rPr>
          <w:sz w:val="20"/>
          <w:szCs w:val="20"/>
          <w:color w:val="auto"/>
        </w:rPr>
      </w:pPr>
    </w:p>
    <w:p>
      <w:pPr>
        <w:ind w:left="1120" w:hanging="261"/>
        <w:spacing w:after="0"/>
        <w:tabs>
          <w:tab w:leader="none" w:pos="11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which is not inconsistent with such direction.</w:t>
      </w:r>
    </w:p>
    <w:p>
      <w:pPr>
        <w:spacing w:after="0" w:line="223"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i w:val="1"/>
          <w:iCs w:val="1"/>
          <w:color w:val="auto"/>
        </w:rPr>
        <w:t>Waiver of Past Defaults</w:t>
      </w:r>
      <w:r>
        <w:rPr>
          <w:rFonts w:ascii="Times New Roman" w:cs="Times New Roman" w:eastAsia="Times New Roman" w:hAnsi="Times New Roman"/>
          <w:sz w:val="18"/>
          <w:szCs w:val="18"/>
          <w:color w:val="auto"/>
        </w:rPr>
        <w:t xml:space="preserve">. The Holders of not less than a majority in aggregate principal amount of the Outstanding Securities of any series may on behalf of the Holders of all the Securities of such series waive any past default hereunder with respect to such series and its consequences;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past default has occurred with respect to more than one series of Securities of equal ranking, the Holders of a majority in aggregate principal amount of the Outstanding Securities of all such series of equal ranking, considered as one class, may make such waiver, and not the Holders of the Securities of any one of such series of equal ranking, in each case, except a default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8" w:right="459" w:bottom="1440" w:gutter="0" w:footer="0" w:header="0"/>
        </w:sectPr>
      </w:pPr>
    </w:p>
    <w:bookmarkStart w:id="64" w:name="page65"/>
    <w:bookmarkEnd w:id="64"/>
    <w:p>
      <w:pPr>
        <w:ind w:left="1120" w:hanging="261"/>
        <w:spacing w:after="0"/>
        <w:tabs>
          <w:tab w:leader="none" w:pos="11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payment of the principal of or premium or interest on any Security of such series, or</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hereof that under Section 902 cannot be modified or amended without the consent of the Holder of each Outstanding Security of such series affected.</w:t>
      </w:r>
    </w:p>
    <w:p>
      <w:pPr>
        <w:spacing w:after="0" w:line="162"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60"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i w:val="1"/>
          <w:iCs w:val="1"/>
          <w:color w:val="auto"/>
        </w:rPr>
        <w:t>Undertaking for Costs</w:t>
      </w:r>
      <w:r>
        <w:rPr>
          <w:rFonts w:ascii="Times New Roman" w:cs="Times New Roman" w:eastAsia="Times New Roman" w:hAnsi="Times New Roman"/>
          <w:sz w:val="18"/>
          <w:szCs w:val="18"/>
          <w:color w:val="auto"/>
        </w:rPr>
        <w:t>. All parties to this Indenture agree, and each Holder of any Security by such Holder’s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aggregate principal amount of the Outstanding Securities of all series in respect of which such suit may be brought, considered as one class, or to any suit instituted by any Holder for the enforcement of the payment of the principal of or any premium or interest on any Security on or after the Stated Maturity or Maturities expressed in such Security (or, in the case of redemption, on or after the Redemption Date, or, in the case of repayment at the option of the Holder, on or after the Repayment Date).</w:t>
      </w:r>
    </w:p>
    <w:p>
      <w:pPr>
        <w:spacing w:after="0" w:line="18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i w:val="1"/>
          <w:iCs w:val="1"/>
          <w:color w:val="auto"/>
        </w:rPr>
        <w:t>Waiver of Stay or Extension Laws</w:t>
      </w:r>
      <w:r>
        <w:rPr>
          <w:rFonts w:ascii="Times New Roman" w:cs="Times New Roman" w:eastAsia="Times New Roman" w:hAnsi="Times New Roman"/>
          <w:sz w:val="18"/>
          <w:szCs w:val="18"/>
          <w:color w:val="auto"/>
        </w:rPr>
        <w:t>. 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SIX</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Certain Duties and Responsibilities</w:t>
      </w:r>
      <w:r>
        <w:rPr>
          <w:rFonts w:ascii="Times New Roman" w:cs="Times New Roman" w:eastAsia="Times New Roman" w:hAnsi="Times New Roman"/>
          <w:sz w:val="18"/>
          <w:szCs w:val="18"/>
          <w:color w:val="auto"/>
        </w:rPr>
        <w:t>. (a) Except during the continuance of an Event of Default with respect to Securities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series,</w:t>
      </w:r>
    </w:p>
    <w:p>
      <w:pPr>
        <w:spacing w:after="0" w:line="99" w:lineRule="exact"/>
        <w:rPr>
          <w:sz w:val="20"/>
          <w:szCs w:val="20"/>
          <w:color w:val="auto"/>
        </w:rPr>
      </w:pPr>
    </w:p>
    <w:p>
      <w:pPr>
        <w:ind w:left="440" w:right="100" w:firstLine="419"/>
        <w:spacing w:after="0" w:line="282" w:lineRule="auto"/>
        <w:tabs>
          <w:tab w:leader="none" w:pos="111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undertakes to perform, with respect to Securities of such series, such duties and only such duties as are specifically set forth in this Indenture, and no implied covenants or obligations shall be read into this Indenture against the Trustee; and</w:t>
      </w:r>
    </w:p>
    <w:p>
      <w:pPr>
        <w:spacing w:after="0" w:line="53" w:lineRule="exact"/>
        <w:rPr>
          <w:rFonts w:ascii="Times New Roman" w:cs="Times New Roman" w:eastAsia="Times New Roman" w:hAnsi="Times New Roman"/>
          <w:sz w:val="18"/>
          <w:szCs w:val="18"/>
          <w:color w:val="auto"/>
        </w:rPr>
      </w:pPr>
    </w:p>
    <w:p>
      <w:pPr>
        <w:ind w:left="440" w:right="180" w:firstLine="419"/>
        <w:spacing w:after="0" w:line="258" w:lineRule="auto"/>
        <w:tabs>
          <w:tab w:leader="none" w:pos="111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with respect to Securities of such series,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75"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with respect to Securities of any series has occurred and is continuing, the Trustee shall exercise, with respect to Securities of such series, such of the rights and powers vested in it by this Indenture, and use the same degree of care and skill in their exercise, as a prudent man would exercise or use under the circumstances in the conduct of his own affairs.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40" w:top="270" w:right="499" w:bottom="1440" w:gutter="0" w:footer="0" w:header="0"/>
        </w:sectPr>
      </w:pPr>
    </w:p>
    <w:bookmarkStart w:id="65" w:name="page66"/>
    <w:bookmarkEnd w:id="65"/>
    <w:p>
      <w:pPr>
        <w:ind w:right="320" w:firstLine="987"/>
        <w:spacing w:after="0" w:line="282" w:lineRule="auto"/>
        <w:tabs>
          <w:tab w:leader="none" w:pos="123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No provision of this Indenture shall be construed to relieve the Trustee from liability for its own negligent action, its own negligent failure to act, or its own willful misconduct,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xml:space="preserve"> that</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subsection shall not be construed to limit the effect of sub-section (a) of this Section;</w:t>
      </w:r>
    </w:p>
    <w:p>
      <w:pPr>
        <w:spacing w:after="0" w:line="117" w:lineRule="exact"/>
        <w:rPr>
          <w:rFonts w:ascii="Times New Roman" w:cs="Times New Roman" w:eastAsia="Times New Roman" w:hAnsi="Times New Roman"/>
          <w:sz w:val="18"/>
          <w:szCs w:val="18"/>
          <w:color w:val="auto"/>
        </w:rPr>
      </w:pPr>
    </w:p>
    <w:p>
      <w:pPr>
        <w:ind w:left="440" w:firstLine="948"/>
        <w:spacing w:after="0" w:line="282" w:lineRule="auto"/>
        <w:tabs>
          <w:tab w:leader="none" w:pos="164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53" w:lineRule="exact"/>
        <w:rPr>
          <w:rFonts w:ascii="Times New Roman" w:cs="Times New Roman" w:eastAsia="Times New Roman" w:hAnsi="Times New Roman"/>
          <w:sz w:val="18"/>
          <w:szCs w:val="18"/>
          <w:color w:val="auto"/>
        </w:rPr>
      </w:pPr>
    </w:p>
    <w:p>
      <w:pPr>
        <w:ind w:left="440" w:right="200" w:firstLine="948"/>
        <w:spacing w:after="0" w:line="261" w:lineRule="auto"/>
        <w:tabs>
          <w:tab w:leader="none" w:pos="164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a majority in aggregate principal amount of the Outstanding Securities of any one or more series, as provided herein, relating to the time, method and place of conducting any proceeding for any remedy available to the Trustee, or exercising any trust or power conferred upon the Trustee, under this Indenture with respect to the Securities of such series; and</w:t>
      </w:r>
    </w:p>
    <w:p>
      <w:pPr>
        <w:spacing w:after="0" w:line="71" w:lineRule="exact"/>
        <w:rPr>
          <w:rFonts w:ascii="Times New Roman" w:cs="Times New Roman" w:eastAsia="Times New Roman" w:hAnsi="Times New Roman"/>
          <w:sz w:val="18"/>
          <w:szCs w:val="18"/>
          <w:color w:val="auto"/>
        </w:rPr>
      </w:pPr>
    </w:p>
    <w:p>
      <w:pPr>
        <w:ind w:left="440" w:right="40" w:firstLine="948"/>
        <w:spacing w:after="0" w:line="266" w:lineRule="auto"/>
        <w:tabs>
          <w:tab w:leader="none" w:pos="164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expend or risk its own funds or otherwise incur any financial liability in the performance of any of its duties hereunder, or in the exercise of any of its rights or powers, if it has reasonable grounds for believing that repayment of such funds or adequate indemnity against such risk or liability is not reasonably assured to it.</w:t>
      </w:r>
    </w:p>
    <w:p>
      <w:pPr>
        <w:spacing w:after="0" w:line="67" w:lineRule="exact"/>
        <w:rPr>
          <w:rFonts w:ascii="Times New Roman" w:cs="Times New Roman" w:eastAsia="Times New Roman" w:hAnsi="Times New Roman"/>
          <w:sz w:val="18"/>
          <w:szCs w:val="18"/>
          <w:color w:val="auto"/>
        </w:rPr>
      </w:pPr>
    </w:p>
    <w:p>
      <w:pPr>
        <w:ind w:right="260" w:firstLine="987"/>
        <w:spacing w:after="0" w:line="282" w:lineRule="auto"/>
        <w:tabs>
          <w:tab w:leader="none" w:pos="12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160"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Notice of Defaults</w:t>
      </w:r>
      <w:r>
        <w:rPr>
          <w:rFonts w:ascii="Times New Roman" w:cs="Times New Roman" w:eastAsia="Times New Roman" w:hAnsi="Times New Roman"/>
          <w:sz w:val="18"/>
          <w:szCs w:val="18"/>
          <w:color w:val="auto"/>
        </w:rPr>
        <w:t xml:space="preserve">. Within 90 days after the occurrence of any default hereunder with respect to the Securities of any series, the Trustee shall transmit by mail to all Holders of Securities of such series entitled to receive reports pursuant to Section 704(3) notice of such default hereunder known to the Trustee, unless such default shall have been cured or waived;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except in the case of a default in the payment of the principal of or any premium or interest on any Security of such series or in the payment of any sinking fund installment with respect to Securities of such series, the Trustee shall be protected in withholding such notice if and so long as the board of directors, the executive committee or a trust committee of directors or Responsible Officers of the Trustee in good faith determine that the withholding of such notice is in the interest of the Holders of Securities of such series;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in the case of any default of the character specified in Section 501(4) with respect to Securities of such series, no such notice to Holders shall be given until at least 75 days after the occurrence thereof. For the purpose of this Section, the term “</w:t>
      </w:r>
      <w:r>
        <w:rPr>
          <w:rFonts w:ascii="Times New Roman" w:cs="Times New Roman" w:eastAsia="Times New Roman" w:hAnsi="Times New Roman"/>
          <w:sz w:val="18"/>
          <w:szCs w:val="18"/>
          <w:b w:val="1"/>
          <w:bCs w:val="1"/>
          <w:i w:val="1"/>
          <w:iCs w:val="1"/>
          <w:color w:val="auto"/>
        </w:rPr>
        <w:t>default</w:t>
      </w:r>
      <w:r>
        <w:rPr>
          <w:rFonts w:ascii="Times New Roman" w:cs="Times New Roman" w:eastAsia="Times New Roman" w:hAnsi="Times New Roman"/>
          <w:sz w:val="18"/>
          <w:szCs w:val="18"/>
          <w:color w:val="auto"/>
        </w:rPr>
        <w:t>” means any event that is, or after notice or lapse of time or both would become, an Event of Default with respect to Securities of such series.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Certain Rights of Trustee</w:t>
      </w:r>
      <w:r>
        <w:rPr>
          <w:rFonts w:ascii="Times New Roman" w:cs="Times New Roman" w:eastAsia="Times New Roman" w:hAnsi="Times New Roman"/>
          <w:sz w:val="18"/>
          <w:szCs w:val="18"/>
          <w:color w:val="auto"/>
        </w:rPr>
        <w:t>. Subject to the provisions of Section 601 and to the applicable provisions of the Trust Indenture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99" w:lineRule="exact"/>
        <w:rPr>
          <w:sz w:val="20"/>
          <w:szCs w:val="20"/>
          <w:color w:val="auto"/>
        </w:rPr>
      </w:pPr>
    </w:p>
    <w:p>
      <w:pPr>
        <w:ind w:left="440" w:right="340" w:firstLine="419"/>
        <w:spacing w:after="0" w:line="266" w:lineRule="auto"/>
        <w:tabs>
          <w:tab w:leader="none" w:pos="110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reasonably believed by it to be genuine and to have been signed or presented by the proper party or parties;</w:t>
      </w:r>
    </w:p>
    <w:p>
      <w:pPr>
        <w:spacing w:after="0" w:line="6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or direction of the Company mentioned herein shall be sufficiently evidenced by a Company Request or Company Order, or as otherwise expressly provided herein, and any resolution of the Board of Directors may be sufficiently evidenced by a Board Resolution;</w:t>
      </w:r>
    </w:p>
    <w:p>
      <w:pPr>
        <w:spacing w:after="0" w:line="53" w:lineRule="exact"/>
        <w:rPr>
          <w:rFonts w:ascii="Times New Roman" w:cs="Times New Roman" w:eastAsia="Times New Roman" w:hAnsi="Times New Roman"/>
          <w:sz w:val="18"/>
          <w:szCs w:val="18"/>
          <w:color w:val="auto"/>
        </w:rPr>
      </w:pPr>
    </w:p>
    <w:p>
      <w:pPr>
        <w:ind w:left="440" w:firstLine="419"/>
        <w:spacing w:after="0" w:line="261" w:lineRule="auto"/>
        <w:tabs>
          <w:tab w:leader="none" w:pos="110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 and such Officer’s Certificate, in the absence of negligence or bad faith on the part of the Trustee, shall be full warrant to the Trustee for any action taken, suffered or omitted by it under the provisions of this Indenture upon the faith thereof;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66" w:name="page67"/>
    <w:bookmarkEnd w:id="66"/>
    <w:p>
      <w:pPr>
        <w:ind w:left="440" w:right="540" w:firstLine="419"/>
        <w:spacing w:after="0" w:line="312" w:lineRule="auto"/>
        <w:tabs>
          <w:tab w:leader="none" w:pos="1118"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31" w:lineRule="exact"/>
        <w:rPr>
          <w:rFonts w:ascii="Times New Roman" w:cs="Times New Roman" w:eastAsia="Times New Roman" w:hAnsi="Times New Roman"/>
          <w:sz w:val="17"/>
          <w:szCs w:val="17"/>
          <w:color w:val="auto"/>
        </w:rPr>
      </w:pPr>
    </w:p>
    <w:p>
      <w:pPr>
        <w:ind w:left="440" w:right="60" w:firstLine="419"/>
        <w:spacing w:after="0" w:line="266" w:lineRule="auto"/>
        <w:tabs>
          <w:tab w:leader="none" w:pos="110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that might be incurred by it in compliance with such request or direction;</w:t>
      </w:r>
    </w:p>
    <w:p>
      <w:pPr>
        <w:spacing w:after="0" w:line="67" w:lineRule="exact"/>
        <w:rPr>
          <w:rFonts w:ascii="Times New Roman" w:cs="Times New Roman" w:eastAsia="Times New Roman" w:hAnsi="Times New Roman"/>
          <w:sz w:val="18"/>
          <w:szCs w:val="18"/>
          <w:color w:val="auto"/>
        </w:rPr>
      </w:pPr>
    </w:p>
    <w:p>
      <w:pPr>
        <w:ind w:left="440" w:right="460" w:firstLine="419"/>
        <w:spacing w:after="0" w:line="289" w:lineRule="auto"/>
        <w:tabs>
          <w:tab w:leader="none" w:pos="1088"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w:t>
      </w:r>
    </w:p>
    <w:p>
      <w:pPr>
        <w:spacing w:after="0" w:line="49" w:lineRule="exact"/>
        <w:rPr>
          <w:rFonts w:ascii="Times New Roman" w:cs="Times New Roman" w:eastAsia="Times New Roman" w:hAnsi="Times New Roman"/>
          <w:sz w:val="17"/>
          <w:szCs w:val="17"/>
          <w:color w:val="auto"/>
        </w:rPr>
      </w:pPr>
    </w:p>
    <w:p>
      <w:pPr>
        <w:ind w:left="440" w:firstLine="419"/>
        <w:spacing w:after="0" w:line="266" w:lineRule="auto"/>
        <w:tabs>
          <w:tab w:leader="none" w:pos="111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74" w:lineRule="exact"/>
        <w:rPr>
          <w:sz w:val="20"/>
          <w:szCs w:val="20"/>
          <w:color w:val="auto"/>
        </w:rPr>
      </w:pPr>
    </w:p>
    <w:p>
      <w:pPr>
        <w:ind w:firstLine="991"/>
        <w:spacing w:after="0" w:line="281" w:lineRule="auto"/>
        <w:rPr>
          <w:sz w:val="20"/>
          <w:szCs w:val="20"/>
          <w:color w:val="auto"/>
        </w:rPr>
      </w:pPr>
      <w:r>
        <w:rPr>
          <w:rFonts w:ascii="Times New Roman" w:cs="Times New Roman" w:eastAsia="Times New Roman" w:hAnsi="Times New Roman"/>
          <w:sz w:val="17"/>
          <w:szCs w:val="17"/>
          <w:color w:val="auto"/>
        </w:rPr>
        <w:t xml:space="preserve">SECTION 604. </w:t>
      </w:r>
      <w:r>
        <w:rPr>
          <w:rFonts w:ascii="Times New Roman" w:cs="Times New Roman" w:eastAsia="Times New Roman" w:hAnsi="Times New Roman"/>
          <w:sz w:val="17"/>
          <w:szCs w:val="17"/>
          <w:i w:val="1"/>
          <w:iCs w:val="1"/>
          <w:color w:val="auto"/>
        </w:rPr>
        <w:t>Not Responsible for Recitals or Issuance of Securities</w:t>
      </w:r>
      <w:r>
        <w:rPr>
          <w:rFonts w:ascii="Times New Roman" w:cs="Times New Roman" w:eastAsia="Times New Roman" w:hAnsi="Times New Roman"/>
          <w:sz w:val="17"/>
          <w:szCs w:val="17"/>
          <w:color w:val="auto"/>
        </w:rPr>
        <w:t>. The recitals contained herein and in the Securities, except the Trustee’s certificate of authentication, shall be taken as the statements of the Company, and the Trustee or any Authenticating Agent assumes no responsibility for their correctness. The Trustee makes no representations as to the validity or sufficiency of this Indenture or of the Securities of any series. The Trustee or any Authenticating Agent shall not be accountable for the use or application by the Company of Securities or the proceeds thereof.</w:t>
      </w:r>
    </w:p>
    <w:p>
      <w:pPr>
        <w:spacing w:after="0" w:line="164"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May Hold Securities</w:t>
      </w:r>
      <w:r>
        <w:rPr>
          <w:rFonts w:ascii="Times New Roman" w:cs="Times New Roman" w:eastAsia="Times New Roman" w:hAnsi="Times New Roman"/>
          <w:sz w:val="18"/>
          <w:szCs w:val="18"/>
          <w:color w:val="auto"/>
        </w:rPr>
        <w:t>. The Trustee, any Authenticating Agent, any Paying Agent, any Security Registrar or any other agent of the Company or the Trustee, in its individual or any other capacity, may become the owner or pledgee of Securities and, subject to Sections 608 and 613, may otherwise deal with the Company with the same rights it would have if it were not Trustee, Authenticating Agent, Paying Agent, Security Registrar or such other agent.</w:t>
      </w:r>
    </w:p>
    <w:p>
      <w:pPr>
        <w:spacing w:after="0" w:line="180" w:lineRule="exact"/>
        <w:rPr>
          <w:sz w:val="20"/>
          <w:szCs w:val="20"/>
          <w:color w:val="auto"/>
        </w:rPr>
      </w:pPr>
    </w:p>
    <w:p>
      <w:pPr>
        <w:ind w:right="40" w:firstLine="991"/>
        <w:spacing w:after="0" w:line="290" w:lineRule="auto"/>
        <w:rPr>
          <w:sz w:val="20"/>
          <w:szCs w:val="20"/>
          <w:color w:val="auto"/>
        </w:rPr>
      </w:pPr>
      <w:r>
        <w:rPr>
          <w:rFonts w:ascii="Times New Roman" w:cs="Times New Roman" w:eastAsia="Times New Roman" w:hAnsi="Times New Roman"/>
          <w:sz w:val="17"/>
          <w:szCs w:val="17"/>
          <w:color w:val="auto"/>
        </w:rPr>
        <w:t xml:space="preserve">SECTION 606. </w:t>
      </w:r>
      <w:r>
        <w:rPr>
          <w:rFonts w:ascii="Times New Roman" w:cs="Times New Roman" w:eastAsia="Times New Roman" w:hAnsi="Times New Roman"/>
          <w:sz w:val="17"/>
          <w:szCs w:val="17"/>
          <w:i w:val="1"/>
          <w:iCs w:val="1"/>
          <w:color w:val="auto"/>
        </w:rPr>
        <w:t>Money Held in Trust</w:t>
      </w:r>
      <w:r>
        <w:rPr>
          <w:rFonts w:ascii="Times New Roman" w:cs="Times New Roman" w:eastAsia="Times New Roman" w:hAnsi="Times New Roman"/>
          <w:sz w:val="17"/>
          <w:szCs w:val="17"/>
          <w:color w:val="auto"/>
        </w:rPr>
        <w:t>. Money held by the Trustee or by any Paying Agent (other than the Company if the Company shall act as Paying Agent) in trust hereunder need not be segregated from other funds except to the extent required by law. Neither the Trustee nor any Paying Agent shall be liable for interest on any money received by it hereunder except as expressly provided herein or otherwise agreed with the Company.</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Compensation and Reimbursement</w:t>
      </w:r>
      <w:r>
        <w:rPr>
          <w:rFonts w:ascii="Times New Roman" w:cs="Times New Roman" w:eastAsia="Times New Roman" w:hAnsi="Times New Roman"/>
          <w:sz w:val="18"/>
          <w:szCs w:val="18"/>
          <w:color w:val="auto"/>
        </w:rPr>
        <w:t>. The Company agrees</w:t>
      </w:r>
    </w:p>
    <w:p>
      <w:pPr>
        <w:spacing w:after="0" w:line="119" w:lineRule="exact"/>
        <w:rPr>
          <w:sz w:val="20"/>
          <w:szCs w:val="20"/>
          <w:color w:val="auto"/>
        </w:rPr>
      </w:pPr>
    </w:p>
    <w:p>
      <w:pPr>
        <w:ind w:left="440" w:right="80" w:firstLine="419"/>
        <w:spacing w:after="0" w:line="282" w:lineRule="auto"/>
        <w:tabs>
          <w:tab w:leader="none" w:pos="111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53"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1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willful misconduct or bad faith; and</w:t>
      </w:r>
    </w:p>
    <w:p>
      <w:pPr>
        <w:spacing w:after="0" w:line="71" w:lineRule="exact"/>
        <w:rPr>
          <w:rFonts w:ascii="Times New Roman" w:cs="Times New Roman" w:eastAsia="Times New Roman" w:hAnsi="Times New Roman"/>
          <w:sz w:val="18"/>
          <w:szCs w:val="18"/>
          <w:color w:val="auto"/>
        </w:rPr>
      </w:pPr>
    </w:p>
    <w:p>
      <w:pPr>
        <w:ind w:left="440" w:right="160" w:firstLine="419"/>
        <w:spacing w:after="0" w:line="261" w:lineRule="auto"/>
        <w:tabs>
          <w:tab w:leader="none" w:pos="111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the Trustee for, and to hold it harmless against, any loss, liability or expense reasonably incurred without negligence, willful misconduct or bad faith on its part, arising out of or in connection with the acceptance or administration of the trust or trusts hereunder or performance of its duties hereunder, including the costs and expenses of defending itself against any claim or liability in connection with the exercise or performance of any of its powers or duties hereunder.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67" w:name="page68"/>
    <w:bookmarkEnd w:id="67"/>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security for the performance of the obligations of the Company under this Section, the Trustee shall have a claim prior to the Securities upon all property and funds held or collected by the Trustee as such, except property and funds held in trust for the payment of principal of and any premium and interest on particular Securities.</w:t>
      </w:r>
    </w:p>
    <w:p>
      <w:pPr>
        <w:spacing w:after="0" w:line="174"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Disqualification; Conflicting Interests</w:t>
      </w:r>
      <w:r>
        <w:rPr>
          <w:rFonts w:ascii="Times New Roman" w:cs="Times New Roman" w:eastAsia="Times New Roman" w:hAnsi="Times New Roman"/>
          <w:sz w:val="18"/>
          <w:szCs w:val="18"/>
          <w:color w:val="auto"/>
        </w:rPr>
        <w:t>. If the Trustee has or acquires any conflicting interest within the meaning of the Trust Indenture Act with respect to the Securities of any series, it shall either eliminate such conflicting interest or resign to the extent, in the manner and with the effect, and subject to the conditions, provided in the Trust Indenture Act and this Indenture. For purposes of Section 310(b)(1) of the Trust Indenture Act and to the extent permitted thereby, the Trustee, in its capacity as trustee in respect of the equally ranked and unsecured Securities of any series, shall not be deemed to have a conflicting interest arising from its capacity as trustee in respect of the equally ranked and unsecured Securities of any other series under this Indenture.</w:t>
      </w:r>
    </w:p>
    <w:p>
      <w:pPr>
        <w:spacing w:after="0" w:line="182"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Corporate Trustee Required; Eligibility</w:t>
      </w:r>
      <w:r>
        <w:rPr>
          <w:rFonts w:ascii="Times New Roman" w:cs="Times New Roman" w:eastAsia="Times New Roman" w:hAnsi="Times New Roman"/>
          <w:sz w:val="18"/>
          <w:szCs w:val="18"/>
          <w:color w:val="auto"/>
        </w:rPr>
        <w:t xml:space="preserve">. There shall at all times be a Trustee hereunder that shall be a Person that is eligible pursuant to the Trust Indenture Act to act as such, having a combined capital and surplus of at least $50,000,000, subject to supervision or examination by federal or state authority and qualified and eligible under this Article,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the Company nor any Affiliate of the Company or any obligor on the Securities may serve as Trustee of any Securities. If such corporation publishes reports of condition at least annually, pursuant to law or to the requirements of said supervising or examining authority, then for the purposes of this Section, the combined capital and surplus of such corporation shall be deemed to be its combined capital and surplus as set forth in its most recent report of condition so published. If at any time the Trustee ceases to be eligible in accordance with the provisions of this Section, it shall resign immediately in the manner and with the effect hereinafter specified in this Article.</w:t>
      </w:r>
    </w:p>
    <w:p>
      <w:pPr>
        <w:spacing w:after="0" w:line="185" w:lineRule="exact"/>
        <w:rPr>
          <w:sz w:val="20"/>
          <w:szCs w:val="20"/>
          <w:color w:val="auto"/>
        </w:rPr>
      </w:pPr>
    </w:p>
    <w:p>
      <w:pPr>
        <w:jc w:val="both"/>
        <w:ind w:right="100" w:firstLine="991"/>
        <w:spacing w:after="0" w:line="267"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Resignation and Removal; Appointment of Successor</w:t>
      </w:r>
      <w:r>
        <w:rPr>
          <w:rFonts w:ascii="Times New Roman" w:cs="Times New Roman" w:eastAsia="Times New Roman" w:hAnsi="Times New Roman"/>
          <w:sz w:val="18"/>
          <w:szCs w:val="18"/>
          <w:color w:val="auto"/>
        </w:rPr>
        <w:t>. (a) 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67" w:lineRule="exact"/>
        <w:rPr>
          <w:sz w:val="20"/>
          <w:szCs w:val="20"/>
          <w:color w:val="auto"/>
        </w:rPr>
      </w:pPr>
    </w:p>
    <w:p>
      <w:pPr>
        <w:ind w:right="140" w:firstLine="987"/>
        <w:spacing w:after="0" w:line="261" w:lineRule="auto"/>
        <w:tabs>
          <w:tab w:leader="none" w:pos="124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resign at any time with respect to the Securities of one or more series by giving written notice thereof to the Company. If the instrument of acceptance by a successor Trustee required by Section 611 has not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7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at any time by a Board Resolution remove the Trustee with respect to the Securities of any or all series.</w:t>
      </w:r>
    </w:p>
    <w:p>
      <w:pPr>
        <w:spacing w:after="0" w:line="117" w:lineRule="exact"/>
        <w:rPr>
          <w:rFonts w:ascii="Times New Roman" w:cs="Times New Roman" w:eastAsia="Times New Roman" w:hAnsi="Times New Roman"/>
          <w:sz w:val="18"/>
          <w:szCs w:val="18"/>
          <w:color w:val="auto"/>
        </w:rPr>
      </w:pPr>
    </w:p>
    <w:p>
      <w:pPr>
        <w:ind w:right="220" w:firstLine="987"/>
        <w:spacing w:after="0" w:line="282" w:lineRule="auto"/>
        <w:tabs>
          <w:tab w:leader="none" w:pos="124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be removed at any time with respect to the Securities of any series by Act of the Holders of a majority in aggregate principal amount of the Outstanding Securities of such series, delivered to the Trustee and to the Company.</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w:t>
      </w:r>
    </w:p>
    <w:p>
      <w:pPr>
        <w:spacing w:after="0" w:line="117" w:lineRule="exact"/>
        <w:rPr>
          <w:rFonts w:ascii="Times New Roman" w:cs="Times New Roman" w:eastAsia="Times New Roman" w:hAnsi="Times New Roman"/>
          <w:sz w:val="18"/>
          <w:szCs w:val="18"/>
          <w:color w:val="auto"/>
        </w:rPr>
      </w:pPr>
    </w:p>
    <w:p>
      <w:pPr>
        <w:ind w:left="440" w:right="440" w:firstLine="948"/>
        <w:spacing w:after="0" w:line="282" w:lineRule="auto"/>
        <w:tabs>
          <w:tab w:leader="none" w:pos="1647"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608 with respect to the Securities of any series, after written request therefor by the Company or by any Holder who has been a bona fide Holder of a Security of such series for at least six months, or</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ceases to be eligible under Section 609 and fails to resign after written request therefor by the Company or by any</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68" w:name="page69"/>
    <w:bookmarkEnd w:id="68"/>
    <w:p>
      <w:pPr>
        <w:ind w:left="440" w:right="440" w:firstLine="948"/>
        <w:spacing w:after="0" w:line="266" w:lineRule="auto"/>
        <w:tabs>
          <w:tab w:leader="none" w:pos="164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Trustee becomes incapable of acting or becomes adjudged a bankrupt or insolvent or a receiver of the Trustee or of its property is appointed or any public officer takes charge or control of the Trustee or of its property or affairs for the purpose of rehabilitation, conservation or liquidation,</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then, in any such case,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68" w:lineRule="exact"/>
        <w:rPr>
          <w:sz w:val="20"/>
          <w:szCs w:val="20"/>
          <w:color w:val="auto"/>
        </w:rPr>
      </w:pPr>
    </w:p>
    <w:p>
      <w:pPr>
        <w:ind w:firstLine="987"/>
        <w:spacing w:after="0" w:line="253" w:lineRule="auto"/>
        <w:tabs>
          <w:tab w:leader="none" w:pos="121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resigns, is removed or becomes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is appointed by Act of the Holders of a majority in aggregate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has been so appointed by the Company or the Holders and accepted appointment in the manner required by Section 611, any Holder who has been a bona fide Holder of a Security of such series for at least six months may, subject to Section 514, on behalf of himself and all others similarly situated, petition any court of competent jurisdiction for the appointment of a successor Trustee with respect to the Securities of such series.</w:t>
      </w:r>
    </w:p>
    <w:p>
      <w:pPr>
        <w:spacing w:after="0" w:line="79" w:lineRule="exact"/>
        <w:rPr>
          <w:rFonts w:ascii="Times New Roman" w:cs="Times New Roman" w:eastAsia="Times New Roman" w:hAnsi="Times New Roman"/>
          <w:sz w:val="18"/>
          <w:szCs w:val="18"/>
          <w:color w:val="auto"/>
        </w:rPr>
      </w:pPr>
    </w:p>
    <w:p>
      <w:pPr>
        <w:ind w:right="160" w:firstLine="987"/>
        <w:spacing w:after="0" w:line="261" w:lineRule="auto"/>
        <w:tabs>
          <w:tab w:leader="none" w:pos="124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notice of each resignation and each removal of the Trustee with respect to the Securities of any series and each appointment of a successor Trustee with respect to the Securities of any series by mailing written notice of such event by first-class mail, postage prepaid, to all Holders of Securities of such series entitled to receive reports pursuant to Section 704(3). Each notice shall include the name of the successor Trustee with respect to the Securities of such series and the address of its Corporate Trust Office.</w:t>
      </w:r>
    </w:p>
    <w:p>
      <w:pPr>
        <w:spacing w:after="0" w:line="71"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provisions of this Section except subparagraph (d) and Section 611(b) (except for the last clause, after omitting the words “after deducting all amounts owed to the retiring Trustee pursuant to Section 607,” which shall apply) shall apply also to any Paying Agent located outside the United States and its possessions.</w:t>
      </w:r>
    </w:p>
    <w:p>
      <w:pPr>
        <w:spacing w:after="0" w:line="174"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Acceptance of Appointment by Successor</w:t>
      </w:r>
      <w:r>
        <w:rPr>
          <w:rFonts w:ascii="Times New Roman" w:cs="Times New Roman" w:eastAsia="Times New Roman" w:hAnsi="Times New Roman"/>
          <w:sz w:val="18"/>
          <w:szCs w:val="18"/>
          <w:color w:val="auto"/>
        </w:rPr>
        <w:t>. (a) In case of the appointment hereunder of a successor Trustee with respect to the Securities of all series,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77" w:lineRule="exact"/>
        <w:rPr>
          <w:sz w:val="20"/>
          <w:szCs w:val="20"/>
          <w:color w:val="auto"/>
        </w:rPr>
      </w:pPr>
    </w:p>
    <w:p>
      <w:pPr>
        <w:ind w:right="100" w:firstLine="987"/>
        <w:spacing w:after="0" w:line="254" w:lineRule="auto"/>
        <w:tabs>
          <w:tab w:leader="none" w:pos="12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70" w:right="479" w:bottom="1440" w:gutter="0" w:footer="0" w:header="0"/>
        </w:sectPr>
      </w:pPr>
    </w:p>
    <w:bookmarkStart w:id="69" w:name="page70"/>
    <w:bookmarkEnd w:id="69"/>
    <w:p>
      <w:pPr>
        <w:ind w:right="1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84" w:lineRule="exact"/>
        <w:rPr>
          <w:sz w:val="20"/>
          <w:szCs w:val="20"/>
          <w:color w:val="auto"/>
        </w:rPr>
      </w:pPr>
    </w:p>
    <w:p>
      <w:pPr>
        <w:ind w:right="80" w:firstLine="987"/>
        <w:spacing w:after="0" w:line="282" w:lineRule="auto"/>
        <w:tabs>
          <w:tab w:leader="none" w:pos="123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53" w:lineRule="exact"/>
        <w:rPr>
          <w:rFonts w:ascii="Times New Roman" w:cs="Times New Roman" w:eastAsia="Times New Roman" w:hAnsi="Times New Roman"/>
          <w:sz w:val="18"/>
          <w:szCs w:val="18"/>
          <w:color w:val="auto"/>
        </w:rPr>
      </w:pPr>
    </w:p>
    <w:p>
      <w:pPr>
        <w:ind w:right="200" w:firstLine="987"/>
        <w:spacing w:after="0" w:line="282" w:lineRule="auto"/>
        <w:tabs>
          <w:tab w:leader="none" w:pos="124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160"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i w:val="1"/>
          <w:iCs w:val="1"/>
          <w:color w:val="auto"/>
        </w:rPr>
        <w:t>Merger, Conversion, Consolidation or Succession to Business</w:t>
      </w:r>
      <w:r>
        <w:rPr>
          <w:rFonts w:ascii="Times New Roman" w:cs="Times New Roman" w:eastAsia="Times New Roman" w:hAnsi="Times New Roman"/>
          <w:sz w:val="18"/>
          <w:szCs w:val="18"/>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In case any Securities shall not have been authenticated by such predecessor Trustee, any such successor Trustee may authenticate and deliver such Securities, in either its own name or that of its predecessor Trustee, with the full force and effect which this Indenture provides for the certificate of authentication of the Trustee.</w:t>
      </w:r>
    </w:p>
    <w:p>
      <w:pPr>
        <w:spacing w:after="0" w:line="188" w:lineRule="exact"/>
        <w:rPr>
          <w:sz w:val="20"/>
          <w:szCs w:val="20"/>
          <w:color w:val="auto"/>
        </w:rPr>
      </w:pPr>
    </w:p>
    <w:p>
      <w:pPr>
        <w:jc w:val="both"/>
        <w:ind w:right="660" w:firstLine="991"/>
        <w:spacing w:after="0" w:line="267"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i w:val="1"/>
          <w:iCs w:val="1"/>
          <w:color w:val="auto"/>
        </w:rPr>
        <w:t>Preferential Collection of Claims Against Company</w:t>
      </w:r>
      <w:r>
        <w:rPr>
          <w:rFonts w:ascii="Times New Roman" w:cs="Times New Roman" w:eastAsia="Times New Roman" w:hAnsi="Times New Roman"/>
          <w:sz w:val="18"/>
          <w:szCs w:val="18"/>
          <w:color w:val="auto"/>
        </w:rPr>
        <w:t>. The Trustee shall comply with Trust Indenture Act § 311(a), excluding any creditor relationship listed in Trust Indenture Act § 311(b). A Trustee who has resigned or been removed shall be subject to Trust Indenture Act § 311(a) to the extent indicated therein.</w:t>
      </w:r>
    </w:p>
    <w:p>
      <w:pPr>
        <w:spacing w:after="0" w:line="173"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i w:val="1"/>
          <w:iCs w:val="1"/>
          <w:color w:val="auto"/>
        </w:rPr>
        <w:t>Appointment of Authenticating Agent</w:t>
      </w:r>
      <w:r>
        <w:rPr>
          <w:rFonts w:ascii="Times New Roman" w:cs="Times New Roman" w:eastAsia="Times New Roman" w:hAnsi="Times New Roman"/>
          <w:sz w:val="18"/>
          <w:szCs w:val="18"/>
          <w:color w:val="auto"/>
        </w:rPr>
        <w:t>. (a) At any time when any of the Securities remain Outstanding the Trustee may appoint an Authenticating Agent or Agents (which may include any Person that owns, directly or indirectly, all of the capital stock of the Trustee or a corporation that is a wholly-owned subsidiary of the Trustee or of such other Person) with respect to one or more series of Securities, or any Tranche thereof, that shall be authorized to act on behalf of the Trustee to authenticate Securities of such series or Tranche issued upon original issuance, exchange, registration of transfer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in the United States.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ceases to be eligible in accordance with the provisions of this Section, such Authenticating Agent shall resign immediately in the manner and with the effect specified in this Section.</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70" w:name="page71"/>
    <w:bookmarkEnd w:id="70"/>
    <w:p>
      <w:pPr>
        <w:ind w:right="100" w:firstLine="987"/>
        <w:spacing w:after="0" w:line="258" w:lineRule="auto"/>
        <w:tabs>
          <w:tab w:leader="none" w:pos="124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corporation shall be otherwise eligible under this Section, without the execution or filing of any paper or any further act on the part of the Trustee or the Authenticating Agent.</w:t>
      </w:r>
    </w:p>
    <w:p>
      <w:pPr>
        <w:spacing w:after="0" w:line="75"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Authenticating Agent may resign with respect to one or more series of Securities at any time by giving written notice thereof to the Trustee and to the Company. The Trustee may at any time terminate the agency of an Authenticating Agent with respect to one or more series of Securities by giving written notice thereof to such Authenticating Agent and to the Company. Upon receiving such a notice of resignation or upon such a termination, or in case at any time such Authenticating Agent ceases to be eligible in accordance with the provisions of this Section, the Trustee may appoint a successor Authenticating Agent that is acceptable to the Company and shall provide notice of such appointment to all Holders of Securities of the series or Tranche with respect to which such Authenticating Agent will serve, as provided in paragraph (a) of this Section.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An Authenticating Agent appointed pursuant to this Section shall be entitled to rely on Sections 111, 308, 604 and 605 hereunder.</w:t>
      </w:r>
    </w:p>
    <w:p>
      <w:pPr>
        <w:spacing w:after="0" w:line="86"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agrees to pay to each Authenticating Agent from time to time reasonable compensation for its services under this Section, and the Trustee shall be entitled to be reimbursed for such payments, subject to the provisions of Section 607.</w:t>
      </w:r>
    </w:p>
    <w:p>
      <w:pPr>
        <w:spacing w:after="0" w:line="53" w:lineRule="exact"/>
        <w:rPr>
          <w:rFonts w:ascii="Times New Roman" w:cs="Times New Roman" w:eastAsia="Times New Roman" w:hAnsi="Times New Roman"/>
          <w:sz w:val="18"/>
          <w:szCs w:val="18"/>
          <w:color w:val="auto"/>
        </w:rPr>
      </w:pPr>
    </w:p>
    <w:p>
      <w:pPr>
        <w:ind w:right="380" w:firstLine="987"/>
        <w:spacing w:after="0" w:line="266" w:lineRule="auto"/>
        <w:tabs>
          <w:tab w:leader="none" w:pos="123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appointment with respect to the Securities of one or more series, or any Tranche thereof, is made pursuant to this Section, the Securities of such series or Tranche may have endorsed thereon, in addition to the Trustee’s certificate of authentication, an alternate certificate of authentication in the following form:</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pursuant to and issued under the within-mentioned Indenture.</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As Authenticating Agent on behalf of the Trustee</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Authorized Officer of Authenticating Agent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-7620</wp:posOffset>
            </wp:positionV>
            <wp:extent cx="18567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spacing w:after="0" w:line="219" w:lineRule="exact"/>
        <w:rPr>
          <w:sz w:val="20"/>
          <w:szCs w:val="20"/>
          <w:color w:val="auto"/>
        </w:rPr>
      </w:pPr>
    </w:p>
    <w:p>
      <w:pPr>
        <w:ind w:firstLine="987"/>
        <w:spacing w:after="0" w:line="256" w:lineRule="auto"/>
        <w:tabs>
          <w:tab w:leader="none" w:pos="121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of the Securities of a series may not be originally issued at one time, and if the Trustee does not have an office capable of authenticating Securities upon original issuance located in a Place of Payment where the Company wishes to have Securities of such series authenticated upon original issuance, the Trustee, if so requested by the Company in writing (which writing need not comply with Section 102 and need not be accompanied by an Opinion of Counsel), shall appoint, in accordance with this Section and in accordance with such procedures as shall be acceptable to the Trustee, an Authenticating Agent (which, if so requested by the Company, may be an Affiliate of the Company) having an office in a Place of Payment designated by the Company with respect to such series of Securities.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SEVEN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HOLDERS’ LISTS AND REPORTS BY TRUSTEE AND COMPANY</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Company to Furnish Trustee Names and Addresses of Holders</w:t>
      </w:r>
      <w:r>
        <w:rPr>
          <w:rFonts w:ascii="Times New Roman" w:cs="Times New Roman" w:eastAsia="Times New Roman" w:hAnsi="Times New Roman"/>
          <w:sz w:val="18"/>
          <w:szCs w:val="18"/>
          <w:color w:val="auto"/>
        </w:rPr>
        <w:t>. The Company will furnish or cause to be furnished to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99" w:lineRule="exact"/>
        <w:rPr>
          <w:sz w:val="20"/>
          <w:szCs w:val="20"/>
          <w:color w:val="auto"/>
        </w:rPr>
      </w:pPr>
    </w:p>
    <w:p>
      <w:pPr>
        <w:ind w:left="440" w:right="40" w:firstLine="419"/>
        <w:spacing w:after="0" w:line="256" w:lineRule="auto"/>
        <w:tabs>
          <w:tab w:leader="none" w:pos="110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semi-annually, not later than the 15th day after each Regular Record Date for each series of Securities at the time Outstanding or on June 30 and December 31 of each year with respect to each series of Securities for which there are no Regular Record Dates, a list, in such form as the Trustee may reasonably require, containing all the information in the possession or control of the Company, or any of its Paying Agents other than the Trustee, of the names and addresses of the Holders of Securities of such series, including Holders of interests in Global Securities, as of such preceding Regular Record Date or on June 15 or December 15, as the case may be, or, in the case of a series of non-interest bearing Securities, on a date to be determined as contemplated pursuant to Section 301(b), and</w:t>
      </w:r>
    </w:p>
    <w:p>
      <w:pPr>
        <w:spacing w:after="0" w:line="79"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1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excluding </w:t>
      </w:r>
      <w:r>
        <w:rPr>
          <w:rFonts w:ascii="Times New Roman" w:cs="Times New Roman" w:eastAsia="Times New Roman" w:hAnsi="Times New Roman"/>
          <w:sz w:val="17"/>
          <w:szCs w:val="17"/>
          <w:color w:val="auto"/>
        </w:rPr>
        <w:t>from any such list names and addresses received by the Trustee in its capacity as Security Registrar for Securities other than Global Securities.</w:t>
      </w:r>
    </w:p>
    <w:p>
      <w:pPr>
        <w:spacing w:after="0" w:line="237" w:lineRule="exact"/>
        <w:rPr>
          <w:sz w:val="20"/>
          <w:szCs w:val="20"/>
          <w:color w:val="auto"/>
        </w:rPr>
      </w:pPr>
    </w:p>
    <w:p>
      <w:pPr>
        <w:ind w:right="3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Preservation of Information; Communications to Holders</w:t>
      </w:r>
      <w:r>
        <w:rPr>
          <w:rFonts w:ascii="Times New Roman" w:cs="Times New Roman" w:eastAsia="Times New Roman" w:hAnsi="Times New Roman"/>
          <w:sz w:val="18"/>
          <w:szCs w:val="18"/>
          <w:color w:val="auto"/>
        </w:rPr>
        <w:t>. (a) The Trustee shall preserve, in as current a form as is reasonably practicable, the names and addresses of Holders of Securities contained in the most recent list furnished to the Trustee as provided in Section 701 and the names and addresses of Holders of Securities received by the Trustee in its capacity as Security Registrar or Paying Agent. The Trustee may destroy any list furnished to it as provided in Section 701 upon receipt of a new list so furnished.</w:t>
      </w:r>
    </w:p>
    <w:p>
      <w:pPr>
        <w:spacing w:after="0" w:line="74" w:lineRule="exact"/>
        <w:rPr>
          <w:sz w:val="20"/>
          <w:szCs w:val="20"/>
          <w:color w:val="auto"/>
        </w:rPr>
      </w:pPr>
    </w:p>
    <w:p>
      <w:pPr>
        <w:ind w:right="40" w:firstLine="987"/>
        <w:spacing w:after="0" w:line="258" w:lineRule="auto"/>
        <w:tabs>
          <w:tab w:leader="none" w:pos="124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three or more Holders (herein referred to as “applicants”) apply in writing to the Trustee, and furnish to the Trustee reasonable proof that each such applicant has owned a Security for a period of at least six months preceding the date of such application, and such application states that the applicants desire to communicate with other Holders with respect to their rights under this Indenture or under the Securities and is accompanied by a copy of the form of proxy or other communication that such applicants propose to transmit, then the Trustee shall, within five business days after the receipt of such application, at its election, either</w:t>
      </w:r>
    </w:p>
    <w:p>
      <w:pPr>
        <w:spacing w:after="0" w:line="75" w:lineRule="exact"/>
        <w:rPr>
          <w:rFonts w:ascii="Times New Roman" w:cs="Times New Roman" w:eastAsia="Times New Roman" w:hAnsi="Times New Roman"/>
          <w:sz w:val="18"/>
          <w:szCs w:val="18"/>
          <w:color w:val="auto"/>
        </w:rPr>
      </w:pPr>
    </w:p>
    <w:p>
      <w:pPr>
        <w:ind w:left="2020" w:hanging="209"/>
        <w:spacing w:after="0"/>
        <w:tabs>
          <w:tab w:leader="none" w:pos="20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afford such applicants access to the information preserved at the time by the Trustee in accordance with Section 702(a), or</w:t>
      </w:r>
    </w:p>
    <w:p>
      <w:pPr>
        <w:spacing w:after="0" w:line="117" w:lineRule="exact"/>
        <w:rPr>
          <w:rFonts w:ascii="Times New Roman" w:cs="Times New Roman" w:eastAsia="Times New Roman" w:hAnsi="Times New Roman"/>
          <w:sz w:val="18"/>
          <w:szCs w:val="18"/>
          <w:color w:val="auto"/>
        </w:rPr>
      </w:pPr>
    </w:p>
    <w:p>
      <w:pPr>
        <w:jc w:val="both"/>
        <w:ind w:left="440" w:right="380" w:firstLine="1371"/>
        <w:spacing w:after="0" w:line="266" w:lineRule="auto"/>
        <w:tabs>
          <w:tab w:leader="none" w:pos="208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such applicants as to the approximate number of Holders whose names and addresses appear in the information preserved at the time by the Trustee in accordance with Section 702(a), and as to the approximate cost of mailing to such Holders the form of proxy or other communication, if any, specified in such application.</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If the Trustee elects not to afford such applicants access to such information, the Trustee shall, upon the written request of such applicants, mail to each Holder whose name and address appear in the information preserved at the time by the Trustee in accordance with Section 702(a) a copy of the form of proxy or other communication that is specified in such request, with reasonable promptness after a tender to the Trustee by the applicants of the material to be mailed and of payment, or provision for the payment, of the reasonable expenses of mailing, unless within five days after such tender the Trustee shall mail to such applicants and file with the Commission, together with a copy of the material to be mailed, a written statement to the effect that, in the opinion of the Trustee, such mailing would be contrary to the best interest of the Holders or would be in violation of applicable law. Such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66" w:right="459" w:bottom="1440" w:gutter="0" w:footer="0" w:header="0"/>
        </w:sectPr>
      </w:pPr>
    </w:p>
    <w:bookmarkStart w:id="72" w:name="page73"/>
    <w:bookmarkEnd w:id="72"/>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written statement shall specify the basis of such opinion. If the Commission, after opportunity for a hearing upon the objections specified in the written statement so filed, enters an order refusing to sustain any of such objections or if, after the entry of an order sustaining one or more of such objections, the Commission finds, after notice and opportunity for hearing, that all the objections so sustained have been met and enters an order so declaring, the Trustee shall mail copies of such material to all such Holders with reasonable promptness after the entry of such order and the renewal of such tender by such applicants; otherwise the Trustee shall be relieved of any obligation or duty to such applicants respecting their application.</w:t>
      </w:r>
    </w:p>
    <w:p>
      <w:pPr>
        <w:spacing w:after="0" w:line="75" w:lineRule="exact"/>
        <w:rPr>
          <w:sz w:val="20"/>
          <w:szCs w:val="20"/>
          <w:color w:val="auto"/>
        </w:rPr>
      </w:pPr>
    </w:p>
    <w:p>
      <w:pPr>
        <w:ind w:right="40" w:firstLine="987"/>
        <w:spacing w:after="0" w:line="261" w:lineRule="auto"/>
        <w:tabs>
          <w:tab w:leader="none" w:pos="123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Holder of Securities, by receiving and holding the same, agrees with the Company and the Trustee that neither the Company nor the Trustee nor any agent of either of them shall be held accountable by reason of the disclosure of any such information as to the names and addresses of the Holders in accordance with Section 702(b), regardless of the source from which such information was derived, and that the Trustee shall not be held accountable by reason of mailing any material pursuant to a request made under Section 702(b).</w:t>
      </w:r>
    </w:p>
    <w:p>
      <w:pPr>
        <w:spacing w:after="0" w:line="178" w:lineRule="exact"/>
        <w:rPr>
          <w:sz w:val="20"/>
          <w:szCs w:val="20"/>
          <w:color w:val="auto"/>
        </w:rPr>
      </w:pPr>
    </w:p>
    <w:p>
      <w:pPr>
        <w:ind w:right="500" w:firstLine="991"/>
        <w:spacing w:after="0" w:line="284"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Reports by Trustee</w:t>
      </w:r>
      <w:r>
        <w:rPr>
          <w:rFonts w:ascii="Times New Roman" w:cs="Times New Roman" w:eastAsia="Times New Roman" w:hAnsi="Times New Roman"/>
          <w:sz w:val="18"/>
          <w:szCs w:val="18"/>
          <w:color w:val="auto"/>
        </w:rPr>
        <w:t>. (a) The Trustee shall transmit to Holders such reports concerning the Trustee the Trustee and its actions under this Indenture as may be required pursuant to the Trust Indenture Act at the times and in the manner provided pursuant thereto.</w:t>
      </w:r>
    </w:p>
    <w:p>
      <w:pPr>
        <w:spacing w:after="0" w:line="52" w:lineRule="exact"/>
        <w:rPr>
          <w:sz w:val="20"/>
          <w:szCs w:val="20"/>
          <w:color w:val="auto"/>
        </w:rPr>
      </w:pPr>
    </w:p>
    <w:p>
      <w:pPr>
        <w:ind w:right="300" w:firstLine="987"/>
        <w:spacing w:after="0" w:line="282" w:lineRule="auto"/>
        <w:tabs>
          <w:tab w:leader="none" w:pos="124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so required to be transmitted at stated intervals of not more than 12 months shall be transmitted no later than July 1 in each calendar year, commencing with the first July 1 after the first issuance of Securities pursuant to this Indenture.</w:t>
      </w:r>
    </w:p>
    <w:p>
      <w:pPr>
        <w:spacing w:after="0" w:line="53" w:lineRule="exact"/>
        <w:rPr>
          <w:rFonts w:ascii="Times New Roman" w:cs="Times New Roman" w:eastAsia="Times New Roman" w:hAnsi="Times New Roman"/>
          <w:sz w:val="18"/>
          <w:szCs w:val="18"/>
          <w:color w:val="auto"/>
        </w:rPr>
      </w:pPr>
    </w:p>
    <w:p>
      <w:pPr>
        <w:ind w:right="80" w:firstLine="987"/>
        <w:spacing w:after="0" w:line="266" w:lineRule="auto"/>
        <w:tabs>
          <w:tab w:leader="none" w:pos="12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such report shall, at the time of such transmission to Holders, be filed by the Trustee with each securities exchange upon which any Securities are listed, with the Commission and with the Company. The Company will notify the Trustee in writing when any Securities are listed on any securities exchange.</w:t>
      </w:r>
    </w:p>
    <w:p>
      <w:pPr>
        <w:spacing w:after="0" w:line="1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Reports by Company</w:t>
      </w:r>
      <w:r>
        <w:rPr>
          <w:rFonts w:ascii="Times New Roman" w:cs="Times New Roman" w:eastAsia="Times New Roman" w:hAnsi="Times New Roman"/>
          <w:sz w:val="18"/>
          <w:szCs w:val="18"/>
          <w:color w:val="auto"/>
        </w:rPr>
        <w:t>. The Company shall:</w:t>
      </w:r>
    </w:p>
    <w:p>
      <w:pPr>
        <w:spacing w:after="0" w:line="119" w:lineRule="exact"/>
        <w:rPr>
          <w:sz w:val="20"/>
          <w:szCs w:val="20"/>
          <w:color w:val="auto"/>
        </w:rPr>
      </w:pPr>
    </w:p>
    <w:p>
      <w:pPr>
        <w:ind w:left="440" w:firstLine="419"/>
        <w:spacing w:after="0" w:line="253" w:lineRule="auto"/>
        <w:tabs>
          <w:tab w:leader="none" w:pos="111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Trustee, within 15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may be required to file with the Commission pursuant to Section 13 or Section 15(d) of the U.S. Securities Exchange Act of 1934; or, if the Company is not required to file information, documents or reports pursuant to either of said Sections, then it shall file with the Trustee and the Commission, in accordance with rules and regulations prescribed from time to time by the Commission, such of the supplementary and periodic information, documents and reports that may be required pursuant to Section 13 of the U.S. Securities Exchange Act of 1934 in respect of a security listed and registered on a national securities exchange as may be prescribed from time to time in such rules and regulations; and provided, however,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w:t>
      </w:r>
    </w:p>
    <w:p>
      <w:pPr>
        <w:spacing w:after="0" w:line="86" w:lineRule="exact"/>
        <w:rPr>
          <w:rFonts w:ascii="Times New Roman" w:cs="Times New Roman" w:eastAsia="Times New Roman" w:hAnsi="Times New Roman"/>
          <w:sz w:val="18"/>
          <w:szCs w:val="18"/>
          <w:color w:val="auto"/>
        </w:rPr>
      </w:pPr>
    </w:p>
    <w:p>
      <w:pPr>
        <w:ind w:left="440" w:right="260" w:firstLine="419"/>
        <w:spacing w:after="0" w:line="266" w:lineRule="auto"/>
        <w:tabs>
          <w:tab w:leader="none" w:pos="111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Trustee and the Commission, in accordance with rules and regulations prescribed by the Commission, such additional information, documents and reports with respect to compliance by the Company with the conditions and covenants of this Indenture as may be required from time to time by such rules and regulations; and</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 by mail to all Holders of Securities, as their names and addresses appear in the Security Register, and to each Holder whose name and address is then preserved on the Trustee’s list pursuant to the first sentence of Section 702(a), within 30 days after the filing thereof with the Trustee, such summaries of any information, documents and reports required to be filed by the Company pursuant to paragraphs (1) and (2) of this Section as may be required by rules and regulations prescribed from time to time by the Commission.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70" w:right="47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EIGHT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CONSOLIDATION, MERGER, CONVEYANCE OR TRANSFER</w:t>
      </w:r>
    </w:p>
    <w:p>
      <w:pPr>
        <w:spacing w:after="0" w:line="227" w:lineRule="exact"/>
        <w:rPr>
          <w:sz w:val="20"/>
          <w:szCs w:val="20"/>
          <w:color w:val="auto"/>
        </w:rPr>
      </w:pPr>
    </w:p>
    <w:p>
      <w:pPr>
        <w:ind w:firstLine="991"/>
        <w:spacing w:after="0" w:line="284"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Company May Consolidate, Etc. Only on Certain Terms</w:t>
      </w:r>
      <w:r>
        <w:rPr>
          <w:rFonts w:ascii="Times New Roman" w:cs="Times New Roman" w:eastAsia="Times New Roman" w:hAnsi="Times New Roman"/>
          <w:sz w:val="18"/>
          <w:szCs w:val="18"/>
          <w:color w:val="auto"/>
        </w:rPr>
        <w:t>. The Company shall not consolidate with or merge with or into, or convey, transfer or lease all or substantially all of its properties and assets to any Person, unless:</w:t>
      </w:r>
    </w:p>
    <w:p>
      <w:pPr>
        <w:spacing w:after="0" w:line="52" w:lineRule="exact"/>
        <w:rPr>
          <w:sz w:val="20"/>
          <w:szCs w:val="20"/>
          <w:color w:val="auto"/>
        </w:rPr>
      </w:pPr>
    </w:p>
    <w:p>
      <w:pPr>
        <w:ind w:left="440" w:right="100" w:firstLine="419"/>
        <w:spacing w:after="0" w:line="256" w:lineRule="auto"/>
        <w:tabs>
          <w:tab w:leader="none" w:pos="111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(x) the Company shall be the continuing corporation or the successor corporation or (y) the Person formed by such consolidation or into which the Company is merged or the Person that acquires by conveyance, transfer or lease the properties and assets of the Company substantially as an entirety shall be a corporation organized and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Outstanding Securities and the performance of every covenant of this Indenture on the part of the Company to be performed or observed;</w:t>
      </w:r>
    </w:p>
    <w:p>
      <w:pPr>
        <w:spacing w:after="0" w:line="79"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1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Event of Default and no event that, after notice or lapse of time or both, would become an Event of Default, shall have occurred and be continuing; and</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1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such consolidation, merger, conveyance, transfer or lease and such supplemental indenture comply with this Article and that all conditions precedent herein provided for relating to such transaction have been met.</w:t>
      </w:r>
    </w:p>
    <w:p>
      <w:pPr>
        <w:spacing w:after="0" w:line="174"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Successor Substituted for the Company</w:t>
      </w:r>
      <w:r>
        <w:rPr>
          <w:rFonts w:ascii="Times New Roman" w:cs="Times New Roman" w:eastAsia="Times New Roman" w:hAnsi="Times New Roman"/>
          <w:sz w:val="18"/>
          <w:szCs w:val="18"/>
          <w:color w:val="auto"/>
        </w:rPr>
        <w:t>. Upon any consolidation or merger or any conveyance, transfer or lease of all or substantially all the properties and assets of the Company in accordance with Section 801,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in the case of a conveyance, transfer or lease of properties and assets of the Company substantially as an entirety, such conveyance, transfer or lease shall have the effect of releasing the Person named as the “Company” in the first paragraph of this instrument or any successor Person that shall theretofore have become such in the manner prescribed in this Article from its liability as obligor and maker on any of the Securities.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NINE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27" w:lineRule="exact"/>
        <w:rPr>
          <w:sz w:val="20"/>
          <w:szCs w:val="20"/>
          <w:color w:val="auto"/>
        </w:rPr>
      </w:pPr>
    </w:p>
    <w:p>
      <w:pPr>
        <w:ind w:right="120" w:firstLine="991"/>
        <w:spacing w:after="0" w:line="267"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Supplemental Indentures Without Consent of Holders</w:t>
      </w:r>
      <w:r>
        <w:rPr>
          <w:rFonts w:ascii="Times New Roman" w:cs="Times New Roman" w:eastAsia="Times New Roman" w:hAnsi="Times New Roman"/>
          <w:sz w:val="18"/>
          <w:szCs w:val="18"/>
          <w:color w:val="auto"/>
        </w:rPr>
        <w:t>. Without the consent of any Holders, the Company and the Trustee, at any time and from time to time, may enter into one or more indentures supplemental hereto, in form satisfactory to the Trustee, for any of the following purposes:</w:t>
      </w:r>
    </w:p>
    <w:p>
      <w:pPr>
        <w:spacing w:after="0" w:line="67" w:lineRule="exact"/>
        <w:rPr>
          <w:sz w:val="20"/>
          <w:szCs w:val="20"/>
          <w:color w:val="auto"/>
        </w:rPr>
      </w:pPr>
    </w:p>
    <w:p>
      <w:pPr>
        <w:ind w:left="440" w:right="720" w:firstLine="419"/>
        <w:spacing w:after="0" w:line="282" w:lineRule="auto"/>
        <w:tabs>
          <w:tab w:leader="none" w:pos="111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the Company and the assumption by any such successor of the covenants of the Company herein and in the Securities; or</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with respect to all or any series of Securities Outstanding hereunder;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66" w:right="459" w:bottom="1440" w:gutter="0" w:footer="0" w:header="0"/>
        </w:sectPr>
      </w:pPr>
    </w:p>
    <w:bookmarkStart w:id="74" w:name="page75"/>
    <w:bookmarkEnd w:id="74"/>
    <w:p>
      <w:pPr>
        <w:ind w:left="440" w:firstLine="419"/>
        <w:spacing w:after="0" w:line="258" w:lineRule="auto"/>
        <w:tabs>
          <w:tab w:leader="none" w:pos="111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change or eliminate any of the provisions of this Indenture, or to add any new provision to this Indenture, in respect of one or more series of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change, elimination or addition (A) shall neither (i) apply to any Security Outstanding on the date of such indenture supplemental hereto nor (ii) modify the rights of the Holder of any such Security Outstanding with respect to such provision in effect prior to the date of such indenture supplemental hereto or (B) shall become effective only when no Security of such series remains Outstanding; or</w:t>
      </w:r>
    </w:p>
    <w:p>
      <w:pPr>
        <w:spacing w:after="0" w:line="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or collateral security with respect to the Securities of any series; or</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1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for the issuance of and establish the form or terms and conditions of Securities of any series or Tranche thereof as permitted by Section 301(b), and to establish the form of any certificates required to be furnished pursuant to the terms of this Indenture or any series of Securities; or</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all, or any series or Tranche of, certificated Securities; or</w:t>
      </w:r>
    </w:p>
    <w:p>
      <w:pPr>
        <w:spacing w:after="0" w:line="117" w:lineRule="exact"/>
        <w:rPr>
          <w:rFonts w:ascii="Times New Roman" w:cs="Times New Roman" w:eastAsia="Times New Roman" w:hAnsi="Times New Roman"/>
          <w:sz w:val="18"/>
          <w:szCs w:val="18"/>
          <w:color w:val="auto"/>
        </w:rPr>
      </w:pPr>
    </w:p>
    <w:p>
      <w:pPr>
        <w:jc w:val="both"/>
        <w:ind w:left="440" w:right="40" w:firstLine="419"/>
        <w:spacing w:after="0" w:line="266" w:lineRule="auto"/>
        <w:tabs>
          <w:tab w:leader="none" w:pos="111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separate or successor Trustee or co-trustee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611(b); or</w:t>
      </w:r>
    </w:p>
    <w:p>
      <w:pPr>
        <w:spacing w:after="0" w:line="67"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1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 place or places where (a) the principal of or premium, if any, or interest, if any, on all or any series of Securities, or any Tranche thereof, shall be payable, (b) all or any series of Securities, or any Tranche thereof, may be surrendered for registration or transfer, (c) all or any series of Securities, or any Tranche thereof, may be surrendered for exchange and (d) notices and demands to or upon the Company in respect of all or any series of Securities, or any Tranche thereof, and this Indenture may be served;</w:t>
      </w:r>
    </w:p>
    <w:p>
      <w:pPr>
        <w:spacing w:after="0" w:line="71"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20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of the provisions of this Indenture to such extent as shall be necessary to permit or facilitate the defeasance and discharge of any series of Securities, or any Tranche thereof, pursuant to Article Four, provided that any such action shall not adversely affect the interests of the Holders of Securities of such series or Tranche or any other series of Securities in any material respect;</w:t>
      </w:r>
    </w:p>
    <w:p>
      <w:pPr>
        <w:spacing w:after="0" w:line="68" w:lineRule="exact"/>
        <w:rPr>
          <w:sz w:val="20"/>
          <w:szCs w:val="20"/>
          <w:color w:val="auto"/>
        </w:rPr>
      </w:pPr>
    </w:p>
    <w:p>
      <w:pPr>
        <w:ind w:left="440" w:right="20" w:firstLine="423"/>
        <w:spacing w:after="0" w:line="261" w:lineRule="auto"/>
        <w:rPr>
          <w:sz w:val="20"/>
          <w:szCs w:val="20"/>
          <w:color w:val="auto"/>
        </w:rPr>
      </w:pPr>
      <w:r>
        <w:rPr>
          <w:rFonts w:ascii="Times New Roman" w:cs="Times New Roman" w:eastAsia="Times New Roman" w:hAnsi="Times New Roman"/>
          <w:sz w:val="18"/>
          <w:szCs w:val="18"/>
          <w:color w:val="auto"/>
        </w:rPr>
        <w:t>(11)(i) to cure any ambiguity or to correct or supplement any provision contained herein or in any supplemental indenture that may be defective or inconsistent with any other provision contained herein or in any supplemental indenture or (ii) to conform the terms of any series of Securities, or Tranche thereof, to the description thereof in the prospectus and prospectus supplement (or similar offering document) offering such series of Securities, or Tranche thereof; or</w:t>
      </w:r>
    </w:p>
    <w:p>
      <w:pPr>
        <w:spacing w:after="0" w:line="70" w:lineRule="exact"/>
        <w:rPr>
          <w:sz w:val="20"/>
          <w:szCs w:val="20"/>
          <w:color w:val="auto"/>
        </w:rPr>
      </w:pPr>
    </w:p>
    <w:p>
      <w:pPr>
        <w:ind w:left="440" w:right="80" w:firstLine="419"/>
        <w:spacing w:after="0" w:line="315" w:lineRule="auto"/>
        <w:tabs>
          <w:tab w:leader="none" w:pos="1208"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make any other provisions with respect to matters or questions arising under this Indenture,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such action shall not adversely affect the interests of the Holders of any Securities of any series or Tranche Outstanding on the date of such indenture supplemental hereto.</w:t>
      </w:r>
    </w:p>
    <w:p>
      <w:pPr>
        <w:spacing w:after="0" w:line="137"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Without limiting the generality of the foregoing, if the Trust Indenture Act as in effect at the date of the execution and delivery of this Indenture or at any time thereafter becomes amended and</w:t>
      </w:r>
    </w:p>
    <w:p>
      <w:pPr>
        <w:spacing w:after="0" w:line="54" w:lineRule="exact"/>
        <w:rPr>
          <w:sz w:val="20"/>
          <w:szCs w:val="20"/>
          <w:color w:val="auto"/>
        </w:rPr>
      </w:pPr>
    </w:p>
    <w:p>
      <w:pPr>
        <w:jc w:val="both"/>
        <w:ind w:right="160" w:firstLine="987"/>
        <w:spacing w:after="0" w:line="261" w:lineRule="auto"/>
        <w:tabs>
          <w:tab w:leader="none" w:pos="124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such amendment requires one or more changes to any provisions hereof or the inclusion herein of any additional provisions, or by operation of law is deemed to effect such changes or incorporate such provisions by reference or otherwise, this Indenture shall be deemed to have been amended so as to conform to such amendment to the Trust Indenture Act, and the Company and the Trustee may, without the consent of any Holders, enter into an indenture supplemental hereto to effect or evidence such changes or additional provisions; or</w:t>
      </w:r>
    </w:p>
    <w:p>
      <w:pPr>
        <w:spacing w:after="0" w:line="71" w:lineRule="exact"/>
        <w:rPr>
          <w:rFonts w:ascii="Times New Roman" w:cs="Times New Roman" w:eastAsia="Times New Roman" w:hAnsi="Times New Roman"/>
          <w:sz w:val="18"/>
          <w:szCs w:val="18"/>
          <w:color w:val="auto"/>
        </w:rPr>
      </w:pPr>
    </w:p>
    <w:p>
      <w:pPr>
        <w:ind w:right="100" w:firstLine="987"/>
        <w:spacing w:after="0" w:line="281" w:lineRule="auto"/>
        <w:tabs>
          <w:tab w:leader="none" w:pos="1246"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such amendment permits one or more changes to, or the elimination of, any provisions hereof that, at the date hereof or at any time thereafter, are required by the Trust Indenture Act to be contained herein (or if it is no longer required by the Trust Indenture Act for the Indenture to contain one or more provisions), this Indenture shall be deemed to have been amended to effect such changes or elimination, and the Company and the Trustee may, without the consent of any Holders, enter into an indenture supplemental hereto to evidence such amendment hereof; or</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40" w:top="270" w:right="479" w:bottom="1440" w:gutter="0" w:footer="0" w:header="0"/>
        </w:sectPr>
      </w:pPr>
    </w:p>
    <w:bookmarkStart w:id="75" w:name="page76"/>
    <w:bookmarkEnd w:id="75"/>
    <w:p>
      <w:pPr>
        <w:ind w:right="80" w:firstLine="987"/>
        <w:spacing w:after="0" w:line="266" w:lineRule="auto"/>
        <w:tabs>
          <w:tab w:leader="none" w:pos="12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by reason of any such amendment, it shall be no longer necessary for this Indenture to contain one or more provisions that, at the date of the execution and delivery hereof, are required by the Trust Indenture Act to be contained herein, the Company and the Trustee may, without the consent of any Holders, enter into an indenture supplemental hereto to effect the elimination of such provisions.</w:t>
      </w:r>
    </w:p>
    <w:p>
      <w:pPr>
        <w:spacing w:after="0" w:line="174"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i w:val="1"/>
          <w:iCs w:val="1"/>
          <w:color w:val="auto"/>
        </w:rPr>
        <w:t>Supplemental Indentures With Consent of Holders</w:t>
      </w:r>
      <w:r>
        <w:rPr>
          <w:rFonts w:ascii="Times New Roman" w:cs="Times New Roman" w:eastAsia="Times New Roman" w:hAnsi="Times New Roman"/>
          <w:sz w:val="18"/>
          <w:szCs w:val="18"/>
          <w:color w:val="auto"/>
        </w:rPr>
        <w:t xml:space="preserve">. (a) Except as set forth in paragraph (b) below, with the consent of the Holders of not less than a majority in aggregate principal amount of the Outstanding Securities of each series affected (voting as one class) by such supplemental indenture, by Act of said Holders delivered to the Company and the Trustee, the Company, when authorized by a resolution of its Board of Directors (which resolution may provide general terms or parameters for such action and may provide that the specific terms of such action may be determined in accordance with or pursuant to a Company Order),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series or of modifying in any manner the rights of the Holders of Securities of such series under this Indenture;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there are Securities of more than one series of equal ranking Outstanding hereunder and if a proposed supplemental indenture shall directly affect the rights of the Holders of Securities of one or more, but less than all, of such series, then the consent only of the Holders of not less than a majority in aggregate principal amount of the Outstanding Securities of all series so directly affected, considered as one class, shall be required.</w:t>
      </w:r>
    </w:p>
    <w:p>
      <w:pPr>
        <w:spacing w:after="0" w:line="86" w:lineRule="exact"/>
        <w:rPr>
          <w:sz w:val="20"/>
          <w:szCs w:val="20"/>
          <w:color w:val="auto"/>
        </w:rPr>
      </w:pPr>
    </w:p>
    <w:p>
      <w:pPr>
        <w:ind w:left="1240" w:hanging="253"/>
        <w:spacing w:after="0"/>
        <w:tabs>
          <w:tab w:leader="none" w:pos="12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supplemental indenture shall, without the consent of the Holder of each Outstanding Security affected thereby,</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54" w:lineRule="auto"/>
        <w:tabs>
          <w:tab w:leader="none" w:pos="111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principal of or interest on, any Security, or reduce the principal amount or premium, if any, thereof or the rate of interest thereon (or the amount of any installment of interest thereon) or any premium payable upon the redemption thereof, or change the method of calculating the rate of interest thereon, or reduce the amount of the principal of an Original Issue Discount Security that would be due and payable upon a declaration of acceleration of the Maturity thereof pursuant to Section 502, or change the coin or currency (or other property) in which, any Security or any premium or the interest thereon is payable, or impair the right to institute suit for the enforcement of any such payment on or after the Stated Maturity thereof (or, in the case of redemption, on or after the Redemption Date, or, in the case of repayment at the option of the Holders, on or after the Repayment Date), or modify any provisions of this Indenture with respect to the conversion or exchange of the Securities into Securities of another series or into any other debt or equity securities in a manner adverse to the Holders, or</w:t>
      </w:r>
    </w:p>
    <w:p>
      <w:pPr>
        <w:spacing w:after="0" w:line="80"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1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67" w:lineRule="exact"/>
        <w:rPr>
          <w:rFonts w:ascii="Times New Roman" w:cs="Times New Roman" w:eastAsia="Times New Roman" w:hAnsi="Times New Roman"/>
          <w:sz w:val="18"/>
          <w:szCs w:val="18"/>
          <w:color w:val="auto"/>
        </w:rPr>
      </w:pPr>
    </w:p>
    <w:p>
      <w:pPr>
        <w:ind w:left="440" w:right="200" w:firstLine="419"/>
        <w:spacing w:after="0" w:line="258" w:lineRule="auto"/>
        <w:tabs>
          <w:tab w:leader="none" w:pos="111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any of the provisions of this Section, Section 513 or Section 1008, except to increase any such percentage or to provide that certain other provisions of this Indenture cannot be modified or waived without the consent of the Holder of each Outstanding Security affected thereby,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clause shall not be deemed to require the consent of any Holder with respect to changes in the references to “the Trustee” and concomitant changes in this Section and Section 1008, or the deletion of this proviso, in accordance with the requirements of Sections 611(b) and 901(8).</w:t>
      </w:r>
    </w:p>
    <w:p>
      <w:pPr>
        <w:spacing w:after="0" w:line="183"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A supplemental indenture that changes or eliminates any covenant or other provision of this Indenture that has expressly been included solely for the benefit of one or more particular series of Securities, or that modifies the rights of the Holders of Securities of such series with respect to such covenant or other provision, shall be deemed not to affect the rights under this Indenture of the Holders of Securities of any other series.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70" w:right="439" w:bottom="1440" w:gutter="0" w:footer="0" w:header="0"/>
        </w:sectPr>
      </w:pPr>
    </w:p>
    <w:bookmarkStart w:id="76" w:name="page77"/>
    <w:bookmarkEnd w:id="76"/>
    <w:p>
      <w:pPr>
        <w:jc w:val="both"/>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 shall not be necessary for any Act of Holders under this Section to approve the particular form of any proposed supplemental indenture, but it shall be sufficient if such Act shall approve the substance thereof. A waiver by a Holder of such Holder’s rights to consent under this Section shall be deemed to be a consent of such Holder.</w:t>
      </w:r>
    </w:p>
    <w:p>
      <w:pPr>
        <w:spacing w:after="0" w:line="174" w:lineRule="exact"/>
        <w:rPr>
          <w:sz w:val="20"/>
          <w:szCs w:val="20"/>
          <w:color w:val="auto"/>
        </w:rPr>
      </w:pPr>
    </w:p>
    <w:p>
      <w:pPr>
        <w:ind w:left="4" w:right="3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i w:val="1"/>
          <w:iCs w:val="1"/>
          <w:color w:val="auto"/>
        </w:rPr>
        <w:t>Execution of Supplemental Indentures</w:t>
      </w:r>
      <w:r>
        <w:rPr>
          <w:rFonts w:ascii="Times New Roman" w:cs="Times New Roman" w:eastAsia="Times New Roman" w:hAnsi="Times New Roman"/>
          <w:sz w:val="18"/>
          <w:szCs w:val="18"/>
          <w:color w:val="auto"/>
        </w:rPr>
        <w:t>. In executing, or accepting the additional trusts created by, any supplemental indenture permitted by this Article or the modifications thereby of the trusts created by this Indenture, the Trustee shall be entitled to receive, and (subject to Section 601) shall be fully protected in relying upon, an Opinion of Counsel stating that the execution of such supplemental indenture is authorized or permitted by this Indenture. The Trustee may, but shall not be obligated to, enter into any such supplemental indenture that affects the Trustee’s own rights, duties or immunities under this Indenture or otherwise.</w:t>
      </w:r>
    </w:p>
    <w:p>
      <w:pPr>
        <w:spacing w:after="0" w:line="183"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i w:val="1"/>
          <w:iCs w:val="1"/>
          <w:color w:val="auto"/>
        </w:rPr>
        <w:t>Effect of Supplemental Indentures</w:t>
      </w:r>
      <w:r>
        <w:rPr>
          <w:rFonts w:ascii="Times New Roman" w:cs="Times New Roman" w:eastAsia="Times New Roman" w:hAnsi="Times New Roman"/>
          <w:sz w:val="18"/>
          <w:szCs w:val="18"/>
          <w:color w:val="auto"/>
        </w:rPr>
        <w:t>.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 Any supplemental indenture permitted by this Article may restate this Indenture in its entirety, and, upon the execution and delivery thereof, any such restatement shall supersede this Indenture as theretofore in effect for all purposes.</w:t>
      </w:r>
    </w:p>
    <w:p>
      <w:pPr>
        <w:spacing w:after="0" w:line="183" w:lineRule="exact"/>
        <w:rPr>
          <w:sz w:val="20"/>
          <w:szCs w:val="20"/>
          <w:color w:val="auto"/>
        </w:rPr>
      </w:pPr>
    </w:p>
    <w:p>
      <w:pPr>
        <w:ind w:left="4" w:right="100" w:firstLine="991"/>
        <w:spacing w:after="0" w:line="284"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i w:val="1"/>
          <w:iCs w:val="1"/>
          <w:color w:val="auto"/>
        </w:rPr>
        <w:t>Conformity With Trust Indenture Act</w:t>
      </w:r>
      <w:r>
        <w:rPr>
          <w:rFonts w:ascii="Times New Roman" w:cs="Times New Roman" w:eastAsia="Times New Roman" w:hAnsi="Times New Roman"/>
          <w:sz w:val="18"/>
          <w:szCs w:val="18"/>
          <w:color w:val="auto"/>
        </w:rPr>
        <w:t>. Every supplemental indenture executed pursuant to this Article shall conform to the requirements of the Trust Indenture Act as then in effect.</w:t>
      </w:r>
    </w:p>
    <w:p>
      <w:pPr>
        <w:spacing w:after="0" w:line="158" w:lineRule="exact"/>
        <w:rPr>
          <w:sz w:val="20"/>
          <w:szCs w:val="20"/>
          <w:color w:val="auto"/>
        </w:rPr>
      </w:pPr>
    </w:p>
    <w:p>
      <w:pPr>
        <w:jc w:val="both"/>
        <w:ind w:left="4" w:right="260" w:firstLine="991"/>
        <w:spacing w:after="0" w:line="277" w:lineRule="auto"/>
        <w:rPr>
          <w:sz w:val="20"/>
          <w:szCs w:val="20"/>
          <w:color w:val="auto"/>
        </w:rPr>
      </w:pPr>
      <w:r>
        <w:rPr>
          <w:rFonts w:ascii="Times New Roman" w:cs="Times New Roman" w:eastAsia="Times New Roman" w:hAnsi="Times New Roman"/>
          <w:sz w:val="17"/>
          <w:szCs w:val="17"/>
          <w:color w:val="auto"/>
        </w:rPr>
        <w:t xml:space="preserve">SECTION 906. </w:t>
      </w:r>
      <w:r>
        <w:rPr>
          <w:rFonts w:ascii="Times New Roman" w:cs="Times New Roman" w:eastAsia="Times New Roman" w:hAnsi="Times New Roman"/>
          <w:sz w:val="17"/>
          <w:szCs w:val="17"/>
          <w:i w:val="1"/>
          <w:iCs w:val="1"/>
          <w:color w:val="auto"/>
        </w:rPr>
        <w:t>Reference in Securities to Supplemental Indentures</w:t>
      </w:r>
      <w:r>
        <w:rPr>
          <w:rFonts w:ascii="Times New Roman" w:cs="Times New Roman" w:eastAsia="Times New Roman" w:hAnsi="Times New Roman"/>
          <w:sz w:val="17"/>
          <w:szCs w:val="17"/>
          <w:color w:val="auto"/>
        </w:rPr>
        <w:t>. Securities of any series, or any Tranche thereof, authenticated and delivered after the execution of any supplemental indenture pursuant to this Article may, and shall if required by the Trustee, bear a notation in form approved by the Trustee as to any matter provided for in such supplemental indenture. If the Company so determines, new Securities of any series, or any Tranche thereof, so modified as to conform, in the opinion of the Trustee and the Company, to any such supplemental indenture may be prepared and executed by the Company and authenticated and delivered by the Trustee in exchange for Outstanding Securities of such series or Tranche.</w:t>
      </w:r>
    </w:p>
    <w:p>
      <w:pPr>
        <w:spacing w:after="0" w:line="168" w:lineRule="exact"/>
        <w:rPr>
          <w:sz w:val="20"/>
          <w:szCs w:val="20"/>
          <w:color w:val="auto"/>
        </w:rPr>
      </w:pPr>
    </w:p>
    <w:p>
      <w:pPr>
        <w:ind w:left="4" w:right="120"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i w:val="1"/>
          <w:iCs w:val="1"/>
          <w:color w:val="auto"/>
        </w:rPr>
        <w:t>Revocation and Effect of Consents</w:t>
      </w:r>
      <w:r>
        <w:rPr>
          <w:rFonts w:ascii="Times New Roman" w:cs="Times New Roman" w:eastAsia="Times New Roman" w:hAnsi="Times New Roman"/>
          <w:sz w:val="18"/>
          <w:szCs w:val="18"/>
          <w:color w:val="auto"/>
        </w:rPr>
        <w:t>. Until an amendment or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on which the Trustee receives an Officer’s Certificate certifying that the Holders of the requisite principal amount of Securities have consented to the amendment or waiver. After an amendment or waiver becomes effective, it shall bind every Holder of each series of Securities affected by such amendment or waiver.</w:t>
      </w:r>
    </w:p>
    <w:p>
      <w:pPr>
        <w:spacing w:after="0" w:line="184" w:lineRule="exact"/>
        <w:rPr>
          <w:sz w:val="20"/>
          <w:szCs w:val="20"/>
          <w:color w:val="auto"/>
        </w:rPr>
      </w:pPr>
    </w:p>
    <w:p>
      <w:pPr>
        <w:jc w:val="both"/>
        <w:ind w:left="4" w:right="280" w:firstLine="991"/>
        <w:spacing w:after="0" w:line="261" w:lineRule="auto"/>
        <w:rPr>
          <w:sz w:val="20"/>
          <w:szCs w:val="20"/>
          <w:color w:val="auto"/>
        </w:rPr>
      </w:pPr>
      <w:r>
        <w:rPr>
          <w:rFonts w:ascii="Times New Roman" w:cs="Times New Roman" w:eastAsia="Times New Roman" w:hAnsi="Times New Roman"/>
          <w:sz w:val="18"/>
          <w:szCs w:val="18"/>
          <w:color w:val="auto"/>
        </w:rPr>
        <w:t>The Company may, but shall not be obligated to, fix a record date for the purpose of determining the Holders entitled to consent to any amendment or waiver. If a record date is fixed, then notwithstanding the provisions of the immediately preceding paragraph, those persons who were Holders at such record date (or their duly designated proxies), and only those persons, shall be entitled to consent to such amendment or waiver or to revoke any consent previously given, whether or not such persons continue to be Holders after such record date.</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After an amendment or waiver becomes effective it shall bind every Holder, unless it is of the type described in any of clauses (1) through</w:t>
      </w:r>
    </w:p>
    <w:p>
      <w:pPr>
        <w:spacing w:after="0" w:line="27" w:lineRule="exact"/>
        <w:rPr>
          <w:sz w:val="20"/>
          <w:szCs w:val="20"/>
          <w:color w:val="auto"/>
        </w:rPr>
      </w:pPr>
    </w:p>
    <w:p>
      <w:pPr>
        <w:ind w:left="4" w:right="100" w:hanging="4"/>
        <w:spacing w:after="0" w:line="260" w:lineRule="auto"/>
        <w:tabs>
          <w:tab w:leader="none" w:pos="25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902(c). In such case, the amendment or waiver shall bind each Holder of a Security who has consented to it and every subsequent Holder of a Security that evidences the same debt as the consenting Holder’s Security.</w:t>
      </w:r>
    </w:p>
    <w:p>
      <w:pPr>
        <w:spacing w:after="0" w:line="179"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i w:val="1"/>
          <w:iCs w:val="1"/>
          <w:color w:val="auto"/>
        </w:rPr>
        <w:t>Modification Without Supplemental Indenture</w:t>
      </w:r>
      <w:r>
        <w:rPr>
          <w:rFonts w:ascii="Times New Roman" w:cs="Times New Roman" w:eastAsia="Times New Roman" w:hAnsi="Times New Roman"/>
          <w:sz w:val="18"/>
          <w:szCs w:val="18"/>
          <w:color w:val="auto"/>
        </w:rPr>
        <w:t xml:space="preserve">. If the terms of any particular series of Securities have been established in a Board Resolution or an Officer’s Certificate as contemplated by Section 301, and not in an indenture supplemental hereto, additions to, changes in or the elimination of any of such terms may be effected by means of a supplemental Board Resolution or Officer’s Certificate, as the case may be, delivered to, and accepted by, the Trustee;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supplemental Board Resolution or Officer’s Certificate shall not be accepted by the Trustee or otherwise be effective unless all conditions set forth in this Indenture that would be required to be satisfied if such additions, changes or elimination were contained in a supplemental indenture shall have been appropriately satisfied. Upon the acceptance thereof by the Trustee, any such supplemental Board Resolution or Officer’s Certificate shall be deemed to be a “supplemental indenture” for purposes of Sections 904 and 906.</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4"/>
          </w:cols>
          <w:pgMar w:left="436" w:top="270" w:right="45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TEN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Payment of Principal, Premium and Interest</w:t>
      </w:r>
      <w:r>
        <w:rPr>
          <w:rFonts w:ascii="Times New Roman" w:cs="Times New Roman" w:eastAsia="Times New Roman" w:hAnsi="Times New Roman"/>
          <w:sz w:val="18"/>
          <w:szCs w:val="18"/>
          <w:color w:val="auto"/>
        </w:rPr>
        <w:t>. (a) Subject to the following provisions, the Company will pay to the Trustee the amounts, in such coin or currency as is at the time legal tender for the payment of public or private debt, in the manner, at the times and for the purposes set forth herein and in the text of the Securities for each series, and the Company hereby authorizes and directs the Trustee from funds so paid to it to make or cause to be made payment of the principal of and any premium and interest on the Securities of each series as set forth herein and in the text of such Securities. Unless otherwise provided in the Securities of a series, the Trustee will arrange directly with any Paying Agents for the payment, or the Trustee will make payment, from funds furnished by the Company, of the principal of and any premium and interest, on the Securities of each series by check or draft.</w:t>
      </w:r>
    </w:p>
    <w:p>
      <w:pPr>
        <w:spacing w:after="0" w:line="77" w:lineRule="exact"/>
        <w:rPr>
          <w:sz w:val="20"/>
          <w:szCs w:val="20"/>
          <w:color w:val="auto"/>
        </w:rPr>
      </w:pPr>
    </w:p>
    <w:p>
      <w:pPr>
        <w:ind w:right="40" w:firstLine="987"/>
        <w:spacing w:after="0" w:line="256" w:lineRule="auto"/>
        <w:tabs>
          <w:tab w:leader="none" w:pos="124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provided in the Securities of a series, interest, if any, on Securities of a series shall be paid by check or draft on each Interest Payment Date for such series to the Holder thereof at the close of business on the Regular Record Date specified in the Securities of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interest payable at Maturity will be paid to the Person to whom principal is payable. The Company may pay such interest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check or draft mailed to such Holder’s address as it appears on the register for Securities of such series. Unless otherwise provided in the Securities of a series, principal of Securities shall be payable by check or draft and only against presentation and surrender of such Securities at the office of the Paying Agent, unless the Company shall have otherwise instructed the Trustee in writing.</w:t>
      </w:r>
    </w:p>
    <w:p>
      <w:pPr>
        <w:spacing w:after="0" w:line="79" w:lineRule="exact"/>
        <w:rPr>
          <w:rFonts w:ascii="Times New Roman" w:cs="Times New Roman" w:eastAsia="Times New Roman" w:hAnsi="Times New Roman"/>
          <w:sz w:val="18"/>
          <w:szCs w:val="18"/>
          <w:color w:val="auto"/>
        </w:rPr>
      </w:pPr>
    </w:p>
    <w:p>
      <w:pPr>
        <w:ind w:right="140" w:firstLine="987"/>
        <w:spacing w:after="0" w:line="282" w:lineRule="auto"/>
        <w:tabs>
          <w:tab w:leader="none" w:pos="123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election of the Company, any payments by the Company provided for in this Indenture or in any of the Securities may be made by electronic funds transfer.</w:t>
      </w:r>
    </w:p>
    <w:p>
      <w:pPr>
        <w:spacing w:after="0" w:line="16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i w:val="1"/>
          <w:iCs w:val="1"/>
          <w:color w:val="auto"/>
        </w:rPr>
        <w:t>Maintenance of Office or Agency</w:t>
      </w:r>
      <w:r>
        <w:rPr>
          <w:rFonts w:ascii="Times New Roman" w:cs="Times New Roman" w:eastAsia="Times New Roman" w:hAnsi="Times New Roman"/>
          <w:sz w:val="18"/>
          <w:szCs w:val="18"/>
          <w:color w:val="auto"/>
        </w:rPr>
        <w:t>. (a) The Company will maintain in each Place of Payment for any series of Securities, or any Tranche thereof, an office or agency where Securities, or any Tranche thereof, of that series may be surrendered for registration of transfer or exchange and a Place of Payment where (subject to Sections 305 and 307) Securities may be presented for payment or exchange and where notices and demands to or upon the Company in respect of the Securities of that series and this Indenture may be served. Unless otherwise specified pursuant to Section 301(b) with respect to any such series, the Company shall maintain such offices or agencies in connection with each series in the Borough of Manhattan, The City of New York, State of New York. The Security Registrar shall keep a register with respect to each series of Securities and to their transfer and exchange. The Company may appoint one or more co-Security Registrars acceptable to the Trustee and one or more additional Paying Agents for each series of Securities, and the Company may terminate the appointment of any co-Security Registrar or Paying Agent at any time upon written notice. The term “Security Registrar” includes any co-Security Registrar. The term “Paying Agent” includes any additional Paying Agent. The Company shall notify the Trustee of the name and address of any Agent not a party to this Indenture. Subject to Section 305, if the Company fails to maintain a Security Registrar or Paying Agent, the Trustee shall act as such.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79" w:lineRule="exact"/>
        <w:rPr>
          <w:sz w:val="20"/>
          <w:szCs w:val="20"/>
          <w:color w:val="auto"/>
        </w:rPr>
      </w:pPr>
    </w:p>
    <w:p>
      <w:pPr>
        <w:ind w:right="100" w:firstLine="987"/>
        <w:spacing w:after="0" w:line="258" w:lineRule="auto"/>
        <w:tabs>
          <w:tab w:leader="none" w:pos="124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66" w:right="459" w:bottom="1440" w:gutter="0" w:footer="0" w:header="0"/>
        </w:sectPr>
      </w:pPr>
    </w:p>
    <w:bookmarkStart w:id="78" w:name="page79"/>
    <w:bookmarkEnd w:id="78"/>
    <w:p>
      <w:pPr>
        <w:ind w:right="160" w:firstLine="987"/>
        <w:spacing w:after="0" w:line="282" w:lineRule="auto"/>
        <w:tabs>
          <w:tab w:leader="none" w:pos="123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Anything herein to the contrary notwithstanding, any office or agency required by this Section may be maintained at any office of the Company in which event the Company shall perform all functions to be performed at such office or agency.</w:t>
      </w:r>
    </w:p>
    <w:p>
      <w:pPr>
        <w:spacing w:after="0" w:line="160"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i w:val="1"/>
          <w:iCs w:val="1"/>
          <w:color w:val="auto"/>
        </w:rPr>
        <w:t>Money for Securities Payments to Be Held in Trust</w:t>
      </w:r>
      <w:r>
        <w:rPr>
          <w:rFonts w:ascii="Times New Roman" w:cs="Times New Roman" w:eastAsia="Times New Roman" w:hAnsi="Times New Roman"/>
          <w:sz w:val="18"/>
          <w:szCs w:val="18"/>
          <w:color w:val="auto"/>
        </w:rPr>
        <w:t>. (a) If the Company at any time acts as its own Paying Agent with respect to any series of Securities, or any Tranche thereof, it will, on or before each due date of the principal of or any premium or interest on any of such Securities, segregate and hold in trust for the benefit of the Persons entitled thereto a sum sufficient to pay the principal (and premium, if any) or interest so becoming due until such sums are paid to such Persons or otherwise disposed of as herein provided and will promptly notify the Trustee of its action or failure so to act.</w:t>
      </w:r>
    </w:p>
    <w:p>
      <w:pPr>
        <w:spacing w:after="0" w:line="77" w:lineRule="exact"/>
        <w:rPr>
          <w:sz w:val="20"/>
          <w:szCs w:val="20"/>
          <w:color w:val="auto"/>
        </w:rPr>
      </w:pPr>
    </w:p>
    <w:p>
      <w:pPr>
        <w:ind w:right="20" w:firstLine="987"/>
        <w:spacing w:after="0" w:line="258" w:lineRule="auto"/>
        <w:tabs>
          <w:tab w:leader="none" w:pos="124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Company has one or more Paying Agents for any series of Securities, it will, on or prior to (and if on, then before 11:00 a.m. (New York City time)) each due date of the principal of and any premium or interest on such Securities, deposit with a Paying Agent a sum sufficient (in immediately available funds, if payment is made on the due date) to pay the principal and any premium and interest so becoming due, such sum to be held in trust for the benefit of the Persons entitled to such principal, premium or interest as provided in the Trust Indenture Act and (unless such Paying Agent is the Trustee) the Company will promptly notify the Trustee of its action or failure so to act.</w:t>
      </w:r>
    </w:p>
    <w:p>
      <w:pPr>
        <w:spacing w:after="0" w:line="75" w:lineRule="exact"/>
        <w:rPr>
          <w:rFonts w:ascii="Times New Roman" w:cs="Times New Roman" w:eastAsia="Times New Roman" w:hAnsi="Times New Roman"/>
          <w:sz w:val="18"/>
          <w:szCs w:val="18"/>
          <w:color w:val="auto"/>
        </w:rPr>
      </w:pPr>
    </w:p>
    <w:p>
      <w:pPr>
        <w:jc w:val="both"/>
        <w:ind w:right="100" w:firstLine="987"/>
        <w:spacing w:after="0" w:line="266" w:lineRule="auto"/>
        <w:tabs>
          <w:tab w:leader="none" w:pos="123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cause each Paying Agent for any series of Securities, or any Tranche thereof, other than the Trustee, to execute and deliver to the Trustee an instrument in which such Paying Agent shall agree with the Trustee, subject to the provisions of this Section, that such Paying Agent will:</w:t>
      </w:r>
    </w:p>
    <w:p>
      <w:pPr>
        <w:spacing w:after="0" w:line="6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provisions of the Trust Indenture Act applicable to it as a Paying Agent and</w:t>
      </w:r>
    </w:p>
    <w:p>
      <w:pPr>
        <w:spacing w:after="0" w:line="117" w:lineRule="exact"/>
        <w:rPr>
          <w:rFonts w:ascii="Times New Roman" w:cs="Times New Roman" w:eastAsia="Times New Roman" w:hAnsi="Times New Roman"/>
          <w:sz w:val="18"/>
          <w:szCs w:val="18"/>
          <w:color w:val="auto"/>
        </w:rPr>
      </w:pPr>
    </w:p>
    <w:p>
      <w:pPr>
        <w:ind w:left="440" w:right="300" w:firstLine="419"/>
        <w:spacing w:after="0" w:line="266" w:lineRule="auto"/>
        <w:tabs>
          <w:tab w:leader="none" w:pos="112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67" w:lineRule="exact"/>
        <w:rPr>
          <w:rFonts w:ascii="Times New Roman" w:cs="Times New Roman" w:eastAsia="Times New Roman" w:hAnsi="Times New Roman"/>
          <w:sz w:val="18"/>
          <w:szCs w:val="18"/>
          <w:color w:val="auto"/>
        </w:rPr>
      </w:pPr>
    </w:p>
    <w:p>
      <w:pPr>
        <w:ind w:right="120" w:firstLine="987"/>
        <w:spacing w:after="0" w:line="261" w:lineRule="auto"/>
        <w:tabs>
          <w:tab w:leader="none" w:pos="124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71"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money deposited with the Trustee or any Paying Agent, or received by the Trustee in respect of Eligible Obligations deposited with the Trustee pursuant to Section 401 or 404, or then held by the Company, in trust for the payment of the principal of and any premium or interest on any Security of any series and remaining unclaimed for two years (or such shorter period for the return of such funds to the Company under applicable abandoned property laws)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w:t>
      </w:r>
    </w:p>
    <w:p>
      <w:pPr>
        <w:spacing w:after="0" w:line="187"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i w:val="1"/>
          <w:iCs w:val="1"/>
          <w:color w:val="auto"/>
        </w:rPr>
        <w:t>Statement as to Compliance</w:t>
      </w:r>
      <w:r>
        <w:rPr>
          <w:rFonts w:ascii="Times New Roman" w:cs="Times New Roman" w:eastAsia="Times New Roman" w:hAnsi="Times New Roman"/>
          <w:sz w:val="18"/>
          <w:szCs w:val="18"/>
          <w:color w:val="auto"/>
        </w:rPr>
        <w:t>. The Company will deliver to the Trustee, within 120 days after the end of each fiscal year of the Company ending after the date hereof, a written statement, which need not comply with Section 102, signed by the principal executive officer, the principal financial officer or the principal accounting officer of the Company stating, as to each signer thereof stating whether or not to the knowledge of the signers thereof it is in default in the performance and observance of any of the terms, provisions, and conditions of this Indenture (without regard to any period of grace or requirement of notice provided hereunder) and, if it is in default, specifying all such defaults and the nature and status thereof of which they may have knowledge.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79" w:name="page80"/>
    <w:bookmarkEnd w:id="79"/>
    <w:p>
      <w:pPr>
        <w:jc w:val="both"/>
        <w:ind w:right="1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1005. </w:t>
      </w:r>
      <w:r>
        <w:rPr>
          <w:rFonts w:ascii="Times New Roman" w:cs="Times New Roman" w:eastAsia="Times New Roman" w:hAnsi="Times New Roman"/>
          <w:sz w:val="18"/>
          <w:szCs w:val="18"/>
          <w:i w:val="1"/>
          <w:iCs w:val="1"/>
          <w:color w:val="auto"/>
        </w:rPr>
        <w:t>Corporate Existence</w:t>
      </w:r>
      <w:r>
        <w:rPr>
          <w:rFonts w:ascii="Times New Roman" w:cs="Times New Roman" w:eastAsia="Times New Roman" w:hAnsi="Times New Roman"/>
          <w:sz w:val="18"/>
          <w:szCs w:val="18"/>
          <w:color w:val="auto"/>
        </w:rPr>
        <w:t xml:space="preserve">. Subject to Article Eight, the Company will do or cause to be done all things necessary to preserve and keep in full force and effect its corporate existence, rights (charter and statutory) and franchises;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preserve any such right or franchise if, in the judgment of the Company, the preservation thereof is no longer desirable in the conduct of the business of the Company.</w:t>
      </w:r>
    </w:p>
    <w:p>
      <w:pPr>
        <w:spacing w:after="0" w:line="180"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i w:val="1"/>
          <w:iCs w:val="1"/>
          <w:color w:val="auto"/>
        </w:rPr>
        <w:t>Waiver of Certain Covenants</w:t>
      </w:r>
      <w:r>
        <w:rPr>
          <w:rFonts w:ascii="Times New Roman" w:cs="Times New Roman" w:eastAsia="Times New Roman" w:hAnsi="Times New Roman"/>
          <w:sz w:val="18"/>
          <w:szCs w:val="18"/>
          <w:color w:val="auto"/>
        </w:rPr>
        <w:t>. Except as otherwise specified as contemplated by Section 301 for Securities of such series, the Company may, with respect to the Securities of any series, omit in any particular instance to comply with any term, provision or condition set forth in (i) any additional covenants or restrictions specified with respect to the Securities of any series as contemplated by Section 301 if before the time for such compliance the Holders of not less than a majority in aggregate principal amount (or such larger proportion as may be required in respect of waiving a past default of any such additional covenant or restriction) of the Outstanding Securities of all series of equal ranking with respect to which such covenant or restriction was so specified, considered as one class, by Act of such Holders, either waive such compliance in such instance or generally waive compliance with such term, provision or condition and (ii) Sections 1002 and 1004 and Article Eight if before the time for such compliance the Holders of at least a majority in principal amount of Securities of all series of equal ranking Outstanding under this Indenture by Act of such Holders, either waive such compliance in such instance or generally waive compliance with such term, provision or condition; but, in the case of clause (i) or (ii) of this Section, no such waiver shall extend to or affect such term, provision or condition except to the extent so expressly waived, and, until such waiver becomes effective, the obligations of the Company and the duties of the Trustee in respect of any such term, provision or condition shall remain in full force and effect.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ELEVEN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REDEMPTION OF SECURITIES</w:t>
      </w:r>
    </w:p>
    <w:p>
      <w:pPr>
        <w:spacing w:after="0" w:line="227" w:lineRule="exact"/>
        <w:rPr>
          <w:sz w:val="20"/>
          <w:szCs w:val="20"/>
          <w:color w:val="auto"/>
        </w:rPr>
      </w:pPr>
    </w:p>
    <w:p>
      <w:pPr>
        <w:jc w:val="both"/>
        <w:ind w:firstLine="991"/>
        <w:spacing w:after="0" w:line="290" w:lineRule="auto"/>
        <w:rPr>
          <w:sz w:val="20"/>
          <w:szCs w:val="20"/>
          <w:color w:val="auto"/>
        </w:rPr>
      </w:pPr>
      <w:r>
        <w:rPr>
          <w:rFonts w:ascii="Times New Roman" w:cs="Times New Roman" w:eastAsia="Times New Roman" w:hAnsi="Times New Roman"/>
          <w:sz w:val="17"/>
          <w:szCs w:val="17"/>
          <w:color w:val="auto"/>
        </w:rPr>
        <w:t xml:space="preserve">SECTION 1101. </w:t>
      </w:r>
      <w:r>
        <w:rPr>
          <w:rFonts w:ascii="Times New Roman" w:cs="Times New Roman" w:eastAsia="Times New Roman" w:hAnsi="Times New Roman"/>
          <w:sz w:val="17"/>
          <w:szCs w:val="17"/>
          <w:i w:val="1"/>
          <w:iCs w:val="1"/>
          <w:color w:val="auto"/>
        </w:rPr>
        <w:t>Applicability of Article</w:t>
      </w:r>
      <w:r>
        <w:rPr>
          <w:rFonts w:ascii="Times New Roman" w:cs="Times New Roman" w:eastAsia="Times New Roman" w:hAnsi="Times New Roman"/>
          <w:sz w:val="17"/>
          <w:szCs w:val="17"/>
          <w:color w:val="auto"/>
        </w:rPr>
        <w:t>. Securities of any series that are redeemable before their Stated Maturity (or, if the principal of the Securities of any series is payable in installments, the Stated Maturity of the final installment of the principal thereof) shall be redeemable in accordance with their terms and (except as otherwise specified as contemplated by Section 301(b) for Securities of any series) in accordance with this Article.</w:t>
      </w:r>
    </w:p>
    <w:p>
      <w:pPr>
        <w:spacing w:after="0" w:line="15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i w:val="1"/>
          <w:iCs w:val="1"/>
          <w:color w:val="auto"/>
        </w:rPr>
        <w:t>Election to Redeem; Notice to Trustee</w:t>
      </w:r>
      <w:r>
        <w:rPr>
          <w:rFonts w:ascii="Times New Roman" w:cs="Times New Roman" w:eastAsia="Times New Roman" w:hAnsi="Times New Roman"/>
          <w:sz w:val="18"/>
          <w:szCs w:val="18"/>
          <w:color w:val="auto"/>
        </w:rPr>
        <w:t>. The election of the Company to redeem any Securities shall be evidenced by a Board Resolution or an Officer’s Certificate. In case of any redemption at the election of the Company of less than all the Securities of any series, the Company shall, at least 45 days prior to the Redemption Date fixed by the Company (unless a shorter notice is satisfactory to the Trustee in its sole discretion), notify the Trustee of such Redemption Date and of the principal amount of Securities of such series to be redeemed. In the case of any redemption of Securities (a) prior to the expiration of any restriction on such redemption provided in the terms of such Securities or elsewhere in this Indenture, or (b) pursuant to an election of the Company that is subject to a condition specified in the terms of such Securities the Company shall furnish the Trustee with an Officer’s Certificate evidencing compliance with such restriction.</w:t>
      </w:r>
    </w:p>
    <w:p>
      <w:pPr>
        <w:spacing w:after="0" w:line="183" w:lineRule="exact"/>
        <w:rPr>
          <w:sz w:val="20"/>
          <w:szCs w:val="20"/>
          <w:color w:val="auto"/>
        </w:rPr>
      </w:pPr>
    </w:p>
    <w:p>
      <w:pPr>
        <w:ind w:right="140"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i w:val="1"/>
          <w:iCs w:val="1"/>
          <w:color w:val="auto"/>
        </w:rPr>
        <w:t>Selection by Trustee of Securities to Be Redeemed</w:t>
      </w:r>
      <w:r>
        <w:rPr>
          <w:rFonts w:ascii="Times New Roman" w:cs="Times New Roman" w:eastAsia="Times New Roman" w:hAnsi="Times New Roman"/>
          <w:sz w:val="18"/>
          <w:szCs w:val="18"/>
          <w:color w:val="auto"/>
        </w:rPr>
        <w:t>. If less than all the Securities of any series are to be redeemed, unless the procedures of the Depositary provide otherwise, the particular Securities to be redeemed shall be selected by the Trustee, from the Outstanding Securities of such series not previously called for redemption, by such method as is provided for any particular series, or, in the absence of any such provision, pro rata, by lot, or by such method as the Trustee deems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68" w:right="459" w:bottom="1440" w:gutter="0" w:footer="0" w:header="0"/>
        </w:sectPr>
      </w:pPr>
    </w:p>
    <w:bookmarkStart w:id="80" w:name="page81"/>
    <w:bookmarkEnd w:id="80"/>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Trustee shall promptly notify the Company and the Security Registrar in writing of the Securities selected for redemption and, in the case of any Securities selected for partial redemption, the principal amount thereof to be redeemed and the method it has chosen for the selection of such Securities.</w:t>
      </w:r>
    </w:p>
    <w:p>
      <w:pPr>
        <w:spacing w:after="0" w:line="68"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that has been or is to be redeemed.</w:t>
      </w:r>
    </w:p>
    <w:p>
      <w:pPr>
        <w:spacing w:after="0" w:line="66" w:lineRule="exact"/>
        <w:rPr>
          <w:sz w:val="20"/>
          <w:szCs w:val="20"/>
          <w:color w:val="auto"/>
        </w:rPr>
      </w:pPr>
    </w:p>
    <w:p>
      <w:pPr>
        <w:jc w:val="both"/>
        <w:ind w:firstLine="991"/>
        <w:spacing w:after="0" w:line="267" w:lineRule="auto"/>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i w:val="1"/>
          <w:iCs w:val="1"/>
          <w:color w:val="auto"/>
        </w:rPr>
        <w:t>Notice of Redemption</w:t>
      </w:r>
      <w:r>
        <w:rPr>
          <w:rFonts w:ascii="Times New Roman" w:cs="Times New Roman" w:eastAsia="Times New Roman" w:hAnsi="Times New Roman"/>
          <w:sz w:val="18"/>
          <w:szCs w:val="18"/>
          <w:color w:val="auto"/>
        </w:rPr>
        <w:t>. Unless otherwise specified as contemplated by Section 301 with respect to any series of Securities, notice of redemption shall be given by electronic transmission or first-class mail, postage prepaid, mailed not less than 30 nor more than 60 days prior to the Redemption Date, to each Holder of Securities to be redeemed, at such Holder’s address appearing in the Security Register.</w:t>
      </w:r>
    </w:p>
    <w:p>
      <w:pPr>
        <w:spacing w:after="0" w:line="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All notices of redemption shall state:</w:t>
      </w:r>
    </w:p>
    <w:p>
      <w:pPr>
        <w:spacing w:after="0" w:line="117" w:lineRule="exact"/>
        <w:rPr>
          <w:sz w:val="20"/>
          <w:szCs w:val="20"/>
          <w:color w:val="auto"/>
        </w:rPr>
      </w:pPr>
    </w:p>
    <w:p>
      <w:pPr>
        <w:ind w:left="1120" w:hanging="261"/>
        <w:spacing w:after="0"/>
        <w:tabs>
          <w:tab w:leader="none" w:pos="11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17"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1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or the formula pursuant to which the Redemption Price is to be determined if the Redemption Price cannot be determined at the time notice is given,</w:t>
      </w:r>
    </w:p>
    <w:p>
      <w:pPr>
        <w:spacing w:after="0" w:line="53" w:lineRule="exact"/>
        <w:rPr>
          <w:rFonts w:ascii="Times New Roman" w:cs="Times New Roman" w:eastAsia="Times New Roman" w:hAnsi="Times New Roman"/>
          <w:sz w:val="18"/>
          <w:szCs w:val="18"/>
          <w:color w:val="auto"/>
        </w:rPr>
      </w:pPr>
    </w:p>
    <w:p>
      <w:pPr>
        <w:ind w:left="440" w:right="60" w:firstLine="419"/>
        <w:spacing w:after="0" w:line="258" w:lineRule="auto"/>
        <w:tabs>
          <w:tab w:leader="none" w:pos="111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the Outstanding Securities of any series are to be redeemed, the identification (and, in the case of partial redemption, the principal amounts) of the particular Securities to be redeemed, and the portion of the principal amount of any Security to be redeemed in part and, in the case of any such Security of such series to be redeemed in part, that, on and after the Redemption Date, upon surrender of such Security, a new Security or Securities of such series in principal amount equal to the remaining unpaid principal amount thereof will be issued as provided in Section 1106,</w:t>
      </w:r>
    </w:p>
    <w:p>
      <w:pPr>
        <w:spacing w:after="0" w:line="75" w:lineRule="exact"/>
        <w:rPr>
          <w:rFonts w:ascii="Times New Roman" w:cs="Times New Roman" w:eastAsia="Times New Roman" w:hAnsi="Times New Roman"/>
          <w:sz w:val="18"/>
          <w:szCs w:val="18"/>
          <w:color w:val="auto"/>
        </w:rPr>
      </w:pPr>
    </w:p>
    <w:p>
      <w:pPr>
        <w:ind w:left="440" w:right="620" w:firstLine="419"/>
        <w:spacing w:after="0" w:line="282" w:lineRule="auto"/>
        <w:tabs>
          <w:tab w:leader="none" w:pos="111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will become due and payable upon each such Security to be redeemed and, if applicable, that interest thereon will cease to accrue on and after said date,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such Securities are to be surrendered for payment of the Redemption Price and accrued interest, if any,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redemption is for a sinking fund, if such is the case,</w:t>
      </w:r>
    </w:p>
    <w:p>
      <w:pPr>
        <w:spacing w:after="0" w:line="115" w:lineRule="exact"/>
        <w:rPr>
          <w:rFonts w:ascii="Times New Roman" w:cs="Times New Roman" w:eastAsia="Times New Roman" w:hAnsi="Times New Roman"/>
          <w:sz w:val="18"/>
          <w:szCs w:val="18"/>
          <w:color w:val="auto"/>
        </w:rPr>
      </w:pPr>
    </w:p>
    <w:p>
      <w:pPr>
        <w:ind w:left="440" w:right="60" w:firstLine="419"/>
        <w:spacing w:after="0" w:line="267" w:lineRule="auto"/>
        <w:tabs>
          <w:tab w:leader="none" w:pos="111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CUSIP, “ISIN” or similar number(s), if any, assigned to such Securities;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notice may state that no representation is made as to the correctness of CUSIP, “ISIN” or similar number(s), and the redemption of such Securities shall not be affected by any defect in or omission of such number(s),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as the Company shall deem desirable or appropriate.</w:t>
      </w:r>
    </w:p>
    <w:p>
      <w:pPr>
        <w:spacing w:after="0" w:line="117"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Unless otherwise specified with respect to any Securities in accordance with Section 301, with respect to any notice of redemption of Securities at the election of the Company, unless, upon the giving of such notice, such Securities are deemed to have been paid in accordance with Section 401, such notice may state that such redemption shall be conditional upon the receipt by the Paying Agent or Agents for such Securities, on or prior to the date fixed for such redemption, of money sufficient to pay the principal of and premium, if any, and interest, if any, on such Securities and that if such money has not been so received such notice shall be of no force or effect and the Company shall not be required to redeem such Securities. In the event that such notice of redemption contains such a condition and such money is not so received, the redemption shall not be made and within a reasonable time thereafter notice shall be given, in the manner in which the notice of redemption was given, that such money was not so received and such redemption was not required to be made, and the Paying Agent or Agents for the Securities otherwise to have been redeemed shall promptly return to the Holders thereof any of such Securities that had been surrendered for payment upon such redemption.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81" w:name="page82"/>
    <w:bookmarkEnd w:id="81"/>
    <w:p>
      <w:pPr>
        <w:jc w:val="both"/>
        <w:ind w:right="260" w:firstLine="991"/>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 of redemption of Securities to be redeemed at the election of the Company, and any notice of non-satisfaction of a condition for redemption as aforesaid, shall be given by the Company or, at the Company’s request, by the Security Registrar in the name and at the expense of the Company. Notice of mandatory redemption of Securities shall be given by the Security Registrar in the name and at the expense of the Company.</w:t>
      </w:r>
    </w:p>
    <w:p>
      <w:pPr>
        <w:spacing w:after="0" w:line="156" w:lineRule="exact"/>
        <w:rPr>
          <w:sz w:val="20"/>
          <w:szCs w:val="20"/>
          <w:color w:val="auto"/>
        </w:rPr>
      </w:pPr>
    </w:p>
    <w:p>
      <w:pPr>
        <w:jc w:val="both"/>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i w:val="1"/>
          <w:iCs w:val="1"/>
          <w:color w:val="auto"/>
        </w:rPr>
        <w:t>Securities Payable on Redemption Date</w:t>
      </w:r>
      <w:r>
        <w:rPr>
          <w:rFonts w:ascii="Times New Roman" w:cs="Times New Roman" w:eastAsia="Times New Roman" w:hAnsi="Times New Roman"/>
          <w:sz w:val="18"/>
          <w:szCs w:val="18"/>
          <w:color w:val="auto"/>
        </w:rPr>
        <w:t xml:space="preserve">. (a) Notice of redemption having been given as aforesaid, and the conditions, if any, set forth in such notice having been satisfied, the Securities or portions thereof so to be redeemed shall, on the Redemption Date, become due and payable at the Redemption Price therein specified, and from and after such date (unless the Company defaults in the payment of the Redemption Price and accrued interest, if any) such Securities, or portions thereof, if interest-bearing, shall cease to bear interest. Upon surrender of any such Security for redemption in accordance with said notice, such Security or portion thereof, if any, shall be paid by the Company at the Redemption Price, together with accrued interest, if any, to the Redemption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installments of interest whose Stated Maturity is on or prior to the Redemption Date shall be payable to the Holders of such Securities, or one or more Predecessor Securities, registered as such at the close of business on the relevant Regular Record Dates according to their terms and the provisions of Section 307.</w:t>
      </w:r>
    </w:p>
    <w:p>
      <w:pPr>
        <w:spacing w:after="0" w:line="79" w:lineRule="exact"/>
        <w:rPr>
          <w:sz w:val="20"/>
          <w:szCs w:val="20"/>
          <w:color w:val="auto"/>
        </w:rPr>
      </w:pPr>
    </w:p>
    <w:p>
      <w:pPr>
        <w:ind w:right="120" w:firstLine="987"/>
        <w:spacing w:after="0" w:line="282" w:lineRule="auto"/>
        <w:tabs>
          <w:tab w:leader="none" w:pos="124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60"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i w:val="1"/>
          <w:iCs w:val="1"/>
          <w:color w:val="auto"/>
        </w:rPr>
        <w:t>Securities Redeemed in Part</w:t>
      </w:r>
      <w:r>
        <w:rPr>
          <w:rFonts w:ascii="Times New Roman" w:cs="Times New Roman" w:eastAsia="Times New Roman" w:hAnsi="Times New Roman"/>
          <w:sz w:val="18"/>
          <w:szCs w:val="18"/>
          <w:color w:val="auto"/>
        </w:rPr>
        <w:t>. Any physical Security that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or her attorney duly authorized in writing), and the Company shall execute, and the Trustee shall authenticate and deliver to the Holder of such Security without service charge, a new Security or Securities of the same series, of any authorized denomination as requested by such Holder, and of like tenor and in aggregate principal amount equal to and in exchange for the unredeemed portion of the principal of the Security so surrendered.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TWELVE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REPAYMENT OF SECURITIES AT OPTION OF HOLDERS</w:t>
      </w:r>
    </w:p>
    <w:p>
      <w:pPr>
        <w:spacing w:after="0" w:line="227" w:lineRule="exact"/>
        <w:rPr>
          <w:sz w:val="20"/>
          <w:szCs w:val="20"/>
          <w:color w:val="auto"/>
        </w:rPr>
      </w:pPr>
    </w:p>
    <w:p>
      <w:pPr>
        <w:ind w:firstLine="991"/>
        <w:spacing w:after="0" w:line="267"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i w:val="1"/>
          <w:iCs w:val="1"/>
          <w:color w:val="auto"/>
        </w:rPr>
        <w:t>Applicability of Article</w:t>
      </w:r>
      <w:r>
        <w:rPr>
          <w:rFonts w:ascii="Times New Roman" w:cs="Times New Roman" w:eastAsia="Times New Roman" w:hAnsi="Times New Roman"/>
          <w:sz w:val="18"/>
          <w:szCs w:val="18"/>
          <w:color w:val="auto"/>
        </w:rPr>
        <w:t>. Securities of any series that are repayable before their Stated Maturity at the option of the Holders shall be repayable in accordance with their terms and (except as otherwise specified as contemplated by Section 301 for Securities of any series) in accordance with this Article.</w:t>
      </w:r>
    </w:p>
    <w:p>
      <w:pPr>
        <w:spacing w:after="0" w:line="173"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i w:val="1"/>
          <w:iCs w:val="1"/>
          <w:color w:val="auto"/>
        </w:rPr>
        <w:t>Notice of Repayment Date</w:t>
      </w:r>
      <w:r>
        <w:rPr>
          <w:rFonts w:ascii="Times New Roman" w:cs="Times New Roman" w:eastAsia="Times New Roman" w:hAnsi="Times New Roman"/>
          <w:sz w:val="18"/>
          <w:szCs w:val="18"/>
          <w:color w:val="auto"/>
        </w:rPr>
        <w:t>. Notice of any Repayment Date with respect to Securities of any series shall be given by the Company not less than 30 nor more than 45 days prior to such Repayment Date (or at such other times as may be specified for such repayment or repurchase pursuant to Section 301) to each Holder of Securities of such series in accordance with Section 106 (except as otherwise specified as contemplated by Section 301 for Securities of any series).</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notice as to the Repayment Date shall state (unless otherwise specified for such repayment or repurchase pursuant to Section 301):</w:t>
      </w:r>
    </w:p>
    <w:p>
      <w:pPr>
        <w:spacing w:after="0" w:line="117" w:lineRule="exact"/>
        <w:rPr>
          <w:sz w:val="20"/>
          <w:szCs w:val="20"/>
          <w:color w:val="auto"/>
        </w:rPr>
      </w:pPr>
    </w:p>
    <w:p>
      <w:pPr>
        <w:ind w:left="1120" w:hanging="261"/>
        <w:spacing w:after="0"/>
        <w:tabs>
          <w:tab w:leader="none" w:pos="11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Date;</w:t>
      </w:r>
    </w:p>
    <w:p>
      <w:pPr>
        <w:spacing w:after="0" w:line="117"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Securities required to be repaid or repurchased and the Repayment Price (or the formula pursuant to which the Repayment Price is to be determined if the Repayment Price cannot be determined at the time the notice is given);</w:t>
      </w:r>
    </w:p>
    <w:p>
      <w:pPr>
        <w:spacing w:after="0" w:line="53"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such Securities are to be surrendered for payment of the Repayment Price, and accrued interest, if any, and the date by which Securities must be so surrendered in order to be repaid or repurchased;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82" w:name="page83"/>
    <w:bookmarkEnd w:id="82"/>
    <w:p>
      <w:pPr>
        <w:ind w:left="1120" w:hanging="261"/>
        <w:spacing w:after="0"/>
        <w:tabs>
          <w:tab w:leader="none" w:pos="11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any Security not tendered or accepted for payment shall continue to accrue interest;</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Company defaults in making such payment or the Paying Agent is prohibited from paying such money to the Holders on that date pursuant to the terms of this Indenture, Securities accepted for payment pursuant to any such offer of repayment or repurchase shall cease to accrue interest after the Repayment Date;</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electing to have a Security repaid or purchased pursuant to such offer may elect to have all or any portion of such Security purchased;</w:t>
      </w:r>
    </w:p>
    <w:p>
      <w:pPr>
        <w:spacing w:after="0" w:line="53" w:lineRule="exact"/>
        <w:rPr>
          <w:rFonts w:ascii="Times New Roman" w:cs="Times New Roman" w:eastAsia="Times New Roman" w:hAnsi="Times New Roman"/>
          <w:sz w:val="18"/>
          <w:szCs w:val="18"/>
          <w:color w:val="auto"/>
        </w:rPr>
      </w:pPr>
    </w:p>
    <w:p>
      <w:pPr>
        <w:jc w:val="both"/>
        <w:ind w:left="440" w:right="60" w:firstLine="419"/>
        <w:spacing w:after="0" w:line="266" w:lineRule="auto"/>
        <w:tabs>
          <w:tab w:leader="none" w:pos="111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electing to have a Security repaid or repurchased pursuant to any such offer shall be required to surrender the Security, with such customary documents of surrender and transfer as the Company may reasonably request, duly completed, or transfer by book-entry transfer, to the Company or the Paying Agent at the address specified in the notice at least two Business Days prior to the Repayment Date;</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61" w:lineRule="auto"/>
        <w:tabs>
          <w:tab w:leader="none" w:pos="111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shall be entitled to withdraw their election if the Company or the Paying Agent, as the case may be, receives, not later than the expiration of the offer to repay or repurchase, a telegram, facsimile transmission or letter setting forth the name of the Holder, the principal amount of the Security the Holder delivered for purchase and a statement that such Holder is withdrawing its election to have such Security purchased;</w:t>
      </w:r>
    </w:p>
    <w:p>
      <w:pPr>
        <w:spacing w:after="0" w:line="71" w:lineRule="exact"/>
        <w:rPr>
          <w:rFonts w:ascii="Times New Roman" w:cs="Times New Roman" w:eastAsia="Times New Roman" w:hAnsi="Times New Roman"/>
          <w:sz w:val="18"/>
          <w:szCs w:val="18"/>
          <w:color w:val="auto"/>
        </w:rPr>
      </w:pPr>
    </w:p>
    <w:p>
      <w:pPr>
        <w:jc w:val="both"/>
        <w:ind w:left="440" w:right="180" w:firstLine="419"/>
        <w:spacing w:after="0" w:line="266" w:lineRule="auto"/>
        <w:tabs>
          <w:tab w:leader="none" w:pos="111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the case of a repayment or repurchase of less than all Outstanding Securities of a series, the method of selection of Securities to be repaid or repurchased to be applied by the Trustee if the principal amount of properly tendered Securities exceeds the principal amount of the Securities to be repaid or repurchased;</w:t>
      </w:r>
    </w:p>
    <w:p>
      <w:pPr>
        <w:spacing w:after="0" w:line="67"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20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whose Securities are purchased only in part shall be issued new Securities of the same series equal in principal amount to the unpurchased portion of the Securities surrendered (or transferred by book-entry transfer); and</w:t>
      </w:r>
    </w:p>
    <w:p>
      <w:pPr>
        <w:spacing w:after="0" w:line="53"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20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or other identification number, if any, printed on the Securities being repurchased and that no representation is made as to the correctness or accuracy of the CUSIP or other identification number, if any, listed in such notice or printed on the Securities.</w:t>
      </w:r>
    </w:p>
    <w:p>
      <w:pPr>
        <w:spacing w:after="0" w:line="16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i w:val="1"/>
          <w:iCs w:val="1"/>
          <w:color w:val="auto"/>
        </w:rPr>
        <w:t>Securities Payable on Repayment Date</w:t>
      </w:r>
      <w:r>
        <w:rPr>
          <w:rFonts w:ascii="Times New Roman" w:cs="Times New Roman" w:eastAsia="Times New Roman" w:hAnsi="Times New Roman"/>
          <w:sz w:val="18"/>
          <w:szCs w:val="18"/>
          <w:color w:val="auto"/>
        </w:rPr>
        <w:t xml:space="preserve">. The form of option to elect repurchase or repayment having been delivered as specified in the form of Security for such series, the Securities of such series so to be repaid (after application of the method of selection described pursuant to clause (9) of Section 1202, if the principal amount of properly tendered Securities exceeds the principal amount of the Securities to be repaid or repurchased) shall, on the Repayment Date, become due and payable at the Repayment Price applicable thereto and from and after such date (unless the Company defaults in the payment of the Repayment Price and accrued interest) such Securities shall cease to bear interest. Upon surrender of any such Security for repayment in accordance with said notice, such Security shall be paid by the Company at the Repayment Price together with accrued interest, if any, to but excluding the Repayment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 Security is repaid or repurchased on or after a Regular Record Date but on or prior to the Stated Maturity of any installments of interest, then any accrued and unpaid interest due on such Stated Maturity shall be payable to the Holders of such Securities, or one or more Predecessor Securities, registered as such at the close of business on the relevant Regular Record Dates according to their terms and the provisions of Section 307.</w:t>
      </w:r>
    </w:p>
    <w:p>
      <w:pPr>
        <w:spacing w:after="0" w:line="187"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If any Security is not paid upon surrender thereof for repayment, the principal (and premium, if any) shall, until paid, bear interest from the Repayment Date at the rate prescribed therefor in such Security.</w:t>
      </w:r>
    </w:p>
    <w:p>
      <w:pPr>
        <w:spacing w:after="0" w:line="16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1204. </w:t>
      </w:r>
      <w:r>
        <w:rPr>
          <w:rFonts w:ascii="Times New Roman" w:cs="Times New Roman" w:eastAsia="Times New Roman" w:hAnsi="Times New Roman"/>
          <w:sz w:val="18"/>
          <w:szCs w:val="18"/>
          <w:i w:val="1"/>
          <w:iCs w:val="1"/>
          <w:color w:val="auto"/>
        </w:rPr>
        <w:t>Securities Repaid in Part</w:t>
      </w:r>
      <w:r>
        <w:rPr>
          <w:rFonts w:ascii="Times New Roman" w:cs="Times New Roman" w:eastAsia="Times New Roman" w:hAnsi="Times New Roman"/>
          <w:sz w:val="18"/>
          <w:szCs w:val="18"/>
          <w:color w:val="auto"/>
        </w:rPr>
        <w:t>. Any Security that by its terms may be repaid in part at the option of the Holder and that is to be repaid only in part shall be surrendered at any office or agency of the Company designated for that purpose pursuant to Section 1002 (with, if the Company or the Trustee so requires, due endorsement by, or a written instrument of transfer in form satisfactory to the Company and the Trustee duly executed by, the Holder thereof or his or her attorney duly authorized in writing), and the Company shall execute, and the Trustee shall authenticate and deliver to the Holder of such Security without service charge, a new Security or Securities of the same series, as provided in Section 305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any authorized denomination as requested by such Holder, in aggregate principal amount equal to and in exchange for the unrepaid portion of the principal of the Security so surrendered.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83" w:name="page84"/>
    <w:bookmarkEnd w:id="83"/>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instrument may be executed in any number of counterparts, each of which so executed shall be deemed to be an original, but all such counterparts shall together constitute but one and the same instrument.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Indenture to be duly executed as of the date first above written.</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VERACYTE,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[TRUSTEE]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20"/>
          </w:cols>
          <w:pgMar w:left="440" w:top="270" w:right="539" w:bottom="1440" w:gutter="0" w:footer="0" w:header="0"/>
        </w:sectPr>
      </w:pPr>
    </w:p>
    <w:bookmarkStart w:id="84" w:name="page85"/>
    <w:bookmarkEnd w:id="84"/>
    <w:tbl>
      <w:tblPr>
        <w:tblLayout w:type="fixed"/>
        <w:tblInd w:w="7060" w:type="dxa"/>
        <w:tblCellMar>
          <w:top w:w="0" w:type="dxa"/>
          <w:left w:w="0" w:type="dxa"/>
          <w:bottom w:w="0" w:type="dxa"/>
          <w:right w:w="0" w:type="dxa"/>
        </w:tblCellMar>
      </w:tblPr>
      <w:tr>
        <w:trPr>
          <w:trHeight w:val="238"/>
        </w:trPr>
        <w:tc>
          <w:tcPr>
            <w:tcW w:w="24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tc>
      </w:tr>
      <w:tr>
        <w:trPr>
          <w:trHeight w:val="441"/>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555 California Street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415.875.2300</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12th Floor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Fenwick.com</w:t>
            </w:r>
          </w:p>
        </w:tc>
      </w:t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San Francisco, CA 94104</w:t>
            </w:r>
          </w:p>
        </w:tc>
        <w:tc>
          <w:tcPr>
            <w:tcW w:w="1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-410845</wp:posOffset>
            </wp:positionV>
            <wp:extent cx="1379855" cy="2311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1379855" cy="23114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3, 2021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Veracyte,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6000 Shoreline Court,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At your request, we have examined the Registration Statement on Form S-3 filed by Veracyte,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with the Securities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February 3, 2021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in connection with the registration under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of the offering and sale from time to time of (i) shares of the Company’s common stock, $0.001 par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(ii) shares of the Company’s preferred stock, $0.001 par value per share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(iii) one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series of debt securities (the “</w:t>
      </w:r>
      <w:r>
        <w:rPr>
          <w:rFonts w:ascii="Times New Roman" w:cs="Times New Roman" w:eastAsia="Times New Roman" w:hAnsi="Times New Roman"/>
          <w:sz w:val="18"/>
          <w:szCs w:val="18"/>
          <w:b w:val="1"/>
          <w:bCs w:val="1"/>
          <w:i w:val="1"/>
          <w:iCs w:val="1"/>
          <w:color w:val="auto"/>
        </w:rPr>
        <w:t>Debt Securities</w:t>
      </w:r>
      <w:r>
        <w:rPr>
          <w:rFonts w:ascii="Times New Roman" w:cs="Times New Roman" w:eastAsia="Times New Roman" w:hAnsi="Times New Roman"/>
          <w:sz w:val="18"/>
          <w:szCs w:val="18"/>
          <w:color w:val="auto"/>
        </w:rPr>
        <w:t>”) issuable pursuant to an indenture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by and between the Company and a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 to be identified therein as trustee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(iv) warrants to purchase shares of Common Stock, shares of Preferred Stock or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(v) subscription rights to purchase shares of Common Stock, shares of Preferred Stock or Debt Securities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Subscription Rights</w:t>
      </w:r>
      <w:r>
        <w:rPr>
          <w:rFonts w:ascii="Times New Roman" w:cs="Times New Roman" w:eastAsia="Times New Roman" w:hAnsi="Times New Roman"/>
          <w:sz w:val="18"/>
          <w:szCs w:val="18"/>
          <w:color w:val="auto"/>
        </w:rPr>
        <w:t>”) and/or (vi) units consisting of any combination of such foregoing securities described in clauses (i) through (v) above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at indeterminate prices in reliance on Rule 456(b) and Rule 457(r) under the Securities Act. The Debt Securities, the Common Stock,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the Warrants, the Subscription Rights and the Units are collectively referred to herein as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The Securities may be sold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by the Company as set forth in the Registration Statement, the prospectus contained within the Registration Statement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and supplements to the Prospectus.</w:t>
      </w:r>
    </w:p>
    <w:p>
      <w:pPr>
        <w:spacing w:after="0" w:line="20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our opinion expressed below we have examined originals or copies of the Company’s Restated Certificate of Incorporation (the “</w:t>
      </w:r>
      <w:r>
        <w:rPr>
          <w:rFonts w:ascii="Times New Roman" w:cs="Times New Roman" w:eastAsia="Times New Roman" w:hAnsi="Times New Roman"/>
          <w:sz w:val="18"/>
          <w:szCs w:val="18"/>
          <w:b w:val="1"/>
          <w:bCs w:val="1"/>
          <w:i w:val="1"/>
          <w:iCs w:val="1"/>
          <w:color w:val="auto"/>
        </w:rPr>
        <w:t>Restated Certificate</w:t>
      </w:r>
      <w:r>
        <w:rPr>
          <w:rFonts w:ascii="Times New Roman" w:cs="Times New Roman" w:eastAsia="Times New Roman" w:hAnsi="Times New Roman"/>
          <w:sz w:val="18"/>
          <w:szCs w:val="18"/>
          <w:color w:val="auto"/>
        </w:rPr>
        <w:t>”) and Amended and Restated Bylaws (the “</w:t>
      </w:r>
      <w:r>
        <w:rPr>
          <w:rFonts w:ascii="Times New Roman" w:cs="Times New Roman" w:eastAsia="Times New Roman" w:hAnsi="Times New Roman"/>
          <w:sz w:val="18"/>
          <w:szCs w:val="18"/>
          <w:b w:val="1"/>
          <w:bCs w:val="1"/>
          <w:i w:val="1"/>
          <w:iCs w:val="1"/>
          <w:color w:val="auto"/>
        </w:rPr>
        <w:t>Restated Bylaws</w:t>
      </w:r>
      <w:r>
        <w:rPr>
          <w:rFonts w:ascii="Times New Roman" w:cs="Times New Roman" w:eastAsia="Times New Roman" w:hAnsi="Times New Roman"/>
          <w:sz w:val="18"/>
          <w:szCs w:val="18"/>
          <w:color w:val="auto"/>
        </w:rPr>
        <w:t>” and, together with the Restated Certificate, as each may be amended, modified or restated, the “</w:t>
      </w:r>
      <w:r>
        <w:rPr>
          <w:rFonts w:ascii="Times New Roman" w:cs="Times New Roman" w:eastAsia="Times New Roman" w:hAnsi="Times New Roman"/>
          <w:sz w:val="18"/>
          <w:szCs w:val="18"/>
          <w:b w:val="1"/>
          <w:bCs w:val="1"/>
          <w:i w:val="1"/>
          <w:iCs w:val="1"/>
          <w:color w:val="auto"/>
        </w:rPr>
        <w:t>Charter Documents</w:t>
      </w:r>
      <w:r>
        <w:rPr>
          <w:rFonts w:ascii="Times New Roman" w:cs="Times New Roman" w:eastAsia="Times New Roman" w:hAnsi="Times New Roman"/>
          <w:sz w:val="18"/>
          <w:szCs w:val="18"/>
          <w:color w:val="auto"/>
        </w:rPr>
        <w:t>”), certain corporate proceedings of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and stockholders relating to the Registration Statement, the Company’s Restated Certificate and Restated Bylaws, and such other agreements, documents, certificates and statements of the Company, its transfer agent and public or government officials, as we have deemed advisable, and have examined such questions of law as we have considered necessary</w:t>
      </w:r>
    </w:p>
    <w:p>
      <w:pPr>
        <w:spacing w:after="0" w:line="18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We have assumed, and express no opinion as to, the genuineness of all signatures on documents submitted to us, the authenticity and completeness of all documents submitted to us as originals, the conformity to originals and completeness of all documents submitted to us as copies, the legal capacity of all persons or entities (except for the Company) executing the same, the absence of any undisclosed termination, modification, waiver or amendment to any document reviewed by us, the absence of any other extrinsic agreements or documents that might change or affect the interpretation or terms of documents we have reviewed, and the due authorization, execution and delivery of all such documents where due authorization, execution and delivery are prerequisites to the effectiveness thereof. In giving our opinion, we have also relied upon a good standing certificate regarding the Company issued by the Delaware Secretary of State dated February 2, 2021, and a management certificate addressed to us and dated of even date herewith executed by the Company containing certain factual representations (the “</w:t>
      </w:r>
      <w:r>
        <w:rPr>
          <w:rFonts w:ascii="Times New Roman" w:cs="Times New Roman" w:eastAsia="Times New Roman" w:hAnsi="Times New Roman"/>
          <w:sz w:val="18"/>
          <w:szCs w:val="18"/>
          <w:b w:val="1"/>
          <w:bCs w:val="1"/>
          <w:i w:val="1"/>
          <w:iCs w:val="1"/>
          <w:color w:val="auto"/>
        </w:rPr>
        <w:t>Management Certificate</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85" w:name="page86"/>
    <w:bookmarkEnd w:id="85"/>
    <w:p>
      <w:pPr>
        <w:jc w:val="both"/>
        <w:ind w:right="4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also have assumed that any certificates or instruments representing the Securities will be, when issued, properly signed by authorized officers of the Company, and, in the case of Debt Securities, properly authenticated in accordance with the terms of the Indenture and delivered to the intended recipients with the intent that the Company be bound thereby. Furthermore, with respect to the Company’s uncertificated capital stock, we assume that issued Common Stock will not be reissued by the Company in uncertificated form until any previously issued stock certificate representing such issued Common Stock has been surrendered to the Company in accordance with Section 158 of the Delaware General Corporation Law, and that the Company will properly register the transfer of the Common Stock to the purchasers of such Common Stock on the Company’s record of uncertificated securities. We also have assumed that the Indenture at the time of execution, authentication, issuance and delivery of the Debt Securities will be a valid and legally binding obligation of the Trustee.</w:t>
      </w:r>
    </w:p>
    <w:p>
      <w:pPr>
        <w:spacing w:after="0" w:line="19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As to matters of fact relevant to this opinion, we have relied solely upon our examination of the documents referred to above and the Management Certificate and have assumed the current accuracy and completeness of the information obtained from the documents referred to above and the representations and warranties made by representatives of the Company to us, including but not limited to those set forth in the Management Certificate. We have made no independent investigation or other attempt to verify the accuracy of any of such information or to determine the existence or non-existence of any other factual matters.</w:t>
      </w:r>
    </w:p>
    <w:p>
      <w:pPr>
        <w:spacing w:after="0" w:line="183"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We are admitted to practice law in the State of California, and we render this opinion only with respect to, and express no opinion herein concerning the application or effect of the laws of any jurisdiction other than (i) the existing laws of the State of California, (ii) the Delaware General Corporation Law, and (iii) solely with respect to whether or not the Debt Securities are the valid and binding obligations of the Company, the existing laws of the state of New York (clauses (i) through (iii) collectively, the “</w:t>
      </w:r>
      <w:r>
        <w:rPr>
          <w:rFonts w:ascii="Times New Roman" w:cs="Times New Roman" w:eastAsia="Times New Roman" w:hAnsi="Times New Roman"/>
          <w:sz w:val="18"/>
          <w:szCs w:val="18"/>
          <w:b w:val="1"/>
          <w:bCs w:val="1"/>
          <w:i w:val="1"/>
          <w:iCs w:val="1"/>
          <w:color w:val="auto"/>
        </w:rPr>
        <w:t>Applicable Laws</w:t>
      </w:r>
      <w:r>
        <w:rPr>
          <w:rFonts w:ascii="Times New Roman" w:cs="Times New Roman" w:eastAsia="Times New Roman" w:hAnsi="Times New Roman"/>
          <w:sz w:val="18"/>
          <w:szCs w:val="18"/>
          <w:color w:val="auto"/>
        </w:rPr>
        <w:t>”). To the extent that any Warrant Agreement, Subscription Rights Agreement or Unit Agreement (each as defined below) is governed by the laws of any jurisdiction other than the State of California, our opinion expressed below assumes that Internal California Law (as defined below) will exclusively apply to and govern such Warrant Agreement, Subscription Rights Agreement or Unit Agreement, without regard to any interpretation or construction that might be indicated by the laws stated as governing any such Warrant Agreement, Subscription Rights Agreement or Unit Agreement. As used herein “</w:t>
      </w:r>
      <w:r>
        <w:rPr>
          <w:rFonts w:ascii="Times New Roman" w:cs="Times New Roman" w:eastAsia="Times New Roman" w:hAnsi="Times New Roman"/>
          <w:sz w:val="18"/>
          <w:szCs w:val="18"/>
          <w:b w:val="1"/>
          <w:bCs w:val="1"/>
          <w:i w:val="1"/>
          <w:iCs w:val="1"/>
          <w:color w:val="auto"/>
        </w:rPr>
        <w:t>Internal California Law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means the internal laws of the State of California applicable to a contract made by California residents in the State of California that selects California law as the governing law of such contract, without regard to any laws or equitable principles regarding choice of law, conflict of laws or public policies that might make any other law(s) applicable. Without limitation, we express no opinion with respect to the federal laws of the United States of America or the securities or “blue sky” laws of any state or any local or regional laws.</w:t>
      </w:r>
    </w:p>
    <w:p>
      <w:pPr>
        <w:spacing w:after="0" w:line="19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In connection with our opinions expressed below, we have assumed that, (i) at or prior to the time of the delivery of any of the Securities, there will not have occurred any change in the law or the facts affecting the validity of the Securities, (ii) if any Debt Securities are issued, such Debt Securities will only be issued pursuant to the Indenture in the form filed with the Registration Statement as an exhibit and that there will not have occurred any change in law affecting the enforceability of the Debt Securities or the Indenture, (iii) all applicable covenants binding on or applicable to the Company restricting the issuance of Debt Securities will have been validly waived, (iv) the Registration Statement and any amendments (including any necessary post-effective amendments) will have been declared effective under the Securities Act, (v) at the time of the offer, issuance and sale of any Securities, no stop order suspending the Registration Statement’s effectiveness will have been issued and remain in effect, (vi) no future amendments will be made to the Charter Documents that would be in conflict with or inconsistent with the Company’s right and ability to issue the Securities, (vii) at the time of each offer, issuance and sale of any Securities, the Company will have a sufficient number of authorized and unissued and unreserved shares of the applicable class or series of its capital stock included in (or purchasable upon exercise or conversion of) the Securities so issued and sold (after taking into account all other outstanding securities of the Company which may require the Company to issue shares of such applicable class or series) to be able to issue all such shares, and (viii) all purchasers of Securities will timely pay in full to the Company all amounts they have agreed to pay to purchase such Securities, as approved by the Board or a duly authorized committee thereof, and that the purchase price of any Securities that are shares of capital stock will not be less than the par value thereof. We also have assumed that the terms of any Debt Securities to be established subsequent to the date hereof, the issuance and delivery of Securities subsequent to the date hereof and the compliance by the Company with the terms of such Securities will not violate any applicable law (including, without limitation, any law relating to usury or similar laws) or result in a violation of any provision of any of the Charter Documents or of any instrument or agreement then binding upon the Company or any restriction imposed by any court or governmental body having jurisdiction over the Company.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86" w:name="page87"/>
    <w:bookmarkEnd w:id="86"/>
    <w:p>
      <w:pPr>
        <w:ind w:right="8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opinion is qualified by, and is subject to, and we render no opinion with respect to, the following limitations and exceptions to the enforceability of the Debt Securities:</w:t>
      </w:r>
    </w:p>
    <w:p>
      <w:pPr>
        <w:spacing w:after="0" w:line="67" w:lineRule="exact"/>
        <w:rPr>
          <w:sz w:val="20"/>
          <w:szCs w:val="20"/>
          <w:color w:val="auto"/>
        </w:rPr>
      </w:pPr>
    </w:p>
    <w:p>
      <w:pPr>
        <w:ind w:left="960" w:right="380" w:hanging="532"/>
        <w:spacing w:after="0" w:line="266" w:lineRule="auto"/>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laws of bankruptcy, insolvency, reorganization, arrangement, moratorium, fraudulent conveyance, assignment for the benefit of creditors, and other similar laws now or hereinafter in effect relating to or affecting the rights and remedies of creditors, including the effect of statutory or other laws regarding fraudulent transfers or preferential transfers.</w:t>
      </w:r>
    </w:p>
    <w:p>
      <w:pPr>
        <w:spacing w:after="0" w:line="81" w:lineRule="exact"/>
        <w:rPr>
          <w:rFonts w:ascii="Times New Roman" w:cs="Times New Roman" w:eastAsia="Times New Roman" w:hAnsi="Times New Roman"/>
          <w:sz w:val="18"/>
          <w:szCs w:val="18"/>
          <w:color w:val="auto"/>
        </w:rPr>
      </w:pPr>
    </w:p>
    <w:p>
      <w:pPr>
        <w:ind w:left="960" w:right="160" w:hanging="532"/>
        <w:spacing w:after="0" w:line="266" w:lineRule="auto"/>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general principles of equity and similar principles, including, without limitation, concepts of materiality, reasonableness, good faith and fair dealing, public policy and unconscionability, and the possible unavailability of specific performance, injunctive relief, or other equitable remedies, regardless of whether considered in a proceeding in equity or at law.</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laws relating to usury or permissible rates of interest for loans, forbearances or the use of money.</w:t>
      </w:r>
    </w:p>
    <w:p>
      <w:pPr>
        <w:spacing w:after="0" w:line="225"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We express no opinion regarding the effectiveness of any waiver or stay, extension, or of unknown future rights. Further, we express no opinion regarding the effect of provisions relating to indemnification, exculpation or contribution to the extent such provisions may be held unenforceable as contrary to federal or state securities laws or public policy.</w:t>
      </w:r>
    </w:p>
    <w:p>
      <w:pPr>
        <w:spacing w:after="0" w:line="176" w:lineRule="exact"/>
        <w:rPr>
          <w:sz w:val="20"/>
          <w:szCs w:val="20"/>
          <w:color w:val="auto"/>
        </w:rPr>
      </w:pPr>
    </w:p>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t>The Company has informed us that the Company intends to issue the Securities from time to time on a delayed or continuous basis. This opinion is limited to the Applicable Laws, including the rules and regulations thereunder, as in effect on the date hereof. We are basing this opinion on our understanding that, prior to issuing any Securities in connection with the Registration Statement, the Company will advise us in writing of the terms thereof and other information material thereto, will afford us an opportunity to review the operative documents pursuant to which such Securities are to be issued (including the Registration Statement, the Prospectus and the applicable supplement to the Prospectus, as then in effect) and will file such supplement or amendment to this opinion (if any) as we may reasonably consider necessary or appropriate with respect to such Securities. However, we undertake no responsibility to monitor the Company’s future compliance with applicable laws, rules or regulations of the Commission or other governmental body. In particular, we assume that the Company will obtain the requisite approval of the Board and the requisite approval of its stockholders if required by the laws of the State of Delaware and the Charter Documents, or if necessary because the Company does not have a sufficient number of authorized but unissued and unreserved shares of its capital stock at the time of issuance to comply with any Securities. We also assume the Company will timely file any and all supplements to the Registration Statement and Prospectus as are necessary to comply with applicable laws in effect from time to time and duly amend its Restated Certificate to increase the authorized number of shares of its capital stock as necessary if the number of such shares to be sold pursuant to the Registration Statement would cause the Company to issue more such shares than it has authorized and unissued and unreserved.</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upon the foregoing, we are of the following opinion:</w:t>
      </w:r>
    </w:p>
    <w:p>
      <w:pPr>
        <w:spacing w:after="0" w:line="131" w:lineRule="exact"/>
        <w:rPr>
          <w:sz w:val="20"/>
          <w:szCs w:val="20"/>
          <w:color w:val="auto"/>
        </w:rPr>
      </w:pPr>
    </w:p>
    <w:p>
      <w:pPr>
        <w:ind w:left="960" w:hanging="532"/>
        <w:spacing w:after="0" w:line="252" w:lineRule="auto"/>
        <w:tabs>
          <w:tab w:leader="none" w:pos="9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Debt Securities registered pursuant to the Registration Statement, when (i) the issuance of such Debt Securities has been duly authorized by all required corporate action of the Board or a duly authorized committee thereof, and, if required, of the stockholders of the Company in accordance with the Charter Documents and Applicable Laws, (ii) an Indenture relating to such Debt Securities in the form filed with the Registration Statement as an exhibit has been duly authorized and validly executed and delivered by each of the Company (by duly authorized officers of the Company) and the Trustee, (iii) the form and terms of the Debt Securities have been duly established in accordance with the Indenture pursuant to resolutions duly adopted by the Board or a duly authorized committee thereof and as set forth in an officer’s certificate or supplemental indenture duly authorized by the Board or a duly authorized committee thereof in accordance with the Charter Documents and Applicable Laws and duly executed by an authorized officer of the Company, and (iv) instruments representing such Debt Securities have been duly executed and authenticated in accordance with the terms of the Indenture and any supplement thereto, and issued, sold and delivered in the manner and for the consideration approved by the Board or a duly authorized committee thereof and stated in the Registration Statement, the Prospectus and any prospectus supplement relating thereto (as amended as of the date of such issuance, sale and delivery) and any applicable definitive purchase, underwriting or similar agreement and upon the exercise of Warrants to purchase Debt Securities, upon payment of the consideration provided for therein and approved by the Board or a duly authorized committee thereof, then the Debt Securities will be validly issued and will constitute valid and binding obligations of the Company.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87" w:name="page88"/>
    <w:bookmarkEnd w:id="87"/>
    <w:p>
      <w:pPr>
        <w:ind w:left="540" w:hanging="532"/>
        <w:spacing w:after="0" w:line="253" w:lineRule="auto"/>
        <w:tabs>
          <w:tab w:leader="none" w:pos="5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respect to the shares of Common Stock registered pursuant to the Registration Statement, when (i) the issuance of and the terms of the offering of such shares of Common Stock and related matters have been duly authorized by all required corporate action of the Board or a duly authorized committee thereof, and, if required, of the stockholders of the Company in accordance with the Charter Documents and the Applicable Laws and (ii) if required, certificates representing the shares of Common Stock have been duly executed, countersigned, registered and delivered either (a) in accordance with the applicable definitive purchase, underwriting or similar agreement approved by the Board or a duly authorized committee thereof, or upon the exercise of Warrants to purchase Common Stock, upon payment of the consideration therefor (in an amount not less than the par value per share of the Common Stock) provided for therein and approved by the Board or a duly authorized committee thereof, or (b) upon conversion or exercise of any other security of the Company, in accordance with the terms of such security or the instrument governing such security providing for such conversion or exercise as approved by the Board or a duly authorized committee thereof, for the consideration approved by the Board or a duly authorized committee thereof (in an amount not less than the par value per share of the Common Stock), then such shares of Common Stock will be validly issued, fully paid and nonassessable.</w:t>
      </w:r>
    </w:p>
    <w:p>
      <w:pPr>
        <w:spacing w:after="0" w:line="95" w:lineRule="exact"/>
        <w:rPr>
          <w:rFonts w:ascii="Times New Roman" w:cs="Times New Roman" w:eastAsia="Times New Roman" w:hAnsi="Times New Roman"/>
          <w:sz w:val="18"/>
          <w:szCs w:val="18"/>
          <w:color w:val="auto"/>
        </w:rPr>
      </w:pPr>
    </w:p>
    <w:p>
      <w:pPr>
        <w:ind w:left="540" w:right="60" w:hanging="532"/>
        <w:spacing w:after="0" w:line="252" w:lineRule="auto"/>
        <w:tabs>
          <w:tab w:leader="none" w:pos="5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particular series of shares of Preferred Stock registered pursuant to the Registration Statement, when (i) the issuance and terms of such shares of Preferred Stock, the terms of the offering thereof and related matters, including the adoption of a certificate of designation relating to such Preferred Stock conforming to the Company’s Restated Certificate and Bylaws and the Delaware General Corporation Law (a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and the filing of such Certificate with the Secretary of State of the State of Delaware (or the filing of an amendment to the Company’s Certificate of Incorporation to similar effect), have been duly authorized by all required corporate action of the Board or a duly authorized committee thereof and, if required, of the stockholders of the Company in accordance with the Charter Documents and Applicable Laws and (ii) if required, certificates representing the shares of Preferred Stock have been duly executed, countersigned, registered and delivered either (a) in accordance with the applicable definitive purchase, underwriting or similar agreement approved by the Board or a duly authorized committee thereof, or upon the exercise of Warrants to purchase Preferred Stock, upon payment of the consideration therefor (in an amount not less than the par value per share of such Preferred Stock) provided for therein and approved by the Board or a duly authorized committee thereof or (b) upon conversion or exercise of any other security of the Company, in accordance with the terms of such security or the instrument governing such security providing for such conversion or exercise as approved by the Board or a duly authorized committee thereof, for the consideration approved by the Board or a duly authorized committee thereof (in an amount not less than the par value per share of the Preferred Stock), then such shares of Preferred Stock will be validly issued, fully paid and nonassessable.</w:t>
      </w:r>
    </w:p>
    <w:p>
      <w:pPr>
        <w:spacing w:after="0" w:line="101" w:lineRule="exact"/>
        <w:rPr>
          <w:rFonts w:ascii="Times New Roman" w:cs="Times New Roman" w:eastAsia="Times New Roman" w:hAnsi="Times New Roman"/>
          <w:sz w:val="18"/>
          <w:szCs w:val="18"/>
          <w:color w:val="auto"/>
        </w:rPr>
      </w:pPr>
    </w:p>
    <w:p>
      <w:pPr>
        <w:ind w:left="540" w:right="20" w:hanging="532"/>
        <w:spacing w:after="0" w:line="271" w:lineRule="auto"/>
        <w:tabs>
          <w:tab w:leader="none" w:pos="54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Warrants registered pursuant to the Registration Statement, when (i) the issuance and terms of such Warrants, the terms, execution and delivery of the warrant agreement relating to the Warrants (“</w:t>
      </w:r>
      <w:r>
        <w:rPr>
          <w:rFonts w:ascii="Times New Roman" w:cs="Times New Roman" w:eastAsia="Times New Roman" w:hAnsi="Times New Roman"/>
          <w:sz w:val="17"/>
          <w:szCs w:val="17"/>
          <w:b w:val="1"/>
          <w:bCs w:val="1"/>
          <w:i w:val="1"/>
          <w:iCs w:val="1"/>
          <w:color w:val="auto"/>
        </w:rPr>
        <w:t>Warrant Agreement</w:t>
      </w:r>
      <w:r>
        <w:rPr>
          <w:rFonts w:ascii="Times New Roman" w:cs="Times New Roman" w:eastAsia="Times New Roman" w:hAnsi="Times New Roman"/>
          <w:sz w:val="17"/>
          <w:szCs w:val="17"/>
          <w:color w:val="auto"/>
        </w:rPr>
        <w:t>”), the terms of the offering thereof and related matters have been duly authorized by all required corporate action of the Board or a duly authorized committee thereof and, if required, of the stockholders of the Company in accordance with the Charter Documents and Applicable Laws, (ii) the Warrant Agreement has been duly authorized and validly executed and delivered by the Company by duly authorized officers of the Company, and (iii) such Warrants have been duly executed, issued and delivered by the Company by duly authorized officers of the Company in accordance with the provisions of the applicable Warrant Agreement and the applicable definitive purchase, underwriting or similar agreement approved by the Board or a duly authorized committee thereof, upon payment of the consideration therefor provided for therein and approved by the Board or a duly authorized committee thereof, such Warrants will constitute valid and binding obligations of the Company.</w:t>
      </w:r>
    </w:p>
    <w:p>
      <w:pPr>
        <w:spacing w:after="0" w:line="10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60" w:top="270" w:right="479" w:bottom="1440" w:gutter="0" w:footer="0" w:header="0"/>
        </w:sectPr>
      </w:pPr>
    </w:p>
    <w:bookmarkStart w:id="88" w:name="page89"/>
    <w:bookmarkEnd w:id="88"/>
    <w:p>
      <w:pPr>
        <w:ind w:left="960" w:hanging="532"/>
        <w:spacing w:after="0" w:line="253" w:lineRule="auto"/>
        <w:tabs>
          <w:tab w:leader="none" w:pos="9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respect to any Subscription Rights registered pursuant to the Registration Statement, when (i) the issuance and terms of such Subscription Rights, the terms, execution and delivery of the subscription rights agreement relating to the Subscription Rights (“</w:t>
      </w:r>
      <w:r>
        <w:rPr>
          <w:rFonts w:ascii="Times New Roman" w:cs="Times New Roman" w:eastAsia="Times New Roman" w:hAnsi="Times New Roman"/>
          <w:sz w:val="18"/>
          <w:szCs w:val="18"/>
          <w:b w:val="1"/>
          <w:bCs w:val="1"/>
          <w:i w:val="1"/>
          <w:iCs w:val="1"/>
          <w:color w:val="auto"/>
        </w:rPr>
        <w:t>Subscription Rights Agreement</w:t>
      </w:r>
      <w:r>
        <w:rPr>
          <w:rFonts w:ascii="Times New Roman" w:cs="Times New Roman" w:eastAsia="Times New Roman" w:hAnsi="Times New Roman"/>
          <w:sz w:val="18"/>
          <w:szCs w:val="18"/>
          <w:color w:val="auto"/>
        </w:rPr>
        <w:t>”), the terms of the offering thereof and related matters have been duly authorized by all required corporate action of the Board or a duly authorized committee thereof and, if required, of the stockholders of the Company in accordance with the Charter Documents and Applicable Laws, (ii) the Subscription Rights Agreement has been duly authorized and validly executed and delivered by duly authorized officers of the Company, and (iii) such Subscription Rights have been duly executed, issued and delivered by the Company by duly authorized officers of the Company in accordance with the provisions of the applicable Subscription Rights Agreement and the applicable definitive purchase, underwriting or similar agreement approved by the Board or a duly authorized committee thereof, upon payment of the consideration therefor provided for therein and approved by the Board or a duly authorized committee thereof, such Subscription Rights will constitute valid and binding obligations of the Company.</w:t>
      </w:r>
    </w:p>
    <w:p>
      <w:pPr>
        <w:spacing w:after="0" w:line="99" w:lineRule="exact"/>
        <w:rPr>
          <w:rFonts w:ascii="Times New Roman" w:cs="Times New Roman" w:eastAsia="Times New Roman" w:hAnsi="Times New Roman"/>
          <w:sz w:val="18"/>
          <w:szCs w:val="18"/>
          <w:color w:val="auto"/>
        </w:rPr>
      </w:pPr>
    </w:p>
    <w:p>
      <w:pPr>
        <w:ind w:left="960" w:hanging="532"/>
        <w:spacing w:after="0" w:line="254" w:lineRule="auto"/>
        <w:tabs>
          <w:tab w:leader="none" w:pos="9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Units registered pursuant to the Registration Statement, when (i) the conditions outlined in the immediately preceding paragraphs (1) through (5) that apply to the Securities that make up such Units are all met, (ii) the issuance and terms of such Units, the terms, execution and delivery of the unit agreement relating to the Units (“</w:t>
      </w:r>
      <w:r>
        <w:rPr>
          <w:rFonts w:ascii="Times New Roman" w:cs="Times New Roman" w:eastAsia="Times New Roman" w:hAnsi="Times New Roman"/>
          <w:sz w:val="18"/>
          <w:szCs w:val="18"/>
          <w:b w:val="1"/>
          <w:bCs w:val="1"/>
          <w:i w:val="1"/>
          <w:iCs w:val="1"/>
          <w:color w:val="auto"/>
        </w:rPr>
        <w:t>Unit Agreement</w:t>
      </w:r>
      <w:r>
        <w:rPr>
          <w:rFonts w:ascii="Times New Roman" w:cs="Times New Roman" w:eastAsia="Times New Roman" w:hAnsi="Times New Roman"/>
          <w:sz w:val="18"/>
          <w:szCs w:val="18"/>
          <w:color w:val="auto"/>
        </w:rPr>
        <w:t>”), the terms of the offering thereof and related matters have been duly authorized by appropriate corporate action of the Board or a duly authorized committee thereof and, if required, the stockholders of the Company, (iii) the Unit Agreement has been duly authorized and validly executed and delivered, and (iv) such Units have been duly executed, issued and delivered by duly authorized officers of the Company in accordance with the provisions of the applicable Unit Agreement and the applicable definitive purchase, underwriting or similar agreement approved by the Board or a duly authorized committee thereof, upon payment of the consideration therefor provided for therein, such Units will constitute valid and binding obligations of the Company.</w:t>
      </w:r>
    </w:p>
    <w:p>
      <w:pPr>
        <w:spacing w:after="0" w:line="188"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 and further consent to all references to us, if any, in the Registration Statement, the Prospectus constituting parts thereof and any amendments thereto. In giving this consent we do not thereby admit that we come within the category of persons whose consent is required by the Securities Act or by the rules and regulations promulgated thereunder.</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[Concluding Paragraph Follows on Next Page]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89" w:name="page90"/>
    <w:bookmarkEnd w:id="89"/>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opinion is intended solely for use in connection with the issuance and sale of the Securities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is based solely on our understanding of facts in existence as of such date after the aforementioned examination and does not address any potential changes in facts, circumstance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Fenwick &amp; 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FENWICK &amp; WEST LLP</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the Registration Statement (Form S-3) and related Prospectus of Veracyte, Inc. for the registration of common stock, preferred stock, debt securities, warrants, subscription rights, and units and to the incorporation by reference therein of our reports dated February 25, 2020, with respect to the consolidated financial statements of Veracyte, Inc., and the effectiveness of internal control over financial reporting of Veracyte, Inc., included in its Annual Report (Form 10-K) for the year ended December 31, 2019, filed with the Securities and Exchange Commission.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Redwood City,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3, 2021</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
      <w:numFmt w:val="bullet"/>
      <w:start w:val="1"/>
    </w:lvl>
  </w:abstractNum>
  <w:abstractNum w:abstractNumId="29">
    <w:nsid w:val="42C296BD"/>
    <w:multiLevelType w:val="hybridMultilevel"/>
    <w:lvl w:ilvl="0">
      <w:lvlJc w:val="left"/>
      <w:lvlText w:val="+"/>
      <w:numFmt w:val="bullet"/>
      <w:start w:val="1"/>
    </w:lvl>
  </w:abstractNum>
  <w:abstractNum w:abstractNumId="30">
    <w:nsid w:val="168E121F"/>
    <w:multiLevelType w:val="hybridMultilevel"/>
    <w:lvl w:ilvl="0">
      <w:lvlJc w:val="left"/>
      <w:lvlText w:val="(%1)"/>
      <w:numFmt w:val="decimal"/>
      <w:start w:val="1"/>
    </w:lvl>
    <w:lvl w:ilvl="1">
      <w:lvlJc w:val="left"/>
      <w:lvlText w:val="(%2)"/>
      <w:numFmt w:val="lowerRoman"/>
      <w:start w:val="1"/>
    </w:lvl>
  </w:abstractNum>
  <w:abstractNum w:abstractNumId="31">
    <w:nsid w:val="1EBA5D23"/>
    <w:multiLevelType w:val="hybridMultilevel"/>
    <w:lvl w:ilvl="0">
      <w:lvlJc w:val="left"/>
      <w:lvlText w:val="(%1)"/>
      <w:numFmt w:val="decimal"/>
      <w:start w:val="2"/>
    </w:lvl>
    <w:lvl w:ilvl="1">
      <w:lvlJc w:val="left"/>
      <w:lvlText w:val="(%2)"/>
      <w:numFmt w:val="lowerRoman"/>
      <w:start w:val="1"/>
    </w:lvl>
  </w:abstractNum>
  <w:abstractNum w:abstractNumId="32">
    <w:nsid w:val="661E3F1E"/>
    <w:multiLevelType w:val="hybridMultilevel"/>
    <w:lvl w:ilvl="0">
      <w:lvlJc w:val="left"/>
      <w:lvlText w:val="(%1)"/>
      <w:numFmt w:val="decimal"/>
      <w:start w:val="5"/>
    </w:lvl>
    <w:lvl w:ilvl="1">
      <w:lvlJc w:val="left"/>
      <w:lvlText w:val="(%2)"/>
      <w:numFmt w:val="lowerRoman"/>
      <w:start w:val="1"/>
    </w:lvl>
  </w:abstractNum>
  <w:abstractNum w:abstractNumId="33">
    <w:nsid w:val="5DC79EA8"/>
    <w:multiLevelType w:val="hybridMultilevel"/>
    <w:lvl w:ilvl="0">
      <w:lvlJc w:val="left"/>
      <w:lvlText w:val="(%1)"/>
      <w:numFmt w:val="decimal"/>
      <w:start w:val="7"/>
    </w:lvl>
  </w:abstractNum>
  <w:abstractNum w:abstractNumId="34">
    <w:nsid w:val="540A471C"/>
    <w:multiLevelType w:val="hybridMultilevel"/>
    <w:lvl w:ilvl="0">
      <w:lvlJc w:val="left"/>
      <w:lvlText w:val="(%1)"/>
      <w:numFmt w:val="decimal"/>
      <w:start w:val="1"/>
    </w:lvl>
  </w:abstractNum>
  <w:abstractNum w:abstractNumId="35">
    <w:nsid w:val="7BD3EE7B"/>
    <w:multiLevelType w:val="hybridMultilevel"/>
    <w:lvl w:ilvl="0">
      <w:lvlJc w:val="left"/>
      <w:lvlText w:val="(%1)"/>
      <w:numFmt w:val="lowerLetter"/>
      <w:start w:val="1"/>
    </w:lvl>
  </w:abstractNum>
  <w:abstractNum w:abstractNumId="36">
    <w:nsid w:val="51D9C564"/>
    <w:multiLevelType w:val="hybridMultilevel"/>
    <w:lvl w:ilvl="0">
      <w:lvlJc w:val="left"/>
      <w:lvlText w:val="(%1)"/>
      <w:numFmt w:val="lowerLetter"/>
      <w:start w:val="1"/>
    </w:lvl>
  </w:abstractNum>
  <w:abstractNum w:abstractNumId="37">
    <w:nsid w:val="613EFDC5"/>
    <w:multiLevelType w:val="hybridMultilevel"/>
    <w:lvl w:ilvl="0">
      <w:lvlJc w:val="left"/>
      <w:lvlText w:val="%1"/>
      <w:numFmt w:val="decimal"/>
      <w:start w:val="1"/>
    </w:lvl>
    <w:lvl w:ilvl="1">
      <w:lvlJc w:val="left"/>
      <w:lvlText w:val="(%2)"/>
      <w:numFmt w:val="lowerLetter"/>
      <w:start w:val="2"/>
    </w:lvl>
  </w:abstractNum>
  <w:abstractNum w:abstractNumId="38">
    <w:nsid w:val="BF72B14"/>
    <w:multiLevelType w:val="hybridMultilevel"/>
    <w:lvl w:ilvl="0">
      <w:lvlJc w:val="left"/>
      <w:lvlText w:val="(%1)"/>
      <w:numFmt w:val="decimal"/>
      <w:start w:val="1"/>
    </w:lvl>
    <w:lvl w:ilvl="1">
      <w:lvlJc w:val="left"/>
      <w:lvlText w:val="%2"/>
      <w:numFmt w:val="lowerLetter"/>
      <w:start w:val="1"/>
    </w:lvl>
  </w:abstractNum>
  <w:abstractNum w:abstractNumId="39">
    <w:nsid w:val="11447B73"/>
    <w:multiLevelType w:val="hybridMultilevel"/>
    <w:lvl w:ilvl="0">
      <w:lvlJc w:val="left"/>
      <w:lvlText w:val="(%1)"/>
      <w:numFmt w:val="decimal"/>
      <w:start w:val="2"/>
    </w:lvl>
  </w:abstractNum>
  <w:abstractNum w:abstractNumId="40">
    <w:nsid w:val="42963E5A"/>
    <w:multiLevelType w:val="hybridMultilevel"/>
    <w:lvl w:ilvl="0">
      <w:lvlJc w:val="left"/>
      <w:lvlText w:val="(%1)"/>
      <w:numFmt w:val="lowerLetter"/>
      <w:start w:val="2"/>
    </w:lvl>
  </w:abstractNum>
  <w:abstractNum w:abstractNumId="41">
    <w:nsid w:val="A0382C5"/>
    <w:multiLevelType w:val="hybridMultilevel"/>
    <w:lvl w:ilvl="0">
      <w:lvlJc w:val="left"/>
      <w:lvlText w:val="(%1)"/>
      <w:numFmt w:val="lowerLetter"/>
      <w:start w:val="2"/>
    </w:lvl>
  </w:abstractNum>
  <w:abstractNum w:abstractNumId="42">
    <w:nsid w:val="8F2B15E"/>
    <w:multiLevelType w:val="hybridMultilevel"/>
    <w:lvl w:ilvl="0">
      <w:lvlJc w:val="left"/>
      <w:lvlText w:val="(%1)"/>
      <w:numFmt w:val="lowerLetter"/>
      <w:start w:val="4"/>
    </w:lvl>
  </w:abstractNum>
  <w:abstractNum w:abstractNumId="43">
    <w:nsid w:val="1A32234B"/>
    <w:multiLevelType w:val="hybridMultilevel"/>
    <w:lvl w:ilvl="0">
      <w:lvlJc w:val="left"/>
      <w:lvlText w:val="(%1)"/>
      <w:numFmt w:val="lowerLetter"/>
      <w:start w:val="1"/>
    </w:lvl>
  </w:abstractNum>
  <w:abstractNum w:abstractNumId="44">
    <w:nsid w:val="3B0FD379"/>
    <w:multiLevelType w:val="hybridMultilevel"/>
    <w:lvl w:ilvl="0">
      <w:lvlJc w:val="left"/>
      <w:lvlText w:val="(%1)"/>
      <w:numFmt w:val="lowerLetter"/>
      <w:start w:val="2"/>
    </w:lvl>
  </w:abstractNum>
  <w:abstractNum w:abstractNumId="45">
    <w:nsid w:val="68EB2F63"/>
    <w:multiLevelType w:val="hybridMultilevel"/>
    <w:lvl w:ilvl="0">
      <w:lvlJc w:val="left"/>
      <w:lvlText w:val="(%1)"/>
      <w:numFmt w:val="lowerLetter"/>
      <w:start w:val="4"/>
    </w:lvl>
  </w:abstractNum>
  <w:abstractNum w:abstractNumId="46">
    <w:nsid w:val="4962813B"/>
    <w:multiLevelType w:val="hybridMultilevel"/>
    <w:lvl w:ilvl="0">
      <w:lvlJc w:val="left"/>
      <w:lvlText w:val="(%1)"/>
      <w:numFmt w:val="lowerLetter"/>
      <w:start w:val="2"/>
    </w:lvl>
  </w:abstractNum>
  <w:abstractNum w:abstractNumId="47">
    <w:nsid w:val="60B6DF70"/>
    <w:multiLevelType w:val="hybridMultilevel"/>
    <w:lvl w:ilvl="0">
      <w:lvlJc w:val="left"/>
      <w:lvlText w:val="%1"/>
      <w:numFmt w:val="decimal"/>
      <w:start w:val="1"/>
    </w:lvl>
    <w:lvl w:ilvl="1">
      <w:lvlJc w:val="left"/>
      <w:lvlText w:val="(%2)"/>
      <w:numFmt w:val="lowerLetter"/>
      <w:start w:val="2"/>
    </w:lvl>
  </w:abstractNum>
  <w:abstractNum w:abstractNumId="48">
    <w:nsid w:val="6A5EE64"/>
    <w:multiLevelType w:val="hybridMultilevel"/>
    <w:lvl w:ilvl="0">
      <w:lvlJc w:val="left"/>
      <w:lvlText w:val="(%1)"/>
      <w:numFmt w:val="decimal"/>
      <w:start w:val="1"/>
    </w:lvl>
    <w:lvl w:ilvl="1">
      <w:lvlJc w:val="left"/>
      <w:lvlText w:val="%2"/>
      <w:numFmt w:val="lowerLetter"/>
      <w:start w:val="1"/>
    </w:lvl>
  </w:abstractNum>
  <w:abstractNum w:abstractNumId="49">
    <w:nsid w:val="14330624"/>
    <w:multiLevelType w:val="hybridMultilevel"/>
    <w:lvl w:ilvl="0">
      <w:lvlJc w:val="left"/>
      <w:lvlText w:val="(%1)"/>
      <w:numFmt w:val="decimal"/>
      <w:start w:val="3"/>
    </w:lvl>
  </w:abstractNum>
  <w:abstractNum w:abstractNumId="50">
    <w:nsid w:val="7FFFCA11"/>
    <w:multiLevelType w:val="hybridMultilevel"/>
    <w:lvl w:ilvl="0">
      <w:lvlJc w:val="left"/>
      <w:lvlText w:val="(%1)"/>
      <w:numFmt w:val="decimal"/>
      <w:start w:val="12"/>
    </w:lvl>
    <w:lvl w:ilvl="1">
      <w:lvlJc w:val="left"/>
      <w:lvlText w:val="(%2)"/>
      <w:numFmt w:val="lowerLetter"/>
      <w:start w:val="3"/>
    </w:lvl>
  </w:abstractNum>
  <w:abstractNum w:abstractNumId="51">
    <w:nsid w:val="1A27709E"/>
    <w:multiLevelType w:val="hybridMultilevel"/>
    <w:lvl w:ilvl="0">
      <w:lvlJc w:val="left"/>
      <w:lvlText w:val="(%1)"/>
      <w:numFmt w:val="lowerLetter"/>
      <w:start w:val="6"/>
    </w:lvl>
  </w:abstractNum>
  <w:abstractNum w:abstractNumId="52">
    <w:nsid w:val="71EA1109"/>
    <w:multiLevelType w:val="hybridMultilevel"/>
    <w:lvl w:ilvl="0">
      <w:lvlJc w:val="left"/>
      <w:lvlText w:val="%1"/>
      <w:numFmt w:val="lowerRoman"/>
      <w:start w:val="1"/>
    </w:lvl>
    <w:lvl w:ilvl="1">
      <w:lvlJc w:val="left"/>
      <w:lvlText w:val="(%2)"/>
      <w:numFmt w:val="lowerLetter"/>
      <w:start w:val="2"/>
    </w:lvl>
  </w:abstractNum>
  <w:abstractNum w:abstractNumId="53">
    <w:nsid w:val="100F59DC"/>
    <w:multiLevelType w:val="hybridMultilevel"/>
    <w:lvl w:ilvl="0">
      <w:lvlJc w:val="left"/>
      <w:lvlText w:val="(%1)"/>
      <w:numFmt w:val="lowerRoman"/>
      <w:start w:val="1"/>
    </w:lvl>
    <w:lvl w:ilvl="1">
      <w:lvlJc w:val="left"/>
      <w:lvlText w:val="%2"/>
      <w:numFmt w:val="lowerLetter"/>
      <w:start w:val="1"/>
    </w:lvl>
  </w:abstractNum>
  <w:abstractNum w:abstractNumId="54">
    <w:nsid w:val="7FB7E0AA"/>
    <w:multiLevelType w:val="hybridMultilevel"/>
    <w:lvl w:ilvl="0">
      <w:lvlJc w:val="left"/>
      <w:lvlText w:val="(%1)"/>
      <w:numFmt w:val="lowerLetter"/>
      <w:start w:val="5"/>
    </w:lvl>
  </w:abstractNum>
  <w:abstractNum w:abstractNumId="55">
    <w:nsid w:val="6EB5BD4"/>
    <w:multiLevelType w:val="hybridMultilevel"/>
    <w:lvl w:ilvl="0">
      <w:lvlJc w:val="left"/>
      <w:lvlText w:val="(%1)"/>
      <w:numFmt w:val="lowerLetter"/>
      <w:start w:val="2"/>
    </w:lvl>
  </w:abstractNum>
  <w:abstractNum w:abstractNumId="56">
    <w:nsid w:val="6F6DD9AC"/>
    <w:multiLevelType w:val="hybridMultilevel"/>
    <w:lvl w:ilvl="0">
      <w:lvlJc w:val="left"/>
      <w:lvlText w:val="(%1)"/>
      <w:numFmt w:val="lowerLetter"/>
      <w:start w:val="5"/>
    </w:lvl>
  </w:abstractNum>
  <w:abstractNum w:abstractNumId="57">
    <w:nsid w:val="94211F2"/>
    <w:multiLevelType w:val="hybridMultilevel"/>
    <w:lvl w:ilvl="0">
      <w:lvlJc w:val="left"/>
      <w:lvlText w:val="(%1)"/>
      <w:numFmt w:val="lowerLetter"/>
      <w:start w:val="2"/>
    </w:lvl>
  </w:abstractNum>
  <w:abstractNum w:abstractNumId="58">
    <w:nsid w:val="885E1B"/>
    <w:multiLevelType w:val="hybridMultilevel"/>
    <w:lvl w:ilvl="0">
      <w:lvlJc w:val="left"/>
      <w:lvlText w:val="%1"/>
      <w:numFmt w:val="lowerRoman"/>
      <w:start w:val="1"/>
    </w:lvl>
    <w:lvl w:ilvl="1">
      <w:lvlJc w:val="left"/>
      <w:lvlText w:val="(%2)"/>
      <w:numFmt w:val="lowerLetter"/>
      <w:start w:val="2"/>
    </w:lvl>
  </w:abstractNum>
  <w:abstractNum w:abstractNumId="59">
    <w:nsid w:val="76272110"/>
    <w:multiLevelType w:val="hybridMultilevel"/>
    <w:lvl w:ilvl="0">
      <w:lvlJc w:val="left"/>
      <w:lvlText w:val="(%1)"/>
      <w:numFmt w:val="lowerRoman"/>
      <w:start w:val="1"/>
    </w:lvl>
    <w:lvl w:ilvl="1">
      <w:lvlJc w:val="left"/>
      <w:lvlText w:val="(%2)"/>
      <w:numFmt w:val="lowerLetter"/>
      <w:start w:val="3"/>
    </w:lvl>
  </w:abstractNum>
  <w:abstractNum w:abstractNumId="60">
    <w:nsid w:val="4C04A8AF"/>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61">
    <w:nsid w:val="1716703B"/>
    <w:multiLevelType w:val="hybridMultilevel"/>
    <w:lvl w:ilvl="0">
      <w:lvlJc w:val="left"/>
      <w:lvlText w:val="(%1)"/>
      <w:numFmt w:val="decimal"/>
      <w:start w:val="2"/>
    </w:lvl>
    <w:lvl w:ilvl="1">
      <w:lvlJc w:val="left"/>
      <w:lvlText w:val="(%2)"/>
      <w:numFmt w:val="lowerLetter"/>
      <w:start w:val="2"/>
    </w:lvl>
  </w:abstractNum>
  <w:abstractNum w:abstractNumId="62">
    <w:nsid w:val="14E17E33"/>
    <w:multiLevelType w:val="hybridMultilevel"/>
    <w:lvl w:ilvl="0">
      <w:lvlJc w:val="left"/>
      <w:lvlText w:val="(%1)"/>
      <w:numFmt w:val="lowerLetter"/>
      <w:start w:val="1"/>
    </w:lvl>
  </w:abstractNum>
  <w:abstractNum w:abstractNumId="63">
    <w:nsid w:val="3222E7CD"/>
    <w:multiLevelType w:val="hybridMultilevel"/>
    <w:lvl w:ilvl="0">
      <w:lvlJc w:val="left"/>
      <w:lvlText w:val="(%1)"/>
      <w:numFmt w:val="lowerRoman"/>
      <w:start w:val="1"/>
    </w:lvl>
  </w:abstractNum>
  <w:abstractNum w:abstractNumId="64">
    <w:nsid w:val="74DE0EE3"/>
    <w:multiLevelType w:val="hybridMultilevel"/>
    <w:lvl w:ilvl="0">
      <w:lvlJc w:val="left"/>
      <w:lvlText w:val="(%1)"/>
      <w:numFmt w:val="lowerRoman"/>
      <w:start w:val="2"/>
    </w:lvl>
  </w:abstractNum>
  <w:abstractNum w:abstractNumId="65">
    <w:nsid w:val="68EBC550"/>
    <w:multiLevelType w:val="hybridMultilevel"/>
    <w:lvl w:ilvl="0">
      <w:lvlJc w:val="left"/>
      <w:lvlText w:val="(%1)"/>
      <w:numFmt w:val="lowerLetter"/>
      <w:start w:val="2"/>
    </w:lvl>
  </w:abstractNum>
  <w:abstractNum w:abstractNumId="66">
    <w:nsid w:val="2DF6D648"/>
    <w:multiLevelType w:val="hybridMultilevel"/>
    <w:lvl w:ilvl="0">
      <w:lvlJc w:val="left"/>
      <w:lvlText w:val="(%1)"/>
      <w:numFmt w:val="decimal"/>
      <w:start w:val="1"/>
    </w:lvl>
  </w:abstractNum>
  <w:abstractNum w:abstractNumId="67">
    <w:nsid w:val="46B7D447"/>
    <w:multiLevelType w:val="hybridMultilevel"/>
    <w:lvl w:ilvl="0">
      <w:lvlJc w:val="left"/>
      <w:lvlText w:val="(%1)"/>
      <w:numFmt w:val="decimal"/>
      <w:start w:val="4"/>
    </w:lvl>
  </w:abstractNum>
  <w:abstractNum w:abstractNumId="68">
    <w:nsid w:val="4A2AC315"/>
    <w:multiLevelType w:val="hybridMultilevel"/>
    <w:lvl w:ilvl="0">
      <w:lvlJc w:val="left"/>
      <w:lvlText w:val="(%1)"/>
      <w:numFmt w:val="decimal"/>
      <w:start w:val="1"/>
    </w:lvl>
  </w:abstractNum>
  <w:abstractNum w:abstractNumId="69">
    <w:nsid w:val="39EE015C"/>
    <w:multiLevelType w:val="hybridMultilevel"/>
    <w:lvl w:ilvl="0">
      <w:lvlJc w:val="left"/>
      <w:lvlText w:val="%1"/>
      <w:numFmt w:val="decimal"/>
      <w:start w:val="1"/>
    </w:lvl>
    <w:lvl w:ilvl="1">
      <w:lvlJc w:val="left"/>
      <w:lvlText w:val="(%2)"/>
      <w:numFmt w:val="upperLetter"/>
      <w:start w:val="1"/>
    </w:lvl>
  </w:abstractNum>
  <w:abstractNum w:abstractNumId="70">
    <w:nsid w:val="57FC4FBB"/>
    <w:multiLevelType w:val="hybridMultilevel"/>
    <w:lvl w:ilvl="0">
      <w:lvlJc w:val="left"/>
      <w:lvlText w:val="(%1)"/>
      <w:numFmt w:val="decimal"/>
      <w:start w:val="2"/>
    </w:lvl>
    <w:lvl w:ilvl="1">
      <w:lvlJc w:val="left"/>
      <w:lvlText w:val="%2"/>
      <w:numFmt w:val="upperLetter"/>
      <w:start w:val="1"/>
    </w:lvl>
  </w:abstractNum>
  <w:abstractNum w:abstractNumId="71">
    <w:nsid w:val="CC1016F"/>
    <w:multiLevelType w:val="hybridMultilevel"/>
    <w:lvl w:ilvl="0">
      <w:lvlJc w:val="left"/>
      <w:lvlText w:val="(%1)"/>
      <w:numFmt w:val="lowerRoman"/>
      <w:start w:val="1"/>
    </w:lvl>
  </w:abstractNum>
  <w:abstractNum w:abstractNumId="72">
    <w:nsid w:val="43F18422"/>
    <w:multiLevelType w:val="hybridMultilevel"/>
    <w:lvl w:ilvl="0">
      <w:lvlJc w:val="left"/>
      <w:lvlText w:val="(%1)"/>
      <w:numFmt w:val="decimal"/>
      <w:start w:val="1"/>
    </w:lvl>
  </w:abstractNum>
  <w:abstractNum w:abstractNumId="73">
    <w:nsid w:val="60EF0119"/>
    <w:multiLevelType w:val="hybridMultilevel"/>
    <w:lvl w:ilvl="0">
      <w:lvlJc w:val="left"/>
      <w:lvlText w:val="(%1)"/>
      <w:numFmt w:val="decimal"/>
      <w:start w:val="1"/>
    </w:lvl>
  </w:abstractNum>
  <w:abstractNum w:abstractNumId="74">
    <w:nsid w:val="26F324BA"/>
    <w:multiLevelType w:val="hybridMultilevel"/>
    <w:lvl w:ilvl="0">
      <w:lvlJc w:val="left"/>
      <w:lvlText w:val="(%1)"/>
      <w:numFmt w:val="decimal"/>
      <w:start w:val="1"/>
    </w:lvl>
  </w:abstractNum>
  <w:abstractNum w:abstractNumId="75">
    <w:nsid w:val="7F01579B"/>
    <w:multiLevelType w:val="hybridMultilevel"/>
    <w:lvl w:ilvl="0">
      <w:lvlJc w:val="left"/>
      <w:lvlText w:val="(%1)"/>
      <w:numFmt w:val="decimal"/>
      <w:start w:val="1"/>
    </w:lvl>
    <w:lvl w:ilvl="1">
      <w:lvlJc w:val="left"/>
      <w:lvlText w:val="(%2)"/>
      <w:numFmt w:val="lowerLetter"/>
      <w:start w:val="2"/>
    </w:lvl>
  </w:abstractNum>
  <w:abstractNum w:abstractNumId="76">
    <w:nsid w:val="49DA307D"/>
    <w:multiLevelType w:val="hybridMultilevel"/>
    <w:lvl w:ilvl="0">
      <w:lvlJc w:val="left"/>
      <w:lvlText w:val="(%1)"/>
      <w:numFmt w:val="lowerLetter"/>
      <w:start w:val="3"/>
    </w:lvl>
    <w:lvl w:ilvl="1">
      <w:lvlJc w:val="left"/>
      <w:lvlText w:val="(%2)"/>
      <w:numFmt w:val="decimal"/>
      <w:start w:val="1"/>
    </w:lvl>
  </w:abstractNum>
  <w:abstractNum w:abstractNumId="77">
    <w:nsid w:val="7055A5F5"/>
    <w:multiLevelType w:val="hybridMultilevel"/>
    <w:lvl w:ilvl="0">
      <w:lvlJc w:val="left"/>
      <w:lvlText w:val="(%1)"/>
      <w:numFmt w:val="lowerLetter"/>
      <w:start w:val="1"/>
    </w:lvl>
  </w:abstractNum>
  <w:abstractNum w:abstractNumId="78">
    <w:nsid w:val="5FB8370B"/>
    <w:multiLevelType w:val="hybridMultilevel"/>
    <w:lvl w:ilvl="0">
      <w:lvlJc w:val="left"/>
      <w:lvlText w:val="(%1)"/>
      <w:numFmt w:val="lowerLetter"/>
      <w:start w:val="4"/>
    </w:lvl>
  </w:abstractNum>
  <w:abstractNum w:abstractNumId="79">
    <w:nsid w:val="50801EE1"/>
    <w:multiLevelType w:val="hybridMultilevel"/>
    <w:lvl w:ilvl="0">
      <w:lvlJc w:val="left"/>
      <w:lvlText w:val="(%1)"/>
      <w:numFmt w:val="decimal"/>
      <w:start w:val="1"/>
    </w:lvl>
  </w:abstractNum>
  <w:abstractNum w:abstractNumId="80">
    <w:nsid w:val="488AC1A"/>
    <w:multiLevelType w:val="hybridMultilevel"/>
    <w:lvl w:ilvl="0">
      <w:lvlJc w:val="left"/>
      <w:lvlText w:val="(%1)"/>
      <w:numFmt w:val="lowerLetter"/>
      <w:start w:val="2"/>
    </w:lvl>
    <w:lvl w:ilvl="1">
      <w:lvlJc w:val="left"/>
      <w:lvlText w:val="(%2)"/>
      <w:numFmt w:val="decimal"/>
      <w:start w:val="1"/>
    </w:lvl>
  </w:abstractNum>
  <w:abstractNum w:abstractNumId="81">
    <w:nsid w:val="5FB8011C"/>
    <w:multiLevelType w:val="hybridMultilevel"/>
    <w:lvl w:ilvl="0">
      <w:lvlJc w:val="left"/>
      <w:lvlText w:val="(%1)"/>
      <w:numFmt w:val="decimal"/>
      <w:start w:val="3"/>
    </w:lvl>
  </w:abstractNum>
  <w:abstractNum w:abstractNumId="82">
    <w:nsid w:val="6AA78F7F"/>
    <w:multiLevelType w:val="hybridMultilevel"/>
    <w:lvl w:ilvl="0">
      <w:lvlJc w:val="left"/>
      <w:lvlText w:val="(%1)"/>
      <w:numFmt w:val="lowerLetter"/>
      <w:start w:val="6"/>
    </w:lvl>
  </w:abstractNum>
  <w:abstractNum w:abstractNumId="83">
    <w:nsid w:val="7672BD23"/>
    <w:multiLevelType w:val="hybridMultilevel"/>
    <w:lvl w:ilvl="0">
      <w:lvlJc w:val="left"/>
      <w:lvlText w:val="(%1)"/>
      <w:numFmt w:val="lowerLetter"/>
      <w:start w:val="2"/>
    </w:lvl>
  </w:abstractNum>
  <w:abstractNum w:abstractNumId="84">
    <w:nsid w:val="6FC75AF8"/>
    <w:multiLevelType w:val="hybridMultilevel"/>
    <w:lvl w:ilvl="0">
      <w:lvlJc w:val="left"/>
      <w:lvlText w:val="(%1)"/>
      <w:numFmt w:val="lowerLetter"/>
      <w:start w:val="3"/>
    </w:lvl>
  </w:abstractNum>
  <w:abstractNum w:abstractNumId="85">
    <w:nsid w:val="6A5F7029"/>
    <w:multiLevelType w:val="hybridMultilevel"/>
    <w:lvl w:ilvl="0">
      <w:lvlJc w:val="left"/>
      <w:lvlText w:val="(%1)"/>
      <w:numFmt w:val="lowerLetter"/>
      <w:start w:val="2"/>
    </w:lvl>
  </w:abstractNum>
  <w:abstractNum w:abstractNumId="86">
    <w:nsid w:val="7D5E18F8"/>
    <w:multiLevelType w:val="hybridMultilevel"/>
    <w:lvl w:ilvl="0">
      <w:lvlJc w:val="left"/>
      <w:lvlText w:val="(%1)"/>
      <w:numFmt w:val="lowerLetter"/>
      <w:start w:val="6"/>
    </w:lvl>
  </w:abstractNum>
  <w:abstractNum w:abstractNumId="87">
    <w:nsid w:val="5F3534A4"/>
    <w:multiLevelType w:val="hybridMultilevel"/>
    <w:lvl w:ilvl="0">
      <w:lvlJc w:val="left"/>
      <w:lvlText w:val="(%1)"/>
      <w:numFmt w:val="lowerLetter"/>
      <w:start w:val="1"/>
    </w:lvl>
  </w:abstractNum>
  <w:abstractNum w:abstractNumId="88">
    <w:nsid w:val="73A1821B"/>
    <w:multiLevelType w:val="hybridMultilevel"/>
    <w:lvl w:ilvl="0">
      <w:lvlJc w:val="left"/>
      <w:lvlText w:val="(%1)"/>
      <w:numFmt w:val="lowerLetter"/>
      <w:start w:val="2"/>
    </w:lvl>
    <w:lvl w:ilvl="1">
      <w:lvlJc w:val="left"/>
      <w:lvlText w:val="(%2)"/>
      <w:numFmt w:val="lowerRoman"/>
      <w:start w:val="1"/>
    </w:lvl>
  </w:abstractNum>
  <w:abstractNum w:abstractNumId="89">
    <w:nsid w:val="7DE67713"/>
    <w:multiLevelType w:val="hybridMultilevel"/>
    <w:lvl w:ilvl="0">
      <w:lvlJc w:val="left"/>
      <w:lvlText w:val="(%1)"/>
      <w:numFmt w:val="lowerLetter"/>
      <w:start w:val="3"/>
    </w:lvl>
  </w:abstractNum>
  <w:abstractNum w:abstractNumId="90">
    <w:nsid w:val="555C55B5"/>
    <w:multiLevelType w:val="hybridMultilevel"/>
    <w:lvl w:ilvl="0">
      <w:lvlJc w:val="left"/>
      <w:lvlText w:val="(%1)"/>
      <w:numFmt w:val="lowerLetter"/>
      <w:start w:val="2"/>
    </w:lvl>
  </w:abstractNum>
  <w:abstractNum w:abstractNumId="91">
    <w:nsid w:val="3FA62ACA"/>
    <w:multiLevelType w:val="hybridMultilevel"/>
    <w:lvl w:ilvl="0">
      <w:lvlJc w:val="left"/>
      <w:lvlText w:val="(%1)"/>
      <w:numFmt w:val="decimal"/>
      <w:start w:val="1"/>
    </w:lvl>
  </w:abstractNum>
  <w:abstractNum w:abstractNumId="92">
    <w:nsid w:val="14FCE74E"/>
    <w:multiLevelType w:val="hybridMultilevel"/>
    <w:lvl w:ilvl="0">
      <w:lvlJc w:val="left"/>
      <w:lvlText w:val="(%1)"/>
      <w:numFmt w:val="decimal"/>
      <w:start w:val="1"/>
    </w:lvl>
  </w:abstractNum>
  <w:abstractNum w:abstractNumId="93">
    <w:nsid w:val="6A3DD3E8"/>
    <w:multiLevelType w:val="hybridMultilevel"/>
    <w:lvl w:ilvl="0">
      <w:lvlJc w:val="left"/>
      <w:lvlText w:val="(%1)"/>
      <w:numFmt w:val="decimal"/>
      <w:start w:val="1"/>
    </w:lvl>
  </w:abstractNum>
  <w:abstractNum w:abstractNumId="94">
    <w:nsid w:val="71C91298"/>
    <w:multiLevelType w:val="hybridMultilevel"/>
    <w:lvl w:ilvl="0">
      <w:lvlJc w:val="left"/>
      <w:lvlText w:val="(%1)"/>
      <w:numFmt w:val="decimal"/>
      <w:start w:val="4"/>
    </w:lvl>
  </w:abstractNum>
  <w:abstractNum w:abstractNumId="95">
    <w:nsid w:val="9DAF632"/>
    <w:multiLevelType w:val="hybridMultilevel"/>
    <w:lvl w:ilvl="0">
      <w:lvlJc w:val="left"/>
      <w:lvlText w:val="(%1)"/>
      <w:numFmt w:val="decimal"/>
      <w:start w:val="12"/>
    </w:lvl>
  </w:abstractNum>
  <w:abstractNum w:abstractNumId="96">
    <w:nsid w:val="53299938"/>
    <w:multiLevelType w:val="hybridMultilevel"/>
    <w:lvl w:ilvl="0">
      <w:lvlJc w:val="left"/>
      <w:lvlText w:val="(%1)"/>
      <w:numFmt w:val="lowerLetter"/>
      <w:start w:val="24"/>
    </w:lvl>
  </w:abstractNum>
  <w:abstractNum w:abstractNumId="97">
    <w:nsid w:val="1FBFE8E0"/>
    <w:multiLevelType w:val="hybridMultilevel"/>
    <w:lvl w:ilvl="0">
      <w:lvlJc w:val="left"/>
      <w:lvlText w:val="(%1)"/>
      <w:numFmt w:val="lowerLetter"/>
      <w:start w:val="26"/>
    </w:lvl>
  </w:abstractNum>
  <w:abstractNum w:abstractNumId="98">
    <w:nsid w:val="5092CA79"/>
    <w:multiLevelType w:val="hybridMultilevel"/>
    <w:lvl w:ilvl="0">
      <w:lvlJc w:val="left"/>
      <w:lvlText w:val="%1"/>
      <w:numFmt w:val="decimal"/>
      <w:start w:val="1"/>
    </w:lvl>
    <w:lvl w:ilvl="1">
      <w:lvlJc w:val="left"/>
      <w:lvlText w:val="(%2)"/>
      <w:numFmt w:val="lowerLetter"/>
      <w:start w:val="2"/>
    </w:lvl>
  </w:abstractNum>
  <w:abstractNum w:abstractNumId="99">
    <w:nsid w:val="1D545C4D"/>
    <w:multiLevelType w:val="hybridMultilevel"/>
    <w:lvl w:ilvl="0">
      <w:lvlJc w:val="left"/>
      <w:lvlText w:val="(%1)"/>
      <w:numFmt w:val="decimal"/>
      <w:start w:val="1"/>
    </w:lvl>
    <w:lvl w:ilvl="1">
      <w:lvlJc w:val="left"/>
      <w:lvlText w:val="%2"/>
      <w:numFmt w:val="lowerLetter"/>
      <w:start w:val="1"/>
    </w:lvl>
  </w:abstractNum>
  <w:abstractNum w:abstractNumId="100">
    <w:nsid w:val="59ADEA3D"/>
    <w:multiLevelType w:val="hybridMultilevel"/>
    <w:lvl w:ilvl="0">
      <w:lvlJc w:val="left"/>
      <w:lvlText w:val="(%1)"/>
      <w:numFmt w:val="decimal"/>
      <w:start w:val="3"/>
    </w:lvl>
  </w:abstractNum>
  <w:abstractNum w:abstractNumId="101">
    <w:nsid w:val="288F1A34"/>
    <w:multiLevelType w:val="hybridMultilevel"/>
    <w:lvl w:ilvl="0">
      <w:lvlJc w:val="left"/>
      <w:lvlText w:val="(%1)"/>
      <w:numFmt w:val="lowerLetter"/>
      <w:start w:val="2"/>
    </w:lvl>
  </w:abstractNum>
  <w:abstractNum w:abstractNumId="102">
    <w:nsid w:val="2A155DBC"/>
    <w:multiLevelType w:val="hybridMultilevel"/>
    <w:lvl w:ilvl="0">
      <w:lvlJc w:val="left"/>
      <w:lvlText w:val="(%1)"/>
      <w:numFmt w:val="lowerLetter"/>
      <w:start w:val="2"/>
    </w:lvl>
  </w:abstractNum>
  <w:abstractNum w:abstractNumId="103">
    <w:nsid w:val="1D9F6E5F"/>
    <w:multiLevelType w:val="hybridMultilevel"/>
    <w:lvl w:ilvl="0">
      <w:lvlJc w:val="left"/>
      <w:lvlText w:val="(%1)"/>
      <w:numFmt w:val="lowerLetter"/>
      <w:start w:val="3"/>
    </w:lvl>
  </w:abstractNum>
  <w:abstractNum w:abstractNumId="104">
    <w:nsid w:val="97E1B4E"/>
    <w:multiLevelType w:val="hybridMultilevel"/>
    <w:lvl w:ilvl="0">
      <w:lvlJc w:val="left"/>
      <w:lvlText w:val="%1"/>
      <w:numFmt w:val="lowerRoman"/>
      <w:start w:val="1"/>
    </w:lvl>
    <w:lvl w:ilvl="1">
      <w:lvlJc w:val="left"/>
      <w:lvlText w:val="(%2)"/>
      <w:numFmt w:val="lowerLetter"/>
      <w:start w:val="2"/>
    </w:lvl>
  </w:abstractNum>
  <w:abstractNum w:abstractNumId="105">
    <w:nsid w:val="51088277"/>
    <w:multiLevelType w:val="hybridMultilevel"/>
    <w:lvl w:ilvl="0">
      <w:lvlJc w:val="left"/>
      <w:lvlText w:val="(%1)"/>
      <w:numFmt w:val="lowerRoman"/>
      <w:start w:val="1"/>
    </w:lvl>
    <w:lvl w:ilvl="1">
      <w:lvlJc w:val="left"/>
      <w:lvlText w:val="(%2)"/>
      <w:numFmt w:val="lowerLetter"/>
      <w:start w:val="4"/>
    </w:lvl>
  </w:abstractNum>
  <w:abstractNum w:abstractNumId="106">
    <w:nsid w:val="1CA0C5FA"/>
    <w:multiLevelType w:val="hybridMultilevel"/>
    <w:lvl w:ilvl="0">
      <w:lvlJc w:val="left"/>
      <w:lvlText w:val="(%1)"/>
      <w:numFmt w:val="decimal"/>
      <w:start w:val="1"/>
    </w:lvl>
  </w:abstractNum>
  <w:abstractNum w:abstractNumId="107">
    <w:nsid w:val="53584BCB"/>
    <w:multiLevelType w:val="hybridMultilevel"/>
    <w:lvl w:ilvl="0">
      <w:lvlJc w:val="left"/>
      <w:lvlText w:val="(%1)"/>
      <w:numFmt w:val="lowerLetter"/>
      <w:start w:val="2"/>
    </w:lvl>
  </w:abstractNum>
  <w:abstractNum w:abstractNumId="108">
    <w:nsid w:val="415E286C"/>
    <w:multiLevelType w:val="hybridMultilevel"/>
    <w:lvl w:ilvl="0">
      <w:lvlJc w:val="left"/>
      <w:lvlText w:val="(%1)"/>
      <w:numFmt w:val="decimal"/>
      <w:start w:val="1"/>
    </w:lvl>
  </w:abstractNum>
  <w:abstractNum w:abstractNumId="109">
    <w:nsid w:val="7C58FD05"/>
    <w:multiLevelType w:val="hybridMultilevel"/>
    <w:lvl w:ilvl="0">
      <w:lvlJc w:val="left"/>
      <w:lvlText w:val="(%1)"/>
      <w:numFmt w:val="decimal"/>
      <w:start w:val="4"/>
    </w:lvl>
  </w:abstractNum>
  <w:abstractNum w:abstractNumId="110">
    <w:nsid w:val="23D86AAC"/>
    <w:multiLevelType w:val="hybridMultilevel"/>
    <w:lvl w:ilvl="0">
      <w:lvlJc w:val="left"/>
      <w:lvlText w:val="(%1)"/>
      <w:numFmt w:val="decimal"/>
      <w:start w:val="1"/>
    </w:lvl>
  </w:abstractNum>
  <w:abstractNum w:abstractNumId="111">
    <w:nsid w:val="45E6D486"/>
    <w:multiLevelType w:val="hybridMultilevel"/>
    <w:lvl w:ilvl="0">
      <w:lvlJc w:val="left"/>
      <w:lvlText w:val="%1."/>
      <w:numFmt w:val="decimal"/>
      <w:start w:val="1"/>
    </w:lvl>
  </w:abstractNum>
  <w:abstractNum w:abstractNumId="112">
    <w:nsid w:val="5C10FE21"/>
    <w:multiLevelType w:val="hybridMultilevel"/>
    <w:lvl w:ilvl="0">
      <w:lvlJc w:val="left"/>
      <w:lvlText w:val="%1."/>
      <w:numFmt w:val="decimal"/>
      <w:start w:val="2"/>
    </w:lvl>
  </w:abstractNum>
  <w:abstractNum w:abstractNumId="113">
    <w:nsid w:val="E7FFA2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jpe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46" Type="http://schemas.openxmlformats.org/officeDocument/2006/relationships/hyperlink" Target="http://www.sec.gov/ix?doc=/Archives/edgar/data/1384101/000138410120000015/vcyt-12312019x10k.htm" TargetMode="External"/><Relationship Id="rId47" Type="http://schemas.openxmlformats.org/officeDocument/2006/relationships/hyperlink" Target="http://www.sec.gov/Archives/edgar/data/1384101/000138410120000052/vcyt-proxy2020xdef14a.htm" TargetMode="External"/><Relationship Id="rId48" Type="http://schemas.openxmlformats.org/officeDocument/2006/relationships/hyperlink" Target="http://www.sec.gov/ix?doc=/Archives/edgar/data/1384101/000138410120000058/vcyt-20200331.htm" TargetMode="External"/><Relationship Id="rId49" Type="http://schemas.openxmlformats.org/officeDocument/2006/relationships/hyperlink" Target="http://www.sec.gov/ix?doc=/Archives/edgar/data/1384101/000143774920016062/vcyt20200630_10q.htm" TargetMode="External"/><Relationship Id="rId50" Type="http://schemas.openxmlformats.org/officeDocument/2006/relationships/hyperlink" Target="http://www.sec.gov/ix?doc=/Archives/edgar/data/1384101/000143774920022261/vcyt20200930_10q.htm" TargetMode="External"/><Relationship Id="rId51" Type="http://schemas.openxmlformats.org/officeDocument/2006/relationships/hyperlink" Target="http://www.sec.gov/Archives/edgar/data/1384101/000138410120000011/vcyt8ka2-18x20.htm" TargetMode="External"/><Relationship Id="rId52" Type="http://schemas.openxmlformats.org/officeDocument/2006/relationships/hyperlink" Target="http://www.sec.gov/ix?doc=/Archives/edgar/data/1384101/000143774920025486/vcyt20201216_8k.htm" TargetMode="External"/><Relationship Id="rId53" Type="http://schemas.openxmlformats.org/officeDocument/2006/relationships/hyperlink" Target="http://www.sec.gov/ix?doc=/Archives/edgar/data/1384101/000143774921001142/vcyt20210124_8k.htm" TargetMode="External"/><Relationship Id="rId54" Type="http://schemas.openxmlformats.org/officeDocument/2006/relationships/hyperlink" Target="http://www.sec.gov/ix?doc=/Archives/edgar/data/1384101/000119312521026509/d110946d8k.htm" TargetMode="External"/><Relationship Id="rId55" Type="http://schemas.openxmlformats.org/officeDocument/2006/relationships/hyperlink" Target="http://www.sec.gov/Archives/edgar/data/1384101/000110465913078343/a13-16266_158a12b.htm" TargetMode="External"/><Relationship Id="rId56" Type="http://schemas.openxmlformats.org/officeDocument/2006/relationships/hyperlink" Target="http://www.sec.gov/Archives/edgar/data/1384101/000138410120000015/vcyt-12312019xex42.htm" TargetMode="External"/><Relationship Id="rId60" Type="http://schemas.openxmlformats.org/officeDocument/2006/relationships/hyperlink" Target="http://www.sec.gov/Archives/edgar/data/1384101/000110465913082910/a13-23874_1ex3d1.htm" TargetMode="External"/><Relationship Id="rId61" Type="http://schemas.openxmlformats.org/officeDocument/2006/relationships/hyperlink" Target="http://www.sec.gov/Archives/edgar/data/1384101/000110465913082910/a13-23874_1ex3d2.htm" TargetMode="External"/><Relationship Id="rId62" Type="http://schemas.openxmlformats.org/officeDocument/2006/relationships/hyperlink" Target="http://www.sec.gov/Archives/edgar/data/1384101/000104746913009631/a2216954z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2021-02-03T15:07:06Z</dcterms:created>
  <dcterms:modified xsi:type="dcterms:W3CDTF">2021-02-03T15:07:06Z</dcterms:modified>
</cp:coreProperties>
</file>