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Anderson Bonnie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ind w:left="180"/>
              <w:spacing w:after="0" w:line="121" w:lineRule="exact"/>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06/02/2016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2,500</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5.4773</w:t>
            </w:r>
            <w:r>
              <w:rPr>
                <w:rFonts w:ascii="Arial" w:cs="Arial" w:eastAsia="Arial" w:hAnsi="Arial"/>
                <w:sz w:val="22"/>
                <w:szCs w:val="22"/>
                <w:color w:val="008000"/>
                <w:w w:val="91"/>
                <w:vertAlign w:val="superscript"/>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7"/>
              <w:spacing w:after="0"/>
              <w:rPr>
                <w:sz w:val="20"/>
                <w:szCs w:val="20"/>
                <w:color w:val="auto"/>
              </w:rPr>
            </w:pPr>
            <w:r>
              <w:rPr>
                <w:rFonts w:ascii="Arial" w:cs="Arial" w:eastAsia="Arial" w:hAnsi="Arial"/>
                <w:sz w:val="18"/>
                <w:szCs w:val="18"/>
                <w:color w:val="0000FF"/>
                <w:w w:val="88"/>
              </w:rPr>
              <w:t>7,500</w:t>
            </w:r>
          </w:p>
        </w:tc>
        <w:tc>
          <w:tcPr>
            <w:tcW w:w="90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06/03/2016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2,500</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5.3152</w:t>
            </w:r>
            <w:r>
              <w:rPr>
                <w:rFonts w:ascii="Arial" w:cs="Arial" w:eastAsia="Arial" w:hAnsi="Arial"/>
                <w:sz w:val="22"/>
                <w:szCs w:val="22"/>
                <w:color w:val="008000"/>
                <w:w w:val="91"/>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10,000</w:t>
            </w:r>
          </w:p>
        </w:tc>
        <w:tc>
          <w:tcPr>
            <w:tcW w:w="90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Bonnie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99,085</w:t>
            </w:r>
          </w:p>
        </w:tc>
        <w:tc>
          <w:tcPr>
            <w:tcW w:w="90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5"/>
              </w:rPr>
              <w:t>Anderson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5840" w:type="dxa"/>
            <w:vAlign w:val="bottom"/>
            <w:tcBorders>
              <w:bottom w:val="single" w:sz="8" w:color="2C2C2C"/>
            </w:tcBorders>
            <w:gridSpan w:val="11"/>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purchased in multiple transactions at prices ranging from $5.43 to $5.50, inclusive. The reporting person undertakes to provide to Veracyte, Inc., any security holder of Veracyte, Inc.,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purchased in multiple transactions at prices ranging from $5.25 to $5.45, inclusive. The reporting person undertakes to provide to Veracyte, Inc., any security holder of Veracyte, Inc., or the staff of the Securities and Exchange Commission, upon request, full information regarding the number of shares purchased at each separate price within the ranges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Shelly D. Guyer,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06/03/2016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2019-12-08T13:04:53Z</dcterms:created>
  <dcterms:modified xsi:type="dcterms:W3CDTF">2019-12-08T13:04:53Z</dcterms:modified>
</cp:coreProperties>
</file>