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20" w:type="dxa"/>
            <w:vAlign w:val="bottom"/>
          </w:tcPr>
          <w:p>
            <w:pPr>
              <w:ind w:left="40"/>
              <w:spacing w:after="0"/>
              <w:rPr>
                <w:sz w:val="20"/>
                <w:szCs w:val="20"/>
                <w:color w:val="auto"/>
              </w:rPr>
            </w:pPr>
            <w:r>
              <w:rPr>
                <w:rFonts w:ascii="Arial" w:cs="Arial" w:eastAsia="Arial" w:hAnsi="Arial"/>
                <w:sz w:val="22"/>
                <w:szCs w:val="22"/>
                <w:color w:val="auto"/>
              </w:rPr>
              <w:t>0001020741</w:t>
            </w:r>
          </w:p>
        </w:tc>
        <w:tc>
          <w:tcPr>
            <w:tcW w:w="29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20" w:type="dxa"/>
            <w:vAlign w:val="bottom"/>
          </w:tcPr>
          <w:p>
            <w:pPr>
              <w:ind w:left="40"/>
              <w:spacing w:after="0"/>
              <w:rPr>
                <w:sz w:val="20"/>
                <w:szCs w:val="20"/>
                <w:color w:val="auto"/>
              </w:rPr>
            </w:pPr>
            <w:r>
              <w:rPr>
                <w:rFonts w:ascii="Arial" w:cs="Arial" w:eastAsia="Arial" w:hAnsi="Arial"/>
                <w:sz w:val="22"/>
                <w:szCs w:val="22"/>
                <w:color w:val="auto"/>
              </w:rPr>
              <w:t>XXXXXXXX</w:t>
            </w:r>
          </w:p>
        </w:tc>
        <w:tc>
          <w:tcPr>
            <w:tcW w:w="29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849"/>
        </w:trPr>
        <w:tc>
          <w:tcPr>
            <w:tcW w:w="68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29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001-36156</w:t>
            </w:r>
          </w:p>
        </w:tc>
      </w:tr>
      <w:tr>
        <w:trPr>
          <w:trHeight w:val="266"/>
        </w:trPr>
        <w:tc>
          <w:tcPr>
            <w:tcW w:w="30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w w:val="88"/>
              </w:rPr>
              <w:t>6000 Shoreline Court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w w:val="90"/>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960" w:type="dxa"/>
            <w:vAlign w:val="bottom"/>
          </w:tcPr>
          <w:p>
            <w:pPr>
              <w:ind w:left="110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94080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20" w:type="dxa"/>
            <w:vAlign w:val="bottom"/>
          </w:tcPr>
          <w:p>
            <w:pPr>
              <w:spacing w:after="0"/>
              <w:rPr>
                <w:sz w:val="24"/>
                <w:szCs w:val="24"/>
                <w:color w:val="auto"/>
              </w:rPr>
            </w:pPr>
          </w:p>
        </w:tc>
        <w:tc>
          <w:tcPr>
            <w:tcW w:w="2960" w:type="dxa"/>
            <w:vAlign w:val="bottom"/>
          </w:tcPr>
          <w:p>
            <w:pPr>
              <w:ind w:left="1100"/>
              <w:spacing w:after="0"/>
              <w:rPr>
                <w:sz w:val="20"/>
                <w:szCs w:val="20"/>
                <w:color w:val="auto"/>
              </w:rPr>
            </w:pPr>
            <w:r>
              <w:rPr>
                <w:rFonts w:ascii="Arial" w:cs="Arial" w:eastAsia="Arial" w:hAnsi="Arial"/>
                <w:sz w:val="22"/>
                <w:szCs w:val="22"/>
                <w:color w:val="auto"/>
              </w:rPr>
              <w:t>1-650-243-6300</w:t>
            </w:r>
          </w:p>
        </w:tc>
      </w:tr>
      <w:tr>
        <w:trPr>
          <w:trHeight w:val="297"/>
        </w:trPr>
        <w:tc>
          <w:tcPr>
            <w:tcW w:w="68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2960" w:type="dxa"/>
            <w:vAlign w:val="bottom"/>
          </w:tcPr>
          <w:p>
            <w:pPr>
              <w:ind w:left="1100"/>
              <w:spacing w:after="0"/>
              <w:rPr>
                <w:sz w:val="20"/>
                <w:szCs w:val="20"/>
                <w:color w:val="auto"/>
              </w:rPr>
            </w:pPr>
            <w:r>
              <w:rPr>
                <w:rFonts w:ascii="Arial" w:cs="Arial" w:eastAsia="Arial" w:hAnsi="Arial"/>
                <w:sz w:val="22"/>
                <w:szCs w:val="22"/>
                <w:color w:val="auto"/>
              </w:rPr>
              <w:t>Evan Jones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78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Goldman Sachs &amp; Co.</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 Shares</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19095</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571322.4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72417156</w:t>
            </w:r>
          </w:p>
        </w:tc>
        <w:tc>
          <w:tcPr>
            <w:tcW w:w="1280" w:type="dxa"/>
            <w:vAlign w:val="bottom"/>
          </w:tcPr>
          <w:p>
            <w:pPr>
              <w:ind w:left="40"/>
              <w:spacing w:after="0"/>
              <w:rPr>
                <w:sz w:val="20"/>
                <w:szCs w:val="20"/>
                <w:color w:val="auto"/>
              </w:rPr>
            </w:pPr>
            <w:r>
              <w:rPr>
                <w:rFonts w:ascii="Arial" w:cs="Arial" w:eastAsia="Arial" w:hAnsi="Arial"/>
                <w:sz w:val="22"/>
                <w:szCs w:val="22"/>
                <w:color w:val="auto"/>
              </w:rPr>
              <w:t>07/17/2023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660" w:type="dxa"/>
            <w:vAlign w:val="bottom"/>
          </w:tcPr>
          <w:p>
            <w:pPr>
              <w:ind w:left="1400"/>
              <w:spacing w:after="0"/>
              <w:rPr>
                <w:sz w:val="20"/>
                <w:szCs w:val="20"/>
                <w:color w:val="auto"/>
              </w:rPr>
            </w:pPr>
            <w:r>
              <w:rPr>
                <w:rFonts w:ascii="Arial" w:cs="Arial" w:eastAsia="Arial" w:hAnsi="Arial"/>
                <w:sz w:val="22"/>
                <w:szCs w:val="22"/>
                <w:b w:val="1"/>
                <w:bCs w:val="1"/>
                <w:color w:val="auto"/>
                <w:w w:val="99"/>
              </w:rPr>
              <w:t>Transaction</w:t>
            </w:r>
          </w:p>
        </w:tc>
        <w:tc>
          <w:tcPr>
            <w:tcW w:w="1520" w:type="dxa"/>
            <w:vAlign w:val="bottom"/>
          </w:tcPr>
          <w:p>
            <w:pPr>
              <w:ind w:left="580"/>
              <w:spacing w:after="0"/>
              <w:rPr>
                <w:sz w:val="20"/>
                <w:szCs w:val="20"/>
                <w:color w:val="auto"/>
              </w:rPr>
            </w:pPr>
            <w:r>
              <w:rPr>
                <w:rFonts w:ascii="Arial" w:cs="Arial" w:eastAsia="Arial" w:hAnsi="Arial"/>
                <w:sz w:val="22"/>
                <w:szCs w:val="22"/>
                <w:b w:val="1"/>
                <w:bCs w:val="1"/>
                <w:color w:val="auto"/>
              </w:rPr>
              <w:t>Whom</w:t>
            </w:r>
          </w:p>
        </w:tc>
        <w:tc>
          <w:tcPr>
            <w:tcW w:w="2760" w:type="dxa"/>
            <w:vAlign w:val="bottom"/>
          </w:tcPr>
          <w:p>
            <w:pPr>
              <w:ind w:left="320"/>
              <w:spacing w:after="0"/>
              <w:rPr>
                <w:sz w:val="20"/>
                <w:szCs w:val="20"/>
                <w:color w:val="auto"/>
              </w:rPr>
            </w:pPr>
            <w:r>
              <w:rPr>
                <w:rFonts w:ascii="Arial" w:cs="Arial" w:eastAsia="Arial" w:hAnsi="Arial"/>
                <w:sz w:val="22"/>
                <w:szCs w:val="22"/>
                <w:b w:val="1"/>
                <w:bCs w:val="1"/>
                <w:color w:val="auto"/>
              </w:rPr>
              <w:t>a  Acquired  Acquired</w:t>
            </w:r>
          </w:p>
        </w:tc>
        <w:tc>
          <w:tcPr>
            <w:tcW w:w="2540" w:type="dxa"/>
            <w:vAlign w:val="bottom"/>
          </w:tcPr>
          <w:p>
            <w:pPr>
              <w:spacing w:after="0"/>
              <w:rPr>
                <w:sz w:val="21"/>
                <w:szCs w:val="21"/>
                <w:color w:val="auto"/>
              </w:rPr>
            </w:pPr>
          </w:p>
        </w:tc>
      </w:tr>
      <w:tr>
        <w:trPr>
          <w:trHeight w:val="280"/>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20" w:type="dxa"/>
            <w:vAlign w:val="bottom"/>
          </w:tcPr>
          <w:p>
            <w:pPr>
              <w:ind w:left="460"/>
              <w:spacing w:after="0"/>
              <w:rPr>
                <w:sz w:val="20"/>
                <w:szCs w:val="20"/>
                <w:color w:val="auto"/>
              </w:rPr>
            </w:pPr>
            <w:r>
              <w:rPr>
                <w:rFonts w:ascii="Arial" w:cs="Arial" w:eastAsia="Arial" w:hAnsi="Arial"/>
                <w:sz w:val="22"/>
                <w:szCs w:val="22"/>
                <w:b w:val="1"/>
                <w:bCs w:val="1"/>
                <w:color w:val="auto"/>
              </w:rPr>
              <w:t>Acquired</w:t>
            </w:r>
          </w:p>
        </w:tc>
        <w:tc>
          <w:tcPr>
            <w:tcW w:w="2760" w:type="dxa"/>
            <w:vAlign w:val="bottom"/>
          </w:tcPr>
          <w:p>
            <w:pPr>
              <w:ind w:left="140"/>
              <w:spacing w:after="0"/>
              <w:rPr>
                <w:sz w:val="20"/>
                <w:szCs w:val="20"/>
                <w:color w:val="auto"/>
              </w:rPr>
            </w:pPr>
            <w:r>
              <w:rPr>
                <w:rFonts w:ascii="Arial" w:cs="Arial" w:eastAsia="Arial" w:hAnsi="Arial"/>
                <w:sz w:val="22"/>
                <w:szCs w:val="22"/>
                <w:b w:val="1"/>
                <w:bCs w:val="1"/>
                <w:color w:val="auto"/>
              </w:rPr>
              <w:t>Gift?</w:t>
            </w:r>
          </w:p>
        </w:tc>
        <w:tc>
          <w:tcPr>
            <w:tcW w:w="2540" w:type="dxa"/>
            <w:vAlign w:val="bottom"/>
          </w:tcPr>
          <w:p>
            <w:pPr>
              <w:spacing w:after="0"/>
              <w:rPr>
                <w:sz w:val="24"/>
                <w:szCs w:val="24"/>
                <w:color w:val="auto"/>
              </w:rPr>
            </w:pPr>
          </w:p>
        </w:tc>
      </w:tr>
      <w:tr>
        <w:trPr>
          <w:trHeight w:val="233"/>
        </w:trPr>
        <w:tc>
          <w:tcPr>
            <w:tcW w:w="1420" w:type="dxa"/>
            <w:vAlign w:val="bottom"/>
          </w:tcPr>
          <w:p>
            <w:pPr>
              <w:spacing w:after="0"/>
              <w:rPr>
                <w:sz w:val="20"/>
                <w:szCs w:val="20"/>
                <w:color w:val="auto"/>
              </w:rPr>
            </w:pPr>
          </w:p>
        </w:tc>
        <w:tc>
          <w:tcPr>
            <w:tcW w:w="2660" w:type="dxa"/>
            <w:vAlign w:val="bottom"/>
          </w:tcPr>
          <w:p>
            <w:pPr>
              <w:ind w:left="1120"/>
              <w:spacing w:after="0" w:line="233" w:lineRule="exact"/>
              <w:rPr>
                <w:sz w:val="20"/>
                <w:szCs w:val="20"/>
                <w:color w:val="auto"/>
              </w:rPr>
            </w:pPr>
            <w:r>
              <w:rPr>
                <w:rFonts w:ascii="Arial" w:cs="Arial" w:eastAsia="Arial" w:hAnsi="Arial"/>
                <w:sz w:val="22"/>
                <w:szCs w:val="22"/>
                <w:color w:val="auto"/>
              </w:rPr>
              <w:t>Acquired upon</w:t>
            </w:r>
          </w:p>
        </w:tc>
        <w:tc>
          <w:tcPr>
            <w:tcW w:w="1520" w:type="dxa"/>
            <w:vAlign w:val="bottom"/>
          </w:tcPr>
          <w:p>
            <w:pPr>
              <w:ind w:left="160"/>
              <w:spacing w:after="0" w:line="233" w:lineRule="exact"/>
              <w:rPr>
                <w:sz w:val="20"/>
                <w:szCs w:val="20"/>
                <w:color w:val="auto"/>
              </w:rPr>
            </w:pPr>
            <w:r>
              <w:rPr>
                <w:rFonts w:ascii="Arial" w:cs="Arial" w:eastAsia="Arial" w:hAnsi="Arial"/>
                <w:sz w:val="22"/>
                <w:szCs w:val="22"/>
                <w:color w:val="auto"/>
                <w:w w:val="99"/>
              </w:rPr>
              <w:t>Veracyte, Inc.</w:t>
            </w:r>
          </w:p>
        </w:tc>
        <w:tc>
          <w:tcPr>
            <w:tcW w:w="276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330"/>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2660" w:type="dxa"/>
            <w:vAlign w:val="bottom"/>
          </w:tcPr>
          <w:p>
            <w:pPr>
              <w:ind w:left="80"/>
              <w:spacing w:after="0" w:line="330" w:lineRule="exact"/>
              <w:rPr>
                <w:sz w:val="20"/>
                <w:szCs w:val="20"/>
                <w:color w:val="auto"/>
              </w:rPr>
            </w:pPr>
            <w:r>
              <w:rPr>
                <w:rFonts w:ascii="Arial" w:cs="Arial" w:eastAsia="Arial" w:hAnsi="Arial"/>
                <w:sz w:val="38"/>
                <w:szCs w:val="38"/>
                <w:color w:val="auto"/>
                <w:w w:val="95"/>
                <w:vertAlign w:val="superscript"/>
              </w:rPr>
              <w:t>05/24/2018</w:t>
            </w:r>
            <w:r>
              <w:rPr>
                <w:rFonts w:ascii="Arial" w:cs="Arial" w:eastAsia="Arial" w:hAnsi="Arial"/>
                <w:sz w:val="20"/>
                <w:szCs w:val="20"/>
                <w:color w:val="auto"/>
                <w:w w:val="95"/>
              </w:rPr>
              <w:t xml:space="preserve"> option exercise</w:t>
            </w:r>
          </w:p>
        </w:tc>
        <w:tc>
          <w:tcPr>
            <w:tcW w:w="152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ind w:left="1580"/>
              <w:spacing w:after="0"/>
              <w:rPr>
                <w:sz w:val="20"/>
                <w:szCs w:val="20"/>
                <w:color w:val="auto"/>
              </w:rPr>
            </w:pPr>
            <w:r>
              <w:rPr>
                <w:rFonts w:ascii="Arial" w:cs="Arial" w:eastAsia="Arial" w:hAnsi="Arial"/>
                <w:sz w:val="22"/>
                <w:szCs w:val="22"/>
                <w:color w:val="auto"/>
              </w:rPr>
              <w:t>19000</w:t>
            </w:r>
          </w:p>
        </w:tc>
        <w:tc>
          <w:tcPr>
            <w:tcW w:w="2540" w:type="dxa"/>
            <w:vAlign w:val="bottom"/>
          </w:tcPr>
          <w:p>
            <w:pPr>
              <w:ind w:left="140"/>
              <w:spacing w:after="0"/>
              <w:rPr>
                <w:sz w:val="20"/>
                <w:szCs w:val="20"/>
                <w:color w:val="auto"/>
              </w:rPr>
            </w:pPr>
            <w:r>
              <w:rPr>
                <w:rFonts w:ascii="Arial" w:cs="Arial" w:eastAsia="Arial" w:hAnsi="Arial"/>
                <w:sz w:val="22"/>
                <w:szCs w:val="22"/>
                <w:color w:val="auto"/>
                <w:w w:val="88"/>
              </w:rPr>
              <w:t>05/24/2018 Option exercise</w:t>
            </w:r>
          </w:p>
        </w:tc>
      </w:tr>
      <w:tr>
        <w:trPr>
          <w:trHeight w:val="210"/>
        </w:trPr>
        <w:tc>
          <w:tcPr>
            <w:tcW w:w="1420" w:type="dxa"/>
            <w:vAlign w:val="bottom"/>
          </w:tcPr>
          <w:p>
            <w:pPr>
              <w:spacing w:after="0"/>
              <w:rPr>
                <w:sz w:val="18"/>
                <w:szCs w:val="18"/>
                <w:color w:val="auto"/>
              </w:rPr>
            </w:pPr>
          </w:p>
        </w:tc>
        <w:tc>
          <w:tcPr>
            <w:tcW w:w="2660" w:type="dxa"/>
            <w:vAlign w:val="bottom"/>
          </w:tcPr>
          <w:p>
            <w:pPr>
              <w:ind w:left="1120"/>
              <w:spacing w:after="0" w:line="210" w:lineRule="exact"/>
              <w:rPr>
                <w:sz w:val="20"/>
                <w:szCs w:val="20"/>
                <w:color w:val="auto"/>
              </w:rPr>
            </w:pPr>
            <w:r>
              <w:rPr>
                <w:rFonts w:ascii="Arial" w:cs="Arial" w:eastAsia="Arial" w:hAnsi="Arial"/>
                <w:sz w:val="22"/>
                <w:szCs w:val="22"/>
                <w:color w:val="auto"/>
              </w:rPr>
              <w:t>Acquired upon</w:t>
            </w:r>
          </w:p>
        </w:tc>
        <w:tc>
          <w:tcPr>
            <w:tcW w:w="1520" w:type="dxa"/>
            <w:vAlign w:val="bottom"/>
          </w:tcPr>
          <w:p>
            <w:pPr>
              <w:ind w:left="160"/>
              <w:spacing w:after="0" w:line="210" w:lineRule="exact"/>
              <w:rPr>
                <w:sz w:val="20"/>
                <w:szCs w:val="20"/>
                <w:color w:val="auto"/>
              </w:rPr>
            </w:pPr>
            <w:r>
              <w:rPr>
                <w:rFonts w:ascii="Arial" w:cs="Arial" w:eastAsia="Arial" w:hAnsi="Arial"/>
                <w:sz w:val="22"/>
                <w:szCs w:val="22"/>
                <w:color w:val="auto"/>
                <w:w w:val="99"/>
              </w:rPr>
              <w:t>Veracyte, Inc.</w:t>
            </w:r>
          </w:p>
        </w:tc>
        <w:tc>
          <w:tcPr>
            <w:tcW w:w="27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563"/>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2660" w:type="dxa"/>
            <w:vAlign w:val="bottom"/>
          </w:tcPr>
          <w:p>
            <w:pPr>
              <w:ind w:left="80"/>
              <w:spacing w:after="0"/>
              <w:rPr>
                <w:sz w:val="20"/>
                <w:szCs w:val="20"/>
                <w:color w:val="auto"/>
              </w:rPr>
            </w:pPr>
            <w:r>
              <w:rPr>
                <w:rFonts w:ascii="Arial" w:cs="Arial" w:eastAsia="Arial" w:hAnsi="Arial"/>
                <w:sz w:val="43"/>
                <w:szCs w:val="43"/>
                <w:color w:val="auto"/>
                <w:w w:val="86"/>
                <w:vertAlign w:val="superscript"/>
              </w:rPr>
              <w:t>12/06/2012</w:t>
            </w:r>
            <w:r>
              <w:rPr>
                <w:rFonts w:ascii="Arial" w:cs="Arial" w:eastAsia="Arial" w:hAnsi="Arial"/>
                <w:sz w:val="22"/>
                <w:szCs w:val="22"/>
                <w:color w:val="auto"/>
                <w:w w:val="86"/>
              </w:rPr>
              <w:t xml:space="preserve"> option exercise</w:t>
            </w:r>
          </w:p>
        </w:tc>
        <w:tc>
          <w:tcPr>
            <w:tcW w:w="152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ind w:left="1580"/>
              <w:spacing w:after="0"/>
              <w:rPr>
                <w:sz w:val="20"/>
                <w:szCs w:val="20"/>
                <w:color w:val="auto"/>
              </w:rPr>
            </w:pPr>
            <w:r>
              <w:rPr>
                <w:rFonts w:ascii="Arial" w:cs="Arial" w:eastAsia="Arial" w:hAnsi="Arial"/>
                <w:sz w:val="22"/>
                <w:szCs w:val="22"/>
                <w:color w:val="auto"/>
              </w:rPr>
              <w:t>95</w:t>
            </w:r>
          </w:p>
        </w:tc>
        <w:tc>
          <w:tcPr>
            <w:tcW w:w="2540" w:type="dxa"/>
            <w:vAlign w:val="bottom"/>
          </w:tcPr>
          <w:p>
            <w:pPr>
              <w:ind w:left="140"/>
              <w:spacing w:after="0"/>
              <w:rPr>
                <w:sz w:val="20"/>
                <w:szCs w:val="20"/>
                <w:color w:val="auto"/>
              </w:rPr>
            </w:pPr>
            <w:r>
              <w:rPr>
                <w:rFonts w:ascii="Arial" w:cs="Arial" w:eastAsia="Arial" w:hAnsi="Arial"/>
                <w:sz w:val="22"/>
                <w:szCs w:val="22"/>
                <w:color w:val="auto"/>
                <w:w w:val="88"/>
              </w:rPr>
              <w:t>01/13/2022 Option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-725805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-382905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400"/>
        <w:spacing w:after="0" w:line="296" w:lineRule="auto"/>
        <w:rPr>
          <w:sz w:val="20"/>
          <w:szCs w:val="20"/>
          <w:color w:val="auto"/>
        </w:rPr>
      </w:pPr>
      <w:r>
        <w:rPr>
          <w:rFonts w:ascii="Arial" w:cs="Arial" w:eastAsia="Arial" w:hAnsi="Arial"/>
          <w:sz w:val="19"/>
          <w:szCs w:val="19"/>
          <w:color w:val="auto"/>
        </w:rPr>
        <w:t>The sales of shares set forth herein are made in connection with a selling plan dated 06/11/2022, that is intended to comply with Rule 10b5-1(c).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07/17/2023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06/11/2022</w:t>
      </w:r>
    </w:p>
    <w:p>
      <w:pPr>
        <w:spacing w:after="0" w:line="618" w:lineRule="exact"/>
        <w:rPr>
          <w:sz w:val="20"/>
          <w:szCs w:val="20"/>
          <w:color w:val="auto"/>
        </w:rPr>
      </w:pPr>
    </w:p>
    <w:p>
      <w:pPr>
        <w:sectPr>
          <w:pgSz w:w="11900" w:h="16838" w:orient="portrait"/>
          <w:cols w:equalWidth="0" w:num="2">
            <w:col w:w="3420" w:space="720"/>
            <w:col w:w="710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1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Evan Jones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2023-07-17T16:21:02Z</dcterms:created>
  <dcterms:modified xsi:type="dcterms:W3CDTF">2023-07-17T16:21:02Z</dcterms:modified>
</cp:coreProperties>
</file>