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1"/>
          <w:szCs w:val="21"/>
          <w:color w:val="auto"/>
        </w:rPr>
        <w:t>SEC Form 4</w:t>
      </w:r>
    </w:p>
    <w:p>
      <w:pPr>
        <w:spacing w:after="0" w:line="39" w:lineRule="exact"/>
        <w:rPr>
          <w:sz w:val="24"/>
          <w:szCs w:val="24"/>
          <w:color w:val="auto"/>
        </w:rPr>
      </w:pPr>
    </w:p>
    <w:p>
      <w:pPr>
        <w:ind w:left="7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4"/>
          <w:szCs w:val="24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62" w:lineRule="exact"/>
        <w:rPr>
          <w:sz w:val="24"/>
          <w:szCs w:val="24"/>
          <w:color w:val="auto"/>
        </w:rPr>
      </w:pPr>
    </w:p>
    <w:p>
      <w:pPr>
        <w:ind w:left="380"/>
        <w:spacing w:after="0" w:line="236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38100</wp:posOffset>
            </wp:positionH>
            <wp:positionV relativeFrom="paragraph">
              <wp:posOffset>-241300</wp:posOffset>
            </wp:positionV>
            <wp:extent cx="135255" cy="135255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5255" cy="135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62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72"/>
        </w:trPr>
        <w:tc>
          <w:tcPr>
            <w:tcW w:w="6400" w:type="dxa"/>
            <w:vAlign w:val="bottom"/>
          </w:tcPr>
          <w:p>
            <w:pPr>
              <w:jc w:val="center"/>
              <w:ind w:right="7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400" w:type="dxa"/>
            <w:vAlign w:val="bottom"/>
            <w:vMerge w:val="restart"/>
          </w:tcPr>
          <w:p>
            <w:pPr>
              <w:jc w:val="center"/>
              <w:ind w:right="73"/>
              <w:spacing w:after="0" w:line="14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0"/>
        </w:trPr>
        <w:tc>
          <w:tcPr>
            <w:tcW w:w="640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9"/>
        </w:trPr>
        <w:tc>
          <w:tcPr>
            <w:tcW w:w="64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400" w:type="dxa"/>
            <w:vAlign w:val="bottom"/>
            <w:vMerge w:val="restart"/>
          </w:tcPr>
          <w:p>
            <w:pPr>
              <w:jc w:val="center"/>
              <w:ind w:right="5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9"/>
        </w:trPr>
        <w:tc>
          <w:tcPr>
            <w:tcW w:w="640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8"/>
        </w:trPr>
        <w:tc>
          <w:tcPr>
            <w:tcW w:w="640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9"/>
        </w:trPr>
        <w:tc>
          <w:tcPr>
            <w:tcW w:w="64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7"/>
        </w:trPr>
        <w:tc>
          <w:tcPr>
            <w:tcW w:w="6400" w:type="dxa"/>
            <w:vAlign w:val="bottom"/>
            <w:vMerge w:val="restart"/>
          </w:tcPr>
          <w:p>
            <w:pPr>
              <w:jc w:val="center"/>
              <w:ind w:right="7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4"/>
        </w:trPr>
        <w:tc>
          <w:tcPr>
            <w:tcW w:w="640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40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5325745</wp:posOffset>
            </wp:positionH>
            <wp:positionV relativeFrom="paragraph">
              <wp:posOffset>-646430</wp:posOffset>
            </wp:positionV>
            <wp:extent cx="59055" cy="659765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055" cy="65976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4048125</wp:posOffset>
            </wp:positionH>
            <wp:positionV relativeFrom="paragraph">
              <wp:posOffset>-646430</wp:posOffset>
            </wp:positionV>
            <wp:extent cx="59055" cy="65976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055" cy="65976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-1569720</wp:posOffset>
            </wp:positionH>
            <wp:positionV relativeFrom="paragraph">
              <wp:posOffset>19685</wp:posOffset>
            </wp:positionV>
            <wp:extent cx="6989445" cy="5322570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89445" cy="532257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38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200" w:space="260"/>
            <w:col w:w="8620"/>
          </w:cols>
          <w:pgMar w:left="460" w:top="225" w:right="359" w:bottom="1440" w:gutter="0" w:footer="0" w:header="0"/>
        </w:sect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5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820" w:type="dxa"/>
            <w:vAlign w:val="bottom"/>
            <w:gridSpan w:val="9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1. Name and Address of Reporting Person</w:t>
            </w:r>
            <w:r>
              <w:rPr>
                <w:rFonts w:ascii="Arial" w:cs="Arial" w:eastAsia="Arial" w:hAnsi="Arial"/>
                <w:sz w:val="22"/>
                <w:szCs w:val="22"/>
                <w:color w:val="auto"/>
                <w:vertAlign w:val="superscript"/>
              </w:rPr>
              <w:t>*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880" w:type="dxa"/>
            <w:vAlign w:val="bottom"/>
            <w:gridSpan w:val="7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 xml:space="preserve">2. Issuer Name </w:t>
            </w: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and</w:t>
            </w: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 xml:space="preserve"> Ticker or Trading Symbol</w:t>
            </w: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420" w:type="dxa"/>
            <w:vAlign w:val="bottom"/>
            <w:gridSpan w:val="9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5. Relationship of Reporting Person(s) to Issuer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300" w:type="dxa"/>
            <w:vAlign w:val="bottom"/>
            <w:gridSpan w:val="5"/>
            <w:vMerge w:val="restart"/>
          </w:tcPr>
          <w:p>
            <w:pPr>
              <w:spacing w:after="0"/>
              <w:rPr>
                <w:rFonts w:ascii="Arial" w:cs="Arial" w:eastAsia="Arial" w:hAnsi="Arial"/>
                <w:sz w:val="21"/>
                <w:szCs w:val="21"/>
                <w:color w:val="0000EE"/>
              </w:rPr>
            </w:pPr>
            <w:hyperlink r:id="rId12">
              <w:r>
                <w:rPr>
                  <w:rFonts w:ascii="Arial" w:cs="Arial" w:eastAsia="Arial" w:hAnsi="Arial"/>
                  <w:sz w:val="21"/>
                  <w:szCs w:val="21"/>
                  <w:color w:val="0000EE"/>
                </w:rPr>
                <w:t>EASTHAM KARIN</w:t>
              </w:r>
            </w:hyperlink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880" w:type="dxa"/>
            <w:vAlign w:val="bottom"/>
            <w:gridSpan w:val="7"/>
          </w:tcPr>
          <w:p>
            <w:pPr>
              <w:spacing w:after="0" w:line="107" w:lineRule="exact"/>
              <w:rPr>
                <w:rFonts w:ascii="Arial" w:cs="Arial" w:eastAsia="Arial" w:hAnsi="Arial"/>
                <w:sz w:val="12"/>
                <w:szCs w:val="12"/>
                <w:color w:val="0000EE"/>
              </w:rPr>
            </w:pPr>
            <w:hyperlink r:id="rId13">
              <w:r>
                <w:rPr>
                  <w:rFonts w:ascii="Arial" w:cs="Arial" w:eastAsia="Arial" w:hAnsi="Arial"/>
                  <w:sz w:val="12"/>
                  <w:szCs w:val="12"/>
                  <w:color w:val="0000EE"/>
                </w:rPr>
                <w:t xml:space="preserve">VERACYTE, INC. </w:t>
              </w:r>
            </w:hyperlink>
            <w:r>
              <w:rPr>
                <w:rFonts w:ascii="Arial" w:cs="Arial" w:eastAsia="Arial" w:hAnsi="Arial"/>
                <w:sz w:val="12"/>
                <w:szCs w:val="12"/>
                <w:color w:val="000000"/>
              </w:rPr>
              <w:t>[</w:t>
            </w:r>
            <w:r>
              <w:rPr>
                <w:rFonts w:ascii="Arial" w:cs="Arial" w:eastAsia="Arial" w:hAnsi="Arial"/>
                <w:sz w:val="12"/>
                <w:szCs w:val="12"/>
                <w:color w:val="0000EE"/>
              </w:rPr>
              <w:t xml:space="preserve"> </w:t>
            </w:r>
            <w:r>
              <w:rPr>
                <w:rFonts w:ascii="Arial" w:cs="Arial" w:eastAsia="Arial" w:hAnsi="Arial"/>
                <w:sz w:val="10"/>
                <w:szCs w:val="10"/>
                <w:color w:val="0000FF"/>
              </w:rPr>
              <w:t>VCYT</w:t>
            </w:r>
            <w:r>
              <w:rPr>
                <w:rFonts w:ascii="Arial" w:cs="Arial" w:eastAsia="Arial" w:hAnsi="Arial"/>
                <w:sz w:val="12"/>
                <w:szCs w:val="12"/>
                <w:color w:val="0000EE"/>
              </w:rPr>
              <w:t xml:space="preserve"> </w:t>
            </w:r>
            <w:r>
              <w:rPr>
                <w:rFonts w:ascii="Arial" w:cs="Arial" w:eastAsia="Arial" w:hAnsi="Arial"/>
                <w:sz w:val="12"/>
                <w:szCs w:val="12"/>
                <w:color w:val="000000"/>
              </w:rPr>
              <w:t>]</w:t>
            </w: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680" w:type="dxa"/>
            <w:vAlign w:val="bottom"/>
            <w:gridSpan w:val="5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(Check all applicable)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300" w:type="dxa"/>
            <w:vAlign w:val="bottom"/>
            <w:gridSpan w:val="5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80" w:type="dxa"/>
            <w:vAlign w:val="bottom"/>
            <w:gridSpan w:val="5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300" w:type="dxa"/>
            <w:vAlign w:val="bottom"/>
            <w:gridSpan w:val="5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400" w:type="dxa"/>
            <w:vAlign w:val="bottom"/>
            <w:gridSpan w:val="3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 xml:space="preserve">X   </w:t>
            </w:r>
            <w:r>
              <w:rPr>
                <w:rFonts w:ascii="Arial" w:cs="Arial" w:eastAsia="Arial" w:hAnsi="Arial"/>
                <w:sz w:val="13"/>
                <w:szCs w:val="13"/>
                <w:color w:val="000000"/>
              </w:rPr>
              <w:t>Director</w:t>
            </w:r>
          </w:p>
        </w:tc>
        <w:tc>
          <w:tcPr>
            <w:tcW w:w="1740" w:type="dxa"/>
            <w:vAlign w:val="bottom"/>
            <w:gridSpan w:val="4"/>
            <w:vMerge w:val="restart"/>
          </w:tcPr>
          <w:p>
            <w:pPr>
              <w:ind w:left="4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10% Owner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300" w:type="dxa"/>
            <w:vAlign w:val="bottom"/>
            <w:gridSpan w:val="5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0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74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top w:val="single" w:sz="8" w:color="0000EE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top w:val="single" w:sz="8" w:color="0000EE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top w:val="single" w:sz="8" w:color="0000EE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top w:val="single" w:sz="8" w:color="0000EE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40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74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3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20" w:type="dxa"/>
            <w:vAlign w:val="bottom"/>
            <w:vMerge w:val="restart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80" w:type="dxa"/>
            <w:vAlign w:val="bottom"/>
            <w:gridSpan w:val="2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Officer (give title</w:t>
            </w:r>
          </w:p>
        </w:tc>
        <w:tc>
          <w:tcPr>
            <w:tcW w:w="1740" w:type="dxa"/>
            <w:vAlign w:val="bottom"/>
            <w:gridSpan w:val="4"/>
            <w:vMerge w:val="restart"/>
          </w:tcPr>
          <w:p>
            <w:pPr>
              <w:ind w:left="4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Other (specify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2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74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(Last)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120" w:type="dxa"/>
            <w:vAlign w:val="bottom"/>
            <w:gridSpan w:val="3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(First)</w:t>
            </w:r>
          </w:p>
        </w:tc>
        <w:tc>
          <w:tcPr>
            <w:tcW w:w="1420" w:type="dxa"/>
            <w:vAlign w:val="bottom"/>
            <w:gridSpan w:val="3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(Middle)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880" w:type="dxa"/>
            <w:vAlign w:val="bottom"/>
            <w:gridSpan w:val="7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3. Date of Earliest Transaction (Month/Day/Year)</w:t>
            </w: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180" w:type="dxa"/>
            <w:vAlign w:val="bottom"/>
            <w:gridSpan w:val="2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920" w:type="dxa"/>
            <w:vAlign w:val="bottom"/>
          </w:tcPr>
          <w:p>
            <w:pPr>
              <w:ind w:left="4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300" w:type="dxa"/>
            <w:vAlign w:val="bottom"/>
            <w:gridSpan w:val="5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6000 SHORELINE COURT</w:t>
            </w: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320" w:type="dxa"/>
            <w:vAlign w:val="bottom"/>
            <w:gridSpan w:val="3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05/03/2021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300" w:type="dxa"/>
            <w:vAlign w:val="bottom"/>
            <w:gridSpan w:val="5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4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18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SUITE 300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3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380" w:type="dxa"/>
            <w:vAlign w:val="bottom"/>
            <w:gridSpan w:val="8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4. If Amendment, Date of Original Filed (Month/Day/Year)</w:t>
            </w: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420" w:type="dxa"/>
            <w:vAlign w:val="bottom"/>
            <w:gridSpan w:val="9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6. Individual or Joint/Group Filing (Check Applicable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(Street)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60" w:type="dxa"/>
            <w:vAlign w:val="bottom"/>
            <w:gridSpan w:val="4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Line)</w:t>
            </w: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140" w:type="dxa"/>
            <w:vAlign w:val="bottom"/>
            <w:gridSpan w:val="7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 xml:space="preserve">X   </w:t>
            </w:r>
            <w:r>
              <w:rPr>
                <w:rFonts w:ascii="Arial" w:cs="Arial" w:eastAsia="Arial" w:hAnsi="Arial"/>
                <w:sz w:val="13"/>
                <w:szCs w:val="13"/>
                <w:color w:val="000000"/>
              </w:rPr>
              <w:t>Form filed by One Reporting Person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80" w:type="dxa"/>
            <w:vAlign w:val="bottom"/>
            <w:gridSpan w:val="2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SOUTH SAN</w:t>
            </w:r>
          </w:p>
        </w:tc>
        <w:tc>
          <w:tcPr>
            <w:tcW w:w="300" w:type="dxa"/>
            <w:vAlign w:val="bottom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CA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340" w:type="dxa"/>
            <w:vAlign w:val="bottom"/>
            <w:vMerge w:val="restart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94080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140" w:type="dxa"/>
            <w:vAlign w:val="bottom"/>
            <w:gridSpan w:val="7"/>
            <w:vMerge w:val="continue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0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34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920" w:type="dxa"/>
            <w:vAlign w:val="bottom"/>
            <w:gridSpan w:val="6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Form filed by More than One Reporting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180" w:type="dxa"/>
            <w:vAlign w:val="bottom"/>
            <w:gridSpan w:val="2"/>
            <w:vMerge w:val="restart"/>
          </w:tcPr>
          <w:p>
            <w:pPr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FRANCISCO</w:t>
            </w:r>
          </w:p>
        </w:tc>
        <w:tc>
          <w:tcPr>
            <w:tcW w:w="30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34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920" w:type="dxa"/>
            <w:vAlign w:val="bottom"/>
            <w:gridSpan w:val="6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920" w:type="dxa"/>
            <w:vAlign w:val="bottom"/>
            <w:gridSpan w:val="6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80" w:type="dxa"/>
            <w:vAlign w:val="bottom"/>
            <w:gridSpan w:val="2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Person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9A9A9A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0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(City)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120" w:type="dxa"/>
            <w:vAlign w:val="bottom"/>
            <w:gridSpan w:val="3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(State)</w:t>
            </w:r>
          </w:p>
        </w:tc>
        <w:tc>
          <w:tcPr>
            <w:tcW w:w="1420" w:type="dxa"/>
            <w:vAlign w:val="bottom"/>
            <w:gridSpan w:val="3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(Zip)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2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8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52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460" w:type="dxa"/>
            <w:vAlign w:val="bottom"/>
            <w:tcBorders>
              <w:top w:val="single" w:sz="8" w:color="2C2C2C"/>
            </w:tcBorders>
            <w:gridSpan w:val="19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Table I - Non-Derivative Securities Acquired, Disposed of, or Beneficially Owned</w:t>
            </w:r>
          </w:p>
        </w:tc>
        <w:tc>
          <w:tcPr>
            <w:tcW w:w="9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76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3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90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400" w:type="dxa"/>
            <w:vAlign w:val="bottom"/>
            <w:gridSpan w:val="6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420" w:type="dxa"/>
            <w:vAlign w:val="bottom"/>
            <w:gridSpan w:val="3"/>
          </w:tcPr>
          <w:p>
            <w:pPr>
              <w:ind w:left="5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300" w:type="dxa"/>
            <w:vAlign w:val="bottom"/>
            <w:gridSpan w:val="3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36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980" w:type="dxa"/>
            <w:vAlign w:val="bottom"/>
            <w:gridSpan w:val="5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8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2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20" w:type="dxa"/>
            <w:vAlign w:val="bottom"/>
            <w:gridSpan w:val="3"/>
          </w:tcPr>
          <w:p>
            <w:pPr>
              <w:ind w:left="58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00" w:type="dxa"/>
            <w:vAlign w:val="bottom"/>
            <w:gridSpan w:val="3"/>
          </w:tcPr>
          <w:p>
            <w:pPr>
              <w:ind w:left="20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740" w:type="dxa"/>
            <w:vAlign w:val="bottom"/>
            <w:gridSpan w:val="3"/>
          </w:tcPr>
          <w:p>
            <w:pPr>
              <w:ind w:left="2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1980" w:type="dxa"/>
            <w:vAlign w:val="bottom"/>
            <w:gridSpan w:val="5"/>
          </w:tcPr>
          <w:p>
            <w:pPr>
              <w:jc w:val="center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 Of (D) (Instr. 3, 4 and 5)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  <w:gridSpan w:val="2"/>
          </w:tcPr>
          <w:p>
            <w:pPr>
              <w:ind w:left="6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20" w:type="dxa"/>
            <w:vAlign w:val="bottom"/>
          </w:tcPr>
          <w:p>
            <w:pPr>
              <w:ind w:left="2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180" w:type="dxa"/>
            <w:vAlign w:val="bottom"/>
            <w:gridSpan w:val="5"/>
          </w:tcPr>
          <w:p>
            <w:pPr>
              <w:ind w:left="5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  if any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gridSpan w:val="3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2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00" w:type="dxa"/>
            <w:vAlign w:val="bottom"/>
            <w:gridSpan w:val="3"/>
          </w:tcPr>
          <w:p>
            <w:pPr>
              <w:ind w:left="2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36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2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Indirect (I)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80" w:type="dxa"/>
            <w:vAlign w:val="bottom"/>
            <w:gridSpan w:val="2"/>
            <w:vMerge w:val="restart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20" w:type="dxa"/>
            <w:vAlign w:val="bottom"/>
            <w:vMerge w:val="restart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820" w:type="dxa"/>
            <w:vAlign w:val="bottom"/>
            <w:gridSpan w:val="3"/>
            <w:vMerge w:val="restart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2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gridSpan w:val="3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 V</w:t>
            </w:r>
          </w:p>
        </w:tc>
        <w:tc>
          <w:tcPr>
            <w:tcW w:w="84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500" w:type="dxa"/>
            <w:vAlign w:val="bottom"/>
          </w:tcPr>
          <w:p>
            <w:pPr>
              <w:jc w:val="center"/>
              <w:ind w:right="74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(A) or</w:t>
            </w:r>
          </w:p>
        </w:tc>
        <w:tc>
          <w:tcPr>
            <w:tcW w:w="640" w:type="dxa"/>
            <w:vAlign w:val="bottom"/>
            <w:gridSpan w:val="3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4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4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00" w:type="dxa"/>
            <w:vAlign w:val="bottom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64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8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0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3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2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Common Stock</w:t>
            </w: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50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05/03/2021</w:t>
            </w: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6"/>
                <w:szCs w:val="26"/>
                <w:color w:val="0000FF"/>
                <w:vertAlign w:val="subscript"/>
              </w:rPr>
              <w:t>S</w:t>
            </w: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(1)</w:t>
            </w: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3"/>
              </w:rPr>
              <w:t>3,527</w:t>
            </w: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ind w:right="54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D</w:t>
            </w:r>
          </w:p>
        </w:tc>
        <w:tc>
          <w:tcPr>
            <w:tcW w:w="86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jc w:val="center"/>
              <w:ind w:right="11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  <w:w w:val="87"/>
              </w:rPr>
              <w:t>$</w:t>
            </w:r>
            <w:r>
              <w:rPr>
                <w:rFonts w:ascii="Arial" w:cs="Arial" w:eastAsia="Arial" w:hAnsi="Arial"/>
                <w:sz w:val="17"/>
                <w:szCs w:val="17"/>
                <w:color w:val="0000FF"/>
                <w:w w:val="87"/>
              </w:rPr>
              <w:t>48.0135</w:t>
            </w:r>
            <w:r>
              <w:rPr>
                <w:rFonts w:ascii="Arial" w:cs="Arial" w:eastAsia="Arial" w:hAnsi="Arial"/>
                <w:sz w:val="22"/>
                <w:szCs w:val="22"/>
                <w:color w:val="008000"/>
                <w:w w:val="87"/>
                <w:vertAlign w:val="superscript"/>
              </w:rPr>
              <w:t>(2)</w:t>
            </w: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9,700</w:t>
            </w: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ind w:left="3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I</w:t>
            </w: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By IRA</w:t>
            </w:r>
          </w:p>
        </w:tc>
        <w:tc>
          <w:tcPr>
            <w:tcW w:w="120" w:type="dxa"/>
            <w:vAlign w:val="bottom"/>
            <w:gridSpan w:val="2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2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Common Stock</w:t>
            </w: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50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05/03/2021</w:t>
            </w: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6"/>
                <w:szCs w:val="26"/>
                <w:color w:val="0000FF"/>
                <w:vertAlign w:val="subscript"/>
              </w:rPr>
              <w:t>S</w:t>
            </w: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(1)</w:t>
            </w: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1"/>
              </w:rPr>
              <w:t>650</w:t>
            </w: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ind w:right="54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D</w:t>
            </w:r>
          </w:p>
        </w:tc>
        <w:tc>
          <w:tcPr>
            <w:tcW w:w="86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jc w:val="center"/>
              <w:ind w:right="11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  <w:w w:val="87"/>
              </w:rPr>
              <w:t>$</w:t>
            </w:r>
            <w:r>
              <w:rPr>
                <w:rFonts w:ascii="Arial" w:cs="Arial" w:eastAsia="Arial" w:hAnsi="Arial"/>
                <w:sz w:val="17"/>
                <w:szCs w:val="17"/>
                <w:color w:val="0000FF"/>
                <w:w w:val="87"/>
              </w:rPr>
              <w:t>48.9985</w:t>
            </w:r>
            <w:r>
              <w:rPr>
                <w:rFonts w:ascii="Arial" w:cs="Arial" w:eastAsia="Arial" w:hAnsi="Arial"/>
                <w:sz w:val="22"/>
                <w:szCs w:val="22"/>
                <w:color w:val="008000"/>
                <w:w w:val="87"/>
                <w:vertAlign w:val="superscript"/>
              </w:rPr>
              <w:t>(3)</w:t>
            </w: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9,050</w:t>
            </w: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ind w:left="3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I</w:t>
            </w: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By IRA</w:t>
            </w:r>
          </w:p>
        </w:tc>
        <w:tc>
          <w:tcPr>
            <w:tcW w:w="120" w:type="dxa"/>
            <w:vAlign w:val="bottom"/>
            <w:gridSpan w:val="2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66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Common Stock</w:t>
            </w: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50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05/03/2021</w:t>
            </w: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6"/>
                <w:szCs w:val="26"/>
                <w:color w:val="0000FF"/>
                <w:vertAlign w:val="subscript"/>
              </w:rPr>
              <w:t>S</w:t>
            </w: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(1)</w:t>
            </w: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1"/>
              </w:rPr>
              <w:t>250</w:t>
            </w: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ind w:right="54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D</w:t>
            </w:r>
          </w:p>
        </w:tc>
        <w:tc>
          <w:tcPr>
            <w:tcW w:w="86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jc w:val="center"/>
              <w:ind w:right="11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  <w:w w:val="88"/>
              </w:rPr>
              <w:t>$</w:t>
            </w:r>
            <w:r>
              <w:rPr>
                <w:rFonts w:ascii="Arial" w:cs="Arial" w:eastAsia="Arial" w:hAnsi="Arial"/>
                <w:sz w:val="17"/>
                <w:szCs w:val="17"/>
                <w:color w:val="0000FF"/>
                <w:w w:val="88"/>
              </w:rPr>
              <w:t>50.028</w:t>
            </w:r>
            <w:r>
              <w:rPr>
                <w:rFonts w:ascii="Arial" w:cs="Arial" w:eastAsia="Arial" w:hAnsi="Arial"/>
                <w:sz w:val="22"/>
                <w:szCs w:val="22"/>
                <w:color w:val="008000"/>
                <w:w w:val="88"/>
                <w:vertAlign w:val="superscript"/>
              </w:rPr>
              <w:t>(4)</w:t>
            </w: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8,800</w:t>
            </w: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ind w:left="3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I</w:t>
            </w: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By IRA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920" w:type="dxa"/>
            <w:vAlign w:val="bottom"/>
            <w:gridSpan w:val="18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Table II - Derivative Securities Acquired, Disposed of, or Beneficially Owned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520" w:type="dxa"/>
            <w:vAlign w:val="bottom"/>
            <w:gridSpan w:val="15"/>
          </w:tcPr>
          <w:p>
            <w:pPr>
              <w:ind w:left="7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(e.g., puts, calls, warrants, options, convertible securities)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3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6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7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  <w:right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5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2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3. Transaction</w:t>
            </w:r>
          </w:p>
        </w:tc>
        <w:tc>
          <w:tcPr>
            <w:tcW w:w="1420" w:type="dxa"/>
            <w:vAlign w:val="bottom"/>
            <w:gridSpan w:val="3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680" w:type="dxa"/>
            <w:vAlign w:val="bottom"/>
            <w:gridSpan w:val="3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5. Number</w:t>
            </w:r>
          </w:p>
        </w:tc>
        <w:tc>
          <w:tcPr>
            <w:tcW w:w="1520" w:type="dxa"/>
            <w:vAlign w:val="bottom"/>
            <w:gridSpan w:val="3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1140" w:type="dxa"/>
            <w:vAlign w:val="bottom"/>
            <w:gridSpan w:val="4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Title and</w:t>
            </w:r>
          </w:p>
        </w:tc>
        <w:tc>
          <w:tcPr>
            <w:tcW w:w="58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7"/>
              </w:rPr>
              <w:t>8. Price of</w:t>
            </w:r>
          </w:p>
        </w:tc>
        <w:tc>
          <w:tcPr>
            <w:tcW w:w="1740" w:type="dxa"/>
            <w:vAlign w:val="bottom"/>
            <w:gridSpan w:val="2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    10.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6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82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420" w:type="dxa"/>
            <w:vAlign w:val="bottom"/>
            <w:gridSpan w:val="3"/>
          </w:tcPr>
          <w:p>
            <w:pPr>
              <w:ind w:left="3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62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520" w:type="dxa"/>
            <w:vAlign w:val="bottom"/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1140" w:type="dxa"/>
            <w:vAlign w:val="bottom"/>
            <w:gridSpan w:val="4"/>
          </w:tcPr>
          <w:p>
            <w:pPr>
              <w:ind w:left="1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 of</w:t>
            </w:r>
          </w:p>
        </w:tc>
        <w:tc>
          <w:tcPr>
            <w:tcW w:w="58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7"/>
              </w:rPr>
              <w:t>Derivative</w:t>
            </w:r>
          </w:p>
        </w:tc>
        <w:tc>
          <w:tcPr>
            <w:tcW w:w="820" w:type="dxa"/>
            <w:vAlign w:val="bottom"/>
          </w:tcPr>
          <w:p>
            <w:pPr>
              <w:ind w:left="1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920" w:type="dxa"/>
            <w:vAlign w:val="bottom"/>
          </w:tcPr>
          <w:p>
            <w:pPr>
              <w:ind w:left="2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Ownership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6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2240" w:type="dxa"/>
            <w:vAlign w:val="bottom"/>
            <w:gridSpan w:val="5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  if any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680" w:type="dxa"/>
            <w:vAlign w:val="bottom"/>
            <w:gridSpan w:val="3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520" w:type="dxa"/>
            <w:vAlign w:val="bottom"/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140" w:type="dxa"/>
            <w:vAlign w:val="bottom"/>
            <w:gridSpan w:val="4"/>
          </w:tcPr>
          <w:p>
            <w:pPr>
              <w:ind w:left="1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58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20" w:type="dxa"/>
            <w:vAlign w:val="bottom"/>
          </w:tcPr>
          <w:p>
            <w:pPr>
              <w:ind w:left="1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20" w:type="dxa"/>
            <w:vAlign w:val="bottom"/>
          </w:tcPr>
          <w:p>
            <w:pPr>
              <w:ind w:left="2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56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20" w:type="dxa"/>
            <w:vAlign w:val="bottom"/>
            <w:gridSpan w:val="3"/>
          </w:tcPr>
          <w:p>
            <w:pPr>
              <w:ind w:left="3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680" w:type="dxa"/>
            <w:vAlign w:val="bottom"/>
            <w:gridSpan w:val="3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  <w:gridSpan w:val="4"/>
          </w:tcPr>
          <w:p>
            <w:pPr>
              <w:ind w:left="1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Underlying</w:t>
            </w:r>
          </w:p>
        </w:tc>
        <w:tc>
          <w:tcPr>
            <w:tcW w:w="58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820" w:type="dxa"/>
            <w:vAlign w:val="bottom"/>
          </w:tcPr>
          <w:p>
            <w:pPr>
              <w:ind w:left="1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Beneficially</w:t>
            </w:r>
          </w:p>
        </w:tc>
        <w:tc>
          <w:tcPr>
            <w:tcW w:w="920" w:type="dxa"/>
            <w:vAlign w:val="bottom"/>
          </w:tcPr>
          <w:p>
            <w:pPr>
              <w:ind w:left="2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Acquired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  <w:gridSpan w:val="4"/>
          </w:tcPr>
          <w:p>
            <w:pPr>
              <w:ind w:left="1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1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920" w:type="dxa"/>
            <w:vAlign w:val="bottom"/>
          </w:tcPr>
          <w:p>
            <w:pPr>
              <w:ind w:left="2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  <w:gridSpan w:val="4"/>
          </w:tcPr>
          <w:p>
            <w:pPr>
              <w:ind w:left="1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 (Instr.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1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920" w:type="dxa"/>
            <w:vAlign w:val="bottom"/>
          </w:tcPr>
          <w:p>
            <w:pPr>
              <w:ind w:left="2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(I) (Instr. 4)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6"/>
              </w:rPr>
              <w:t>Disposed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  <w:gridSpan w:val="4"/>
          </w:tcPr>
          <w:p>
            <w:pPr>
              <w:ind w:left="1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 and 4)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1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740" w:type="dxa"/>
            <w:vAlign w:val="bottom"/>
            <w:gridSpan w:val="2"/>
          </w:tcPr>
          <w:p>
            <w:pPr>
              <w:ind w:left="1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  <w:gridSpan w:val="3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3, 4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1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5)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40" w:type="dxa"/>
            <w:vAlign w:val="bottom"/>
            <w:gridSpan w:val="3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gridSpan w:val="3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gridSpan w:val="3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840" w:type="dxa"/>
            <w:vAlign w:val="bottom"/>
          </w:tcPr>
          <w:p>
            <w:pPr>
              <w:ind w:left="2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5"/>
              </w:rPr>
              <w:t>Expiration</w:t>
            </w: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gridSpan w:val="3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62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  (D)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520" w:type="dxa"/>
            <w:vAlign w:val="bottom"/>
            <w:gridSpan w:val="3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  Date</w:t>
            </w:r>
          </w:p>
        </w:tc>
        <w:tc>
          <w:tcPr>
            <w:tcW w:w="500" w:type="dxa"/>
            <w:vAlign w:val="bottom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</w:t>
            </w:r>
          </w:p>
        </w:tc>
        <w:tc>
          <w:tcPr>
            <w:tcW w:w="640" w:type="dxa"/>
            <w:vAlign w:val="bottom"/>
            <w:gridSpan w:val="3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Shares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1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  <w:right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7005955</wp:posOffset>
            </wp:positionH>
            <wp:positionV relativeFrom="paragraph">
              <wp:posOffset>-1797685</wp:posOffset>
            </wp:positionV>
            <wp:extent cx="29845" cy="1802130"/>
            <wp:wrapNone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14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9845" cy="180213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3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Explanation of Responses:</w:t>
      </w:r>
    </w:p>
    <w:p>
      <w:pPr>
        <w:spacing w:after="0" w:line="58" w:lineRule="exact"/>
        <w:rPr>
          <w:sz w:val="20"/>
          <w:szCs w:val="20"/>
          <w:color w:val="auto"/>
        </w:rPr>
      </w:pPr>
    </w:p>
    <w:p>
      <w:pPr>
        <w:ind w:left="180" w:hanging="133"/>
        <w:spacing w:after="0"/>
        <w:tabs>
          <w:tab w:leader="none" w:pos="180" w:val="left"/>
        </w:tabs>
        <w:numPr>
          <w:ilvl w:val="0"/>
          <w:numId w:val="1"/>
        </w:numPr>
        <w:rPr>
          <w:rFonts w:ascii="Arial" w:cs="Arial" w:eastAsia="Arial" w:hAnsi="Arial"/>
          <w:sz w:val="13"/>
          <w:szCs w:val="13"/>
          <w:color w:val="008000"/>
        </w:rPr>
      </w:pPr>
      <w:r>
        <w:rPr>
          <w:rFonts w:ascii="Arial" w:cs="Arial" w:eastAsia="Arial" w:hAnsi="Arial"/>
          <w:sz w:val="13"/>
          <w:szCs w:val="13"/>
          <w:color w:val="008000"/>
        </w:rPr>
        <w:t>The transactions on this Form 4 were made pursuant to a Rule 10b5-1 plan adopted by the reporting person on November 25, 2020.</w:t>
      </w:r>
    </w:p>
    <w:p>
      <w:pPr>
        <w:spacing w:after="0" w:line="50" w:lineRule="exact"/>
        <w:rPr>
          <w:rFonts w:ascii="Arial" w:cs="Arial" w:eastAsia="Arial" w:hAnsi="Arial"/>
          <w:sz w:val="13"/>
          <w:szCs w:val="13"/>
          <w:color w:val="008000"/>
        </w:rPr>
      </w:pPr>
    </w:p>
    <w:p>
      <w:pPr>
        <w:ind w:left="40" w:right="140" w:firstLine="7"/>
        <w:spacing w:after="0" w:line="266" w:lineRule="auto"/>
        <w:tabs>
          <w:tab w:leader="none" w:pos="173" w:val="left"/>
        </w:tabs>
        <w:numPr>
          <w:ilvl w:val="0"/>
          <w:numId w:val="1"/>
        </w:numPr>
        <w:rPr>
          <w:rFonts w:ascii="Arial" w:cs="Arial" w:eastAsia="Arial" w:hAnsi="Arial"/>
          <w:sz w:val="13"/>
          <w:szCs w:val="13"/>
          <w:color w:val="008000"/>
        </w:rPr>
      </w:pPr>
      <w:r>
        <w:rPr>
          <w:rFonts w:ascii="Arial" w:cs="Arial" w:eastAsia="Arial" w:hAnsi="Arial"/>
          <w:sz w:val="13"/>
          <w:szCs w:val="13"/>
          <w:color w:val="008000"/>
        </w:rPr>
        <w:t>Represents weighted average sales price. Sale prices for the transactions range from $47.54 to $48.40. Detailed information regarding the number of shares sold at each separate price will be provided to the SEC, the issuer or a shareholder upon request.</w:t>
      </w:r>
    </w:p>
    <w:p>
      <w:pPr>
        <w:spacing w:after="0" w:line="15" w:lineRule="exact"/>
        <w:rPr>
          <w:rFonts w:ascii="Arial" w:cs="Arial" w:eastAsia="Arial" w:hAnsi="Arial"/>
          <w:sz w:val="13"/>
          <w:szCs w:val="13"/>
          <w:color w:val="008000"/>
        </w:rPr>
      </w:pPr>
    </w:p>
    <w:p>
      <w:pPr>
        <w:ind w:left="40" w:right="140" w:firstLine="7"/>
        <w:spacing w:after="0" w:line="266" w:lineRule="auto"/>
        <w:tabs>
          <w:tab w:leader="none" w:pos="173" w:val="left"/>
        </w:tabs>
        <w:numPr>
          <w:ilvl w:val="0"/>
          <w:numId w:val="1"/>
        </w:numPr>
        <w:rPr>
          <w:rFonts w:ascii="Arial" w:cs="Arial" w:eastAsia="Arial" w:hAnsi="Arial"/>
          <w:sz w:val="13"/>
          <w:szCs w:val="13"/>
          <w:color w:val="008000"/>
        </w:rPr>
      </w:pPr>
      <w:r>
        <w:rPr>
          <w:rFonts w:ascii="Arial" w:cs="Arial" w:eastAsia="Arial" w:hAnsi="Arial"/>
          <w:sz w:val="13"/>
          <w:szCs w:val="13"/>
          <w:color w:val="008000"/>
        </w:rPr>
        <w:t>Represents weighted average sales price. Sale prices for the transactions range from $48.55 to $49.22. Detailed information regarding the number of shares sold at each separate price will be provided to the SEC, the issuer or a shareholder upon request.</w:t>
      </w:r>
    </w:p>
    <w:p>
      <w:pPr>
        <w:spacing w:after="0" w:line="15" w:lineRule="exact"/>
        <w:rPr>
          <w:rFonts w:ascii="Arial" w:cs="Arial" w:eastAsia="Arial" w:hAnsi="Arial"/>
          <w:sz w:val="13"/>
          <w:szCs w:val="13"/>
          <w:color w:val="008000"/>
        </w:rPr>
      </w:pPr>
    </w:p>
    <w:p>
      <w:pPr>
        <w:ind w:left="40" w:right="140" w:firstLine="7"/>
        <w:spacing w:after="0" w:line="266" w:lineRule="auto"/>
        <w:tabs>
          <w:tab w:leader="none" w:pos="173" w:val="left"/>
        </w:tabs>
        <w:numPr>
          <w:ilvl w:val="0"/>
          <w:numId w:val="1"/>
        </w:numPr>
        <w:rPr>
          <w:rFonts w:ascii="Arial" w:cs="Arial" w:eastAsia="Arial" w:hAnsi="Arial"/>
          <w:sz w:val="13"/>
          <w:szCs w:val="13"/>
          <w:color w:val="008000"/>
        </w:rPr>
      </w:pPr>
      <w:r>
        <w:rPr>
          <w:rFonts w:ascii="Arial" w:cs="Arial" w:eastAsia="Arial" w:hAnsi="Arial"/>
          <w:sz w:val="13"/>
          <w:szCs w:val="13"/>
          <w:color w:val="008000"/>
        </w:rPr>
        <w:t>Represents weighted average sales price. Sale prices for the transactions range from $49.92 to $50.10. Detailed information regarding the number of shares sold at each separate price will be provided to the SEC, the issuer or a shareholder upon request.</w:t>
      </w:r>
    </w:p>
    <w:p>
      <w:pPr>
        <w:spacing w:after="0" w:line="5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Remarks:</w:t>
      </w:r>
    </w:p>
    <w:p>
      <w:pPr>
        <w:spacing w:after="0" w:line="134" w:lineRule="exact"/>
        <w:rPr>
          <w:sz w:val="20"/>
          <w:szCs w:val="20"/>
          <w:color w:val="auto"/>
        </w:rPr>
      </w:pPr>
    </w:p>
    <w:tbl>
      <w:tblPr>
        <w:tblLayout w:type="fixed"/>
        <w:tblInd w:w="65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95"/>
        </w:trPr>
        <w:tc>
          <w:tcPr>
            <w:tcW w:w="1680" w:type="dxa"/>
            <w:vAlign w:val="bottom"/>
            <w:tcBorders>
              <w:bottom w:val="single" w:sz="8" w:color="auto"/>
            </w:tcBorders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1"/>
              </w:rPr>
              <w:t>/s/ Keith S. Kennedy, as</w:t>
            </w: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920" w:type="dxa"/>
            <w:vAlign w:val="bottom"/>
            <w:gridSpan w:val="2"/>
            <w:vMerge w:val="restart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1"/>
              </w:rPr>
              <w:t>05/05/2021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7"/>
        </w:trPr>
        <w:tc>
          <w:tcPr>
            <w:tcW w:w="1140" w:type="dxa"/>
            <w:vAlign w:val="bottom"/>
            <w:vMerge w:val="restart"/>
          </w:tcPr>
          <w:p>
            <w:pPr>
              <w:spacing w:after="0" w:line="19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7"/>
              </w:rPr>
              <w:t>Attorney-in-fact</w:t>
            </w:r>
          </w:p>
        </w:tc>
        <w:tc>
          <w:tcPr>
            <w:tcW w:w="940" w:type="dxa"/>
            <w:vAlign w:val="bottom"/>
            <w:gridSpan w:val="2"/>
            <w:vMerge w:val="restart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9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2"/>
        </w:trPr>
        <w:tc>
          <w:tcPr>
            <w:tcW w:w="1140" w:type="dxa"/>
            <w:vAlign w:val="bottom"/>
            <w:tcBorders>
              <w:bottom w:val="single" w:sz="8" w:color="auto"/>
            </w:tcBorders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9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top w:val="single" w:sz="8" w:color="auto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3"/>
        </w:trPr>
        <w:tc>
          <w:tcPr>
            <w:tcW w:w="208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** Signature of Reporting Person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Date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39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Reminder: Report on a separate line for each class of securities beneficially owned directly or indirectly.</w:t>
      </w:r>
    </w:p>
    <w:p>
      <w:pPr>
        <w:spacing w:after="0" w:line="36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4 (b)(v).</w:t>
      </w:r>
    </w:p>
    <w:p>
      <w:pPr>
        <w:spacing w:after="0" w:line="50" w:lineRule="exact"/>
        <w:rPr>
          <w:sz w:val="20"/>
          <w:szCs w:val="20"/>
          <w:color w:val="auto"/>
        </w:rPr>
      </w:pPr>
    </w:p>
    <w:p>
      <w:pPr>
        <w:jc w:val="both"/>
        <w:ind w:left="40" w:right="3340" w:firstLine="7"/>
        <w:spacing w:after="0" w:line="319" w:lineRule="auto"/>
        <w:tabs>
          <w:tab w:leader="none" w:pos="181" w:val="left"/>
        </w:tabs>
        <w:numPr>
          <w:ilvl w:val="0"/>
          <w:numId w:val="2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6 for procedure.</w:t>
      </w:r>
    </w:p>
    <w:p>
      <w:pPr>
        <w:ind w:left="40"/>
        <w:spacing w:after="0"/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080"/>
      </w:cols>
      <w:pgMar w:left="460" w:top="225" w:right="35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43C9869"/>
    <w:multiLevelType w:val="hybridMultilevel"/>
    <w:lvl w:ilvl="0">
      <w:lvlJc w:val="left"/>
      <w:lvlText w:val="%1."/>
      <w:numFmt w:val="decimal"/>
      <w:start w:val="1"/>
    </w:lvl>
  </w:abstractNum>
  <w:abstractNum w:abstractNumId="1">
    <w:nsid w:val="66334873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pn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4" Type="http://schemas.openxmlformats.org/officeDocument/2006/relationships/image" Target="media/image5.png"/><Relationship Id="rId12" Type="http://schemas.openxmlformats.org/officeDocument/2006/relationships/hyperlink" Target="http://www.sec.gov/cgi-bin/browse-edgar?action=getcompany&amp;CIK=0001231845" TargetMode="External"/><Relationship Id="rId13" Type="http://schemas.openxmlformats.org/officeDocument/2006/relationships/hyperlink" Target="http://www.sec.gov/cgi-bin/browse-edgar?action=getcompany&amp;CIK=0001384101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2021-05-05T15:53:58Z</dcterms:created>
  <dcterms:modified xsi:type="dcterms:W3CDTF">2021-05-05T15:53:58Z</dcterms:modified>
</cp:coreProperties>
</file>