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Executive Chairwoman</w:t>
      </w:r>
    </w:p>
    <w:p>
      <w:pPr>
        <w:spacing w:after="0" w:line="453"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5"/>
            <w:vMerge w:val="continue"/>
          </w:tcPr>
          <w:p>
            <w:pPr>
              <w:spacing w:after="0"/>
              <w:rPr>
                <w:sz w:val="12"/>
                <w:szCs w:val="12"/>
                <w:color w:val="auto"/>
              </w:rPr>
            </w:pPr>
          </w:p>
        </w:tc>
        <w:tc>
          <w:tcPr>
            <w:tcW w:w="35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7"/>
                <w:szCs w:val="17"/>
                <w:color w:val="0000FF"/>
              </w:rPr>
              <w:t>CA</w:t>
            </w:r>
          </w:p>
        </w:tc>
        <w:tc>
          <w:tcPr>
            <w:tcW w:w="1760" w:type="dxa"/>
            <w:vAlign w:val="bottom"/>
          </w:tcPr>
          <w:p>
            <w:pPr>
              <w:ind w:left="5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7"/>
                <w:szCs w:val="17"/>
                <w:color w:val="0000FF"/>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line="173" w:lineRule="exact"/>
              <w:rPr>
                <w:sz w:val="20"/>
                <w:szCs w:val="20"/>
                <w:color w:val="auto"/>
              </w:rPr>
            </w:pPr>
            <w:r>
              <w:rPr>
                <w:rFonts w:ascii="Arial" w:cs="Arial" w:eastAsia="Arial" w:hAnsi="Arial"/>
                <w:sz w:val="17"/>
                <w:szCs w:val="17"/>
                <w:color w:val="0000FF"/>
              </w:rPr>
              <w:t>FRANCISCO</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ind w:left="18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38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Arial" w:cs="Arial" w:eastAsia="Arial" w:hAnsi="Arial"/>
                <w:sz w:val="17"/>
                <w:szCs w:val="17"/>
                <w:color w:val="0000FF"/>
              </w:rPr>
              <w:t>12/02/2021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2,288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39.22</w:t>
            </w:r>
          </w:p>
        </w:tc>
        <w:tc>
          <w:tcPr>
            <w:tcW w:w="1140" w:type="dxa"/>
            <w:vAlign w:val="bottom"/>
            <w:tcBorders>
              <w:bottom w:val="single" w:sz="8" w:color="2C2C2C"/>
            </w:tcBorders>
          </w:tcPr>
          <w:p>
            <w:pPr>
              <w:jc w:val="right"/>
              <w:ind w:right="255"/>
              <w:spacing w:after="0"/>
              <w:rPr>
                <w:sz w:val="20"/>
                <w:szCs w:val="20"/>
                <w:color w:val="auto"/>
              </w:rPr>
            </w:pPr>
            <w:r>
              <w:rPr>
                <w:rFonts w:ascii="Arial" w:cs="Arial" w:eastAsia="Arial" w:hAnsi="Arial"/>
                <w:sz w:val="17"/>
                <w:szCs w:val="17"/>
                <w:color w:val="0000FF"/>
              </w:rPr>
              <w:t>62,256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215"/>
              <w:spacing w:after="0"/>
              <w:rPr>
                <w:sz w:val="20"/>
                <w:szCs w:val="20"/>
                <w:color w:val="auto"/>
              </w:rPr>
            </w:pPr>
            <w:r>
              <w:rPr>
                <w:rFonts w:ascii="Arial" w:cs="Arial" w:eastAsia="Arial" w:hAnsi="Arial"/>
                <w:sz w:val="17"/>
                <w:szCs w:val="17"/>
                <w:color w:val="0000FF"/>
              </w:rPr>
              <w:t>217,478</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Arial" w:cs="Arial" w:eastAsia="Arial" w:hAnsi="Arial"/>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Trust</w:t>
      </w:r>
    </w:p>
    <w:p>
      <w:pPr>
        <w:spacing w:after="0" w:line="16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738, 738 and 812 shares of common stock to satisfy the reporting person's tax withholding obligations in connection with the vesting of 1,875, 1,875 and 2,062 Restricted Stock Units, respectively, granted on March 2, 2018, February 28, 2019 and February 28, 2020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12/06/2021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2021-12-06T16:28:17Z</dcterms:created>
  <dcterms:modified xsi:type="dcterms:W3CDTF">2021-12-06T16:28:17Z</dcterms:modified>
</cp:coreProperties>
</file>