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6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VERACYTE,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1364"/>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001-36156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20-5455398</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1" w:lineRule="exact"/>
        <w:rPr>
          <w:sz w:val="24"/>
          <w:szCs w:val="24"/>
          <w:color w:val="auto"/>
        </w:rPr>
      </w:pPr>
    </w:p>
    <w:p>
      <w:pPr>
        <w:jc w:val="center"/>
        <w:ind w:right="776"/>
        <w:spacing w:after="0"/>
        <w:rPr>
          <w:sz w:val="20"/>
          <w:szCs w:val="20"/>
          <w:color w:val="auto"/>
        </w:rPr>
      </w:pPr>
      <w:r>
        <w:rPr>
          <w:rFonts w:ascii="Arial" w:cs="Arial" w:eastAsia="Arial" w:hAnsi="Arial"/>
          <w:sz w:val="13"/>
          <w:szCs w:val="13"/>
          <w:b w:val="1"/>
          <w:bCs w:val="1"/>
          <w:color w:val="auto"/>
        </w:rPr>
        <w:t>(State or other jurisdiction</w:t>
      </w:r>
    </w:p>
    <w:p>
      <w:pPr>
        <w:jc w:val="center"/>
        <w:ind w:right="77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4" w:space="720"/>
            <w:col w:w="2740" w:space="720"/>
            <w:col w:w="2340"/>
          </w:cols>
          <w:pgMar w:left="436" w:top="368" w:right="439" w:bottom="1440" w:gutter="0" w:footer="0" w:header="0"/>
          <w:type w:val="continuous"/>
        </w:sectPr>
      </w:pPr>
    </w:p>
    <w:p>
      <w:pPr>
        <w:spacing w:after="0" w:line="19" w:lineRule="exact"/>
        <w:rPr>
          <w:sz w:val="24"/>
          <w:szCs w:val="24"/>
          <w:color w:val="auto"/>
        </w:rPr>
      </w:pPr>
    </w:p>
    <w:p>
      <w:pPr>
        <w:ind w:left="504"/>
        <w:spacing w:after="0"/>
        <w:rPr>
          <w:sz w:val="20"/>
          <w:szCs w:val="20"/>
          <w:color w:val="auto"/>
        </w:rPr>
      </w:pPr>
      <w:r>
        <w:rPr>
          <w:rFonts w:ascii="Arial" w:cs="Arial" w:eastAsia="Arial" w:hAnsi="Arial"/>
          <w:sz w:val="16"/>
          <w:szCs w:val="16"/>
          <w:b w:val="1"/>
          <w:bCs w:val="1"/>
          <w:color w:val="auto"/>
        </w:rPr>
        <w:t>6000 Shoreline Court, Suite 300, South San Francisco, 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94080</w:t>
      </w:r>
    </w:p>
    <w:p>
      <w:pPr>
        <w:spacing w:after="0" w:line="61" w:lineRule="exact"/>
        <w:rPr>
          <w:sz w:val="24"/>
          <w:szCs w:val="24"/>
          <w:color w:val="auto"/>
        </w:rPr>
      </w:pPr>
    </w:p>
    <w:p>
      <w:pPr>
        <w:sectPr>
          <w:pgSz w:w="11900" w:h="16838" w:orient="portrait"/>
          <w:cols w:equalWidth="0" w:num="2">
            <w:col w:w="7624" w:space="720"/>
            <w:col w:w="2680"/>
          </w:cols>
          <w:pgMar w:left="436" w:top="368" w:right="439" w:bottom="1440" w:gutter="0" w:footer="0" w:header="0"/>
          <w:type w:val="continuous"/>
        </w:sectPr>
      </w:pPr>
    </w:p>
    <w:p>
      <w:pPr>
        <w:ind w:left="180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83" w:lineRule="exact"/>
        <w:rPr>
          <w:sz w:val="24"/>
          <w:szCs w:val="24"/>
          <w:color w:val="auto"/>
        </w:rPr>
      </w:pPr>
    </w:p>
    <w:p>
      <w:pPr>
        <w:sectPr>
          <w:pgSz w:w="11900" w:h="16838" w:orient="portrait"/>
          <w:cols w:equalWidth="0" w:num="2">
            <w:col w:w="7504" w:space="720"/>
            <w:col w:w="280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(650) 243-6300</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VCYT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70"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On August 4, 2020, Veracyte, Inc. (the “Company”) entered into an underwriting agreement (the “Underwriting Agreement”) with Goldman Sachs &amp; Co. LLC and SVB Leerink LLC, as representatives of the several underwriters named therein (collectively, the “Underwriters”), relating to the public offering of 6,000,000 shares of the Company’s common stock, par value $0.001 per share (the “Shares”), at a public offering price of $30.00 per share (the “Offering”). The Offering is expected to close on or about August 7, 2020, subject to customary closing conditions. The Company has granted the Underwriters an option, exercisable within 30 days from the date of the Underwriting Agreement, to purchase up to 900,000 additional Shares. The Offering is being made pursuant to the Company’s effective shelf registration statement on Form S-3 (File No. 333-231173) previously filed with the Securities and Exchange Commission (the “SEC”), including the related prospectus dated May 2, 2019, as supplemented by the prospectus supplement dated August 3, 2020.</w:t>
      </w:r>
    </w:p>
    <w:p>
      <w:pPr>
        <w:spacing w:after="0" w:line="192"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The Company estimates that net proceeds from the Offering will be approximately $168.5 million, after deducting underwriting discounts and commissions and estimated Offering expenses, and assuming no exercise of the Underwriters’ option to purchase additional shares. The Company intends to use the net proceeds from the Offering for working capital and other general corporate purposes. The Company may also use a portion of the net proceeds from the Offering to acquire or invest in complementary businesses, technologies or other assets, although it has no present commitments or agreements to do so.</w:t>
      </w:r>
    </w:p>
    <w:p>
      <w:pPr>
        <w:spacing w:after="0" w:line="188"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The foregoing description of the Underwriting Agreement does not purport to be complete and is qualified in its entirety by reference to the full text of the Underwriting Agreement. A copy of the Underwriting Agreement is filed with this Current Report on Form 8-K as Exhibit 1.1 and is incorporated herein by reference.</w:t>
      </w:r>
    </w:p>
    <w:p>
      <w:pPr>
        <w:spacing w:after="0" w:line="184"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A copy of the opinion of Fenwick &amp; West LLP, relating to the validity of the Shares in connection with the Offering, is filed with this Current Report on Form 8-K as Exhibit 5.1.</w:t>
      </w:r>
    </w:p>
    <w:p>
      <w:pPr>
        <w:spacing w:after="0" w:line="170"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On August 4, 2020, the Company issued a press release announcing the pricing of the Offering. A copy of the press release is filed as Exhibit 99.1 to this Current Report on Form 8-K and is incorporated by reference herein.</w:t>
      </w:r>
    </w:p>
    <w:p>
      <w:pPr>
        <w:spacing w:after="0" w:line="31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624" w:hanging="624"/>
        <w:spacing w:after="0"/>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65"/>
        </w:trPr>
        <w:tc>
          <w:tcPr>
            <w:tcW w:w="88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No.</w:t>
            </w:r>
          </w:p>
        </w:tc>
        <w:tc>
          <w:tcPr>
            <w:tcW w:w="5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4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4"/>
                <w:szCs w:val="24"/>
                <w:color w:val="auto"/>
              </w:rPr>
            </w:pPr>
          </w:p>
        </w:tc>
        <w:tc>
          <w:tcPr>
            <w:tcW w:w="5760" w:type="dxa"/>
            <w:vAlign w:val="bottom"/>
            <w:tcBorders>
              <w:top w:val="single" w:sz="8" w:color="auto"/>
            </w:tcBorders>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Underwriting Agreement dated August 4, 2020.</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5760" w:type="dxa"/>
            <w:vAlign w:val="bottom"/>
            <w:gridSpan w:val="2"/>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Opinion of Fenwick &amp; West LLP.</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23.1</w:t>
            </w:r>
          </w:p>
        </w:tc>
        <w:tc>
          <w:tcPr>
            <w:tcW w:w="420" w:type="dxa"/>
            <w:vAlign w:val="bottom"/>
          </w:tcPr>
          <w:p>
            <w:pPr>
              <w:spacing w:after="0"/>
              <w:rPr>
                <w:sz w:val="24"/>
                <w:szCs w:val="24"/>
                <w:color w:val="auto"/>
              </w:rPr>
            </w:pPr>
          </w:p>
        </w:tc>
        <w:tc>
          <w:tcPr>
            <w:tcW w:w="576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u w:val="single" w:color="auto"/>
                  <w:color w:val="0000EE"/>
                </w:rPr>
                <w:t>Consent of Fenwick &amp; West LLP (included in Exhibit 5.1)</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99.1</w:t>
            </w:r>
          </w:p>
        </w:tc>
        <w:tc>
          <w:tcPr>
            <w:tcW w:w="420" w:type="dxa"/>
            <w:vAlign w:val="bottom"/>
          </w:tcPr>
          <w:p>
            <w:pPr>
              <w:spacing w:after="0"/>
              <w:rPr>
                <w:sz w:val="24"/>
                <w:szCs w:val="24"/>
                <w:color w:val="auto"/>
              </w:rPr>
            </w:pPr>
          </w:p>
        </w:tc>
        <w:tc>
          <w:tcPr>
            <w:tcW w:w="5760" w:type="dxa"/>
            <w:vAlign w:val="bottom"/>
            <w:gridSpan w:val="2"/>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Press Release dated August 4, 2020.</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4"/>
          </w:cols>
          <w:pgMar w:left="436" w:top="297" w:right="4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Keith Kennedy</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 and Chief Operating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0960"/>
          </w:cols>
          <w:pgMar w:left="440" w:top="297"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4, 2020</w:t>
      </w:r>
    </w:p>
    <w:p>
      <w:pPr>
        <w:sectPr>
          <w:pgSz w:w="11900" w:h="16838" w:orient="portrait"/>
          <w:cols w:equalWidth="0" w:num="1">
            <w:col w:w="11020"/>
          </w:cols>
          <w:pgMar w:left="440" w:top="121"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August 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the Managers named in Schedule I hereto</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the Underwriters named in Schedule II hereto</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 SVB Leerink LLC</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1301 Avenue of the Americas, 12</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Veracyte,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 Schedule II hereto (the “</w:t>
      </w:r>
      <w:r>
        <w:rPr>
          <w:rFonts w:ascii="Arial" w:cs="Arial" w:eastAsia="Arial" w:hAnsi="Arial"/>
          <w:sz w:val="17"/>
          <w:szCs w:val="17"/>
          <w:b w:val="1"/>
          <w:bCs w:val="1"/>
          <w:color w:val="auto"/>
        </w:rPr>
        <w:t>Underwriters</w:t>
      </w:r>
      <w:r>
        <w:rPr>
          <w:rFonts w:ascii="Arial" w:cs="Arial" w:eastAsia="Arial" w:hAnsi="Arial"/>
          <w:sz w:val="17"/>
          <w:szCs w:val="17"/>
          <w:color w:val="auto"/>
        </w:rPr>
        <w:t>”), for whom you are acting as managers (the “</w:t>
      </w:r>
      <w:r>
        <w:rPr>
          <w:rFonts w:ascii="Arial" w:cs="Arial" w:eastAsia="Arial" w:hAnsi="Arial"/>
          <w:sz w:val="17"/>
          <w:szCs w:val="17"/>
          <w:b w:val="1"/>
          <w:bCs w:val="1"/>
          <w:color w:val="auto"/>
        </w:rPr>
        <w:t>Managers</w:t>
      </w:r>
      <w:r>
        <w:rPr>
          <w:rFonts w:ascii="Arial" w:cs="Arial" w:eastAsia="Arial" w:hAnsi="Arial"/>
          <w:sz w:val="17"/>
          <w:szCs w:val="17"/>
          <w:color w:val="auto"/>
        </w:rPr>
        <w:t>”), the number of shares of its common stock, $0.001 par value per share, set forth in Schedule I hereto (the “</w:t>
      </w:r>
      <w:r>
        <w:rPr>
          <w:rFonts w:ascii="Arial" w:cs="Arial" w:eastAsia="Arial" w:hAnsi="Arial"/>
          <w:sz w:val="17"/>
          <w:szCs w:val="17"/>
          <w:b w:val="1"/>
          <w:bCs w:val="1"/>
          <w:color w:val="auto"/>
        </w:rPr>
        <w:t>Firm Shares</w:t>
      </w:r>
      <w:r>
        <w:rPr>
          <w:rFonts w:ascii="Arial" w:cs="Arial" w:eastAsia="Arial" w:hAnsi="Arial"/>
          <w:sz w:val="17"/>
          <w:szCs w:val="17"/>
          <w:color w:val="auto"/>
        </w:rPr>
        <w:t>”). The Company also proposes to issue and sell to the several Underwriters not more than the number of additional shares of its common stock, $0.001 par value per share, set forth in Schedule I hereto (the “</w:t>
      </w:r>
      <w:r>
        <w:rPr>
          <w:rFonts w:ascii="Arial" w:cs="Arial" w:eastAsia="Arial" w:hAnsi="Arial"/>
          <w:sz w:val="17"/>
          <w:szCs w:val="17"/>
          <w:b w:val="1"/>
          <w:bCs w:val="1"/>
          <w:color w:val="auto"/>
        </w:rPr>
        <w:t>Additional Shares</w:t>
      </w:r>
      <w:r>
        <w:rPr>
          <w:rFonts w:ascii="Arial" w:cs="Arial" w:eastAsia="Arial" w:hAnsi="Arial"/>
          <w:sz w:val="17"/>
          <w:szCs w:val="17"/>
          <w:color w:val="auto"/>
        </w:rPr>
        <w:t>”) if and to the extent that the Managers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Arial" w:cs="Arial" w:eastAsia="Arial" w:hAnsi="Arial"/>
          <w:sz w:val="17"/>
          <w:szCs w:val="17"/>
          <w:b w:val="1"/>
          <w:bCs w:val="1"/>
          <w:color w:val="auto"/>
        </w:rPr>
        <w:t>Shares.</w:t>
      </w:r>
      <w:r>
        <w:rPr>
          <w:rFonts w:ascii="Arial" w:cs="Arial" w:eastAsia="Arial" w:hAnsi="Arial"/>
          <w:sz w:val="17"/>
          <w:szCs w:val="17"/>
          <w:color w:val="auto"/>
        </w:rPr>
        <w:t>” The shares of common stock, $0.001 par value per share, of the Company to be outstanding after giving effect to the sales contemplated hereby are hereinafter referred to as the “</w:t>
      </w:r>
      <w:r>
        <w:rPr>
          <w:rFonts w:ascii="Arial" w:cs="Arial" w:eastAsia="Arial" w:hAnsi="Arial"/>
          <w:sz w:val="17"/>
          <w:szCs w:val="17"/>
          <w:b w:val="1"/>
          <w:bCs w:val="1"/>
          <w:color w:val="auto"/>
        </w:rPr>
        <w:t>Common Stock</w:t>
      </w:r>
      <w:r>
        <w:rPr>
          <w:rFonts w:ascii="Arial" w:cs="Arial" w:eastAsia="Arial" w:hAnsi="Arial"/>
          <w:sz w:val="17"/>
          <w:szCs w:val="17"/>
          <w:color w:val="auto"/>
        </w:rPr>
        <w:t>.” If the firm or firms listed in Schedule II hereto include only the Managers listed in Schedule I hereto, then the terms “Underwriters” and “Managers” as used herein shall each be deemed to refer to such firm or firms.</w:t>
      </w:r>
    </w:p>
    <w:p>
      <w:pPr>
        <w:spacing w:after="0" w:line="173"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(the file number of which is set forth in Schedule I hereto) on Form S-3, relating to the securities (the “</w:t>
      </w:r>
      <w:r>
        <w:rPr>
          <w:rFonts w:ascii="Arial" w:cs="Arial" w:eastAsia="Arial" w:hAnsi="Arial"/>
          <w:sz w:val="16"/>
          <w:szCs w:val="16"/>
          <w:b w:val="1"/>
          <w:bCs w:val="1"/>
          <w:color w:val="auto"/>
        </w:rPr>
        <w:t>Shelf Securities</w:t>
      </w:r>
      <w:r>
        <w:rPr>
          <w:rFonts w:ascii="Arial" w:cs="Arial" w:eastAsia="Arial" w:hAnsi="Arial"/>
          <w:sz w:val="16"/>
          <w:szCs w:val="16"/>
          <w:color w:val="auto"/>
        </w:rPr>
        <w:t>”), including the Shares, to be issued from time to time by the Company. The registration statement as amended to the date of this Agreement, including the information (if any) deemed to be part of the registration statement at the time of effectiveness pursuant to Rule 430A or Rule 430B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related prospectus covering the Shelf Securities dated May 2,</w:t>
      </w:r>
    </w:p>
    <w:p>
      <w:pPr>
        <w:spacing w:after="0" w:line="2"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2019 in the form first used to confirm sales of the Shares (or in the form first made available to the Underwriters by the Company to meet requests of purchasers pursuant to Rule 173</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under the Securities Act) is hereinafter referred to as the “</w:t>
      </w:r>
      <w:r>
        <w:rPr>
          <w:rFonts w:ascii="Arial" w:cs="Arial" w:eastAsia="Arial" w:hAnsi="Arial"/>
          <w:sz w:val="16"/>
          <w:szCs w:val="16"/>
          <w:b w:val="1"/>
          <w:bCs w:val="1"/>
          <w:color w:val="auto"/>
        </w:rPr>
        <w:t>Basic Prospectus</w:t>
      </w:r>
      <w:r>
        <w:rPr>
          <w:rFonts w:ascii="Arial" w:cs="Arial" w:eastAsia="Arial" w:hAnsi="Arial"/>
          <w:sz w:val="16"/>
          <w:szCs w:val="16"/>
          <w:color w:val="auto"/>
        </w:rPr>
        <w:t>.” The Basic Prospectus, as supplemented by the prospectus supplement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specifically relating to the Shares in the form first used to confirm sales of the Shares (or in the form first made available to the Underwriters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to meet requests of purchasers pursuant to Rule 173 under the Securities Act)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 and the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any preliminary form of the Prospectus. For purposes of this Agreement,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 forth in Rule 405 under the Securities Act, “</w:t>
      </w:r>
      <w:r>
        <w:rPr>
          <w:rFonts w:ascii="Arial" w:cs="Arial" w:eastAsia="Arial" w:hAnsi="Arial"/>
          <w:sz w:val="16"/>
          <w:szCs w:val="16"/>
          <w:b w:val="1"/>
          <w:bCs w:val="1"/>
          <w:color w:val="auto"/>
        </w:rPr>
        <w:t>Time of Sale Prospectus</w:t>
      </w:r>
      <w:r>
        <w:rPr>
          <w:rFonts w:ascii="Arial" w:cs="Arial" w:eastAsia="Arial" w:hAnsi="Arial"/>
          <w:sz w:val="16"/>
          <w:szCs w:val="16"/>
          <w:color w:val="auto"/>
        </w:rPr>
        <w:t>” means the documents and pricing information set forth opposite the caption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“Time of Sale Prospectus” in Schedule I hereto, and “</w:t>
      </w:r>
      <w:r>
        <w:rPr>
          <w:rFonts w:ascii="Arial" w:cs="Arial" w:eastAsia="Arial" w:hAnsi="Arial"/>
          <w:sz w:val="17"/>
          <w:szCs w:val="17"/>
          <w:b w:val="1"/>
          <w:bCs w:val="1"/>
          <w:color w:val="auto"/>
        </w:rPr>
        <w:t>broadly available road show</w:t>
      </w:r>
      <w:r>
        <w:rPr>
          <w:rFonts w:ascii="Arial" w:cs="Arial" w:eastAsia="Arial" w:hAnsi="Arial"/>
          <w:sz w:val="17"/>
          <w:szCs w:val="17"/>
          <w:color w:val="auto"/>
        </w:rPr>
        <w:t>” means a “bona fide electronic road show” as defined in Rule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433(h)(5) under the Securities Act that has been made available without restriction to any person. As used herein, the terms “Registration Statement,”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“Basic Prospectus,” “preliminary prospectus,” “Time of Sale Prospectus” and “Prospectus” shall include the documents, if any, incorporated 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reference therein as of the date hereof. The terms “</w:t>
      </w:r>
      <w:r>
        <w:rPr>
          <w:rFonts w:ascii="Arial" w:cs="Arial" w:eastAsia="Arial" w:hAnsi="Arial"/>
          <w:sz w:val="17"/>
          <w:szCs w:val="17"/>
          <w:b w:val="1"/>
          <w:bCs w:val="1"/>
          <w:color w:val="auto"/>
        </w:rPr>
        <w:t>supplement</w:t>
      </w:r>
      <w:r>
        <w:rPr>
          <w:rFonts w:ascii="Arial" w:cs="Arial" w:eastAsia="Arial" w:hAnsi="Arial"/>
          <w:sz w:val="17"/>
          <w:szCs w:val="17"/>
          <w:color w:val="auto"/>
        </w:rPr>
        <w:t>,” “</w:t>
      </w:r>
      <w:r>
        <w:rPr>
          <w:rFonts w:ascii="Arial" w:cs="Arial" w:eastAsia="Arial" w:hAnsi="Arial"/>
          <w:sz w:val="17"/>
          <w:szCs w:val="17"/>
          <w:b w:val="1"/>
          <w:bCs w:val="1"/>
          <w:color w:val="auto"/>
        </w:rPr>
        <w:t>amendment</w:t>
      </w:r>
      <w:r>
        <w:rPr>
          <w:rFonts w:ascii="Arial" w:cs="Arial" w:eastAsia="Arial" w:hAnsi="Arial"/>
          <w:sz w:val="17"/>
          <w:szCs w:val="17"/>
          <w:color w:val="auto"/>
        </w:rPr>
        <w:t>,” and “</w:t>
      </w:r>
      <w:r>
        <w:rPr>
          <w:rFonts w:ascii="Arial" w:cs="Arial" w:eastAsia="Arial" w:hAnsi="Arial"/>
          <w:sz w:val="17"/>
          <w:szCs w:val="17"/>
          <w:b w:val="1"/>
          <w:bCs w:val="1"/>
          <w:color w:val="auto"/>
        </w:rPr>
        <w:t>amend</w:t>
      </w:r>
      <w:r>
        <w:rPr>
          <w:rFonts w:ascii="Arial" w:cs="Arial" w:eastAsia="Arial" w:hAnsi="Arial"/>
          <w:sz w:val="17"/>
          <w:szCs w:val="17"/>
          <w:color w:val="auto"/>
        </w:rPr>
        <w:t>” as used herein with respect to the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 the Basic Prospectus, the Time of Sale Prospectus, any preliminary prospectus or the Prospectus shall include all documents subsequently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by the Company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that are deemed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therein.</w:t>
      </w:r>
    </w:p>
    <w:p>
      <w:pPr>
        <w:spacing w:after="0" w:line="211"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The Company represents and warrants to and agrees with each of the Underwriters that:</w:t>
      </w:r>
    </w:p>
    <w:p>
      <w:pPr>
        <w:spacing w:after="0" w:line="225" w:lineRule="exact"/>
        <w:rPr>
          <w:sz w:val="20"/>
          <w:szCs w:val="20"/>
          <w:color w:val="auto"/>
        </w:rPr>
      </w:pPr>
    </w:p>
    <w:p>
      <w:pPr>
        <w:ind w:firstLine="436"/>
        <w:spacing w:after="0" w:line="296" w:lineRule="auto"/>
        <w:tabs>
          <w:tab w:leader="none" w:pos="817"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to the Company’s knowledge, threatened by the Commission. If 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161" w:lineRule="exact"/>
        <w:rPr>
          <w:rFonts w:ascii="Arial" w:cs="Arial" w:eastAsia="Arial" w:hAnsi="Arial"/>
          <w:sz w:val="16"/>
          <w:szCs w:val="16"/>
          <w:color w:val="auto"/>
        </w:rPr>
      </w:pPr>
    </w:p>
    <w:p>
      <w:pPr>
        <w:ind w:right="80" w:firstLine="436"/>
        <w:spacing w:after="0" w:line="271" w:lineRule="auto"/>
        <w:tabs>
          <w:tab w:leader="none" w:pos="830" w:val="left"/>
        </w:tabs>
        <w:numPr>
          <w:ilvl w:val="0"/>
          <w:numId w:val="3"/>
        </w:numPr>
        <w:rPr>
          <w:rFonts w:ascii="Arial" w:cs="Arial" w:eastAsia="Arial" w:hAnsi="Arial"/>
          <w:sz w:val="17"/>
          <w:szCs w:val="17"/>
          <w:color w:val="auto"/>
        </w:rPr>
      </w:pPr>
      <w:r>
        <w:rPr>
          <w:rFonts w:ascii="Arial" w:cs="Arial" w:eastAsia="Arial" w:hAnsi="Arial"/>
          <w:sz w:val="17"/>
          <w:szCs w:val="17"/>
          <w:color w:val="auto"/>
        </w:rPr>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to make the statements therein not misleading, (iii) the Registration Statement and the Prospectus comply, and as amended or supplemented, if applicable, will, as of the date of such amendment or supplement, comply in all material respects with the Securities Act and the applicable rules and regulations of the Commission thereunder, (iv) the Time of Sale Prospectus does not, and at the time of each sale of the Shares in connection with the offering when the Prospectus is not yet available to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6" w:name="page7"/>
    <w:bookmarkEnd w:id="6"/>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as of its date and as of the Closing Date and any Option Closing Date (as defined below)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the Underwriter Information (as defined below).</w:t>
      </w:r>
    </w:p>
    <w:p>
      <w:pPr>
        <w:spacing w:after="0" w:line="166" w:lineRule="exact"/>
        <w:rPr>
          <w:sz w:val="20"/>
          <w:szCs w:val="20"/>
          <w:color w:val="auto"/>
        </w:rPr>
      </w:pPr>
    </w:p>
    <w:p>
      <w:pPr>
        <w:ind w:right="40" w:firstLine="436"/>
        <w:spacing w:after="0" w:line="290" w:lineRule="auto"/>
        <w:tabs>
          <w:tab w:leader="none" w:pos="81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as of the time of such filing,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Managers before first use, the Company has not prepared, used or referred to, and will not, without the Managers’ prior consent, prepare, use or refer to, any free writing prospectus.</w:t>
      </w:r>
    </w:p>
    <w:p>
      <w:pPr>
        <w:spacing w:after="0" w:line="165" w:lineRule="exact"/>
        <w:rPr>
          <w:rFonts w:ascii="Arial" w:cs="Arial" w:eastAsia="Arial" w:hAnsi="Arial"/>
          <w:sz w:val="16"/>
          <w:szCs w:val="16"/>
          <w:color w:val="auto"/>
        </w:rPr>
      </w:pPr>
    </w:p>
    <w:p>
      <w:pPr>
        <w:ind w:firstLine="436"/>
        <w:spacing w:after="0" w:line="296" w:lineRule="auto"/>
        <w:tabs>
          <w:tab w:leader="none" w:pos="82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has been duly incorporated, is validly existing as a corporation in good standing under the laws of the jurisdiction of its incorporation, has the corporate power and authority to own its property and to conduct its business as described in the Registration Statement, the Time of Sale Prospectus and the Prospectus and to enter into this Agreement; and the Company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The Company does not have any subsidiaries.</w:t>
      </w:r>
    </w:p>
    <w:p>
      <w:pPr>
        <w:spacing w:after="0" w:line="161" w:lineRule="exact"/>
        <w:rPr>
          <w:rFonts w:ascii="Arial" w:cs="Arial" w:eastAsia="Arial" w:hAnsi="Arial"/>
          <w:sz w:val="16"/>
          <w:szCs w:val="16"/>
          <w:color w:val="auto"/>
        </w:rPr>
      </w:pPr>
    </w:p>
    <w:p>
      <w:pPr>
        <w:ind w:left="820" w:hanging="38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right="300" w:firstLine="436"/>
        <w:spacing w:after="0" w:line="277" w:lineRule="auto"/>
        <w:tabs>
          <w:tab w:leader="none" w:pos="79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the Closing Date and each Option Closing Date, the authorized capital stock of the Company will conform as to legal matters to the description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 w:name="page8"/>
    <w:bookmarkEnd w:id="7"/>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contained in each of the Registration Statement, the Time of Sale Prospectus and the Prospectus and such description conforms to the rights set forth in the instruments defining the same.</w:t>
      </w:r>
    </w:p>
    <w:p>
      <w:pPr>
        <w:spacing w:after="0" w:line="170" w:lineRule="exact"/>
        <w:rPr>
          <w:sz w:val="20"/>
          <w:szCs w:val="20"/>
          <w:color w:val="auto"/>
        </w:rPr>
      </w:pPr>
    </w:p>
    <w:p>
      <w:pPr>
        <w:ind w:right="40" w:firstLine="436"/>
        <w:spacing w:after="0" w:line="263" w:lineRule="auto"/>
        <w:tabs>
          <w:tab w:leader="none" w:pos="82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Shares have been duly authorized and are validly issued, fully paid and non-assessable. None of the outstanding shares of capital stock of the Company was issued in violation of the preemptive or other similar rights of any securityholder of the Company.</w:t>
      </w:r>
    </w:p>
    <w:p>
      <w:pPr>
        <w:spacing w:after="0" w:line="183" w:lineRule="exact"/>
        <w:rPr>
          <w:rFonts w:ascii="Arial" w:cs="Arial" w:eastAsia="Arial" w:hAnsi="Arial"/>
          <w:sz w:val="18"/>
          <w:szCs w:val="18"/>
          <w:color w:val="auto"/>
        </w:rPr>
      </w:pPr>
    </w:p>
    <w:p>
      <w:pPr>
        <w:ind w:firstLine="436"/>
        <w:spacing w:after="0" w:line="277" w:lineRule="auto"/>
        <w:tabs>
          <w:tab w:leader="none" w:pos="82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170" w:lineRule="exact"/>
        <w:rPr>
          <w:rFonts w:ascii="Arial" w:cs="Arial" w:eastAsia="Arial" w:hAnsi="Arial"/>
          <w:sz w:val="18"/>
          <w:szCs w:val="18"/>
          <w:color w:val="auto"/>
        </w:rPr>
      </w:pPr>
    </w:p>
    <w:p>
      <w:pPr>
        <w:ind w:right="20" w:firstLine="436"/>
        <w:spacing w:after="0" w:line="253" w:lineRule="auto"/>
        <w:tabs>
          <w:tab w:leader="none" w:pos="78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that is material to the Company or (iv) any judgment, order or decree of any governmental body, agency or court having jurisdiction over the Company, except that in the case of clauses (i), (iii) and (iv) as would not, individually or in the aggregate, have a material adverse effect on the Company or on the power and ability of the Company to perform its obligations under this Agreement, and no consent, approval, authorization or order of, or qualification with, any governmental body or agency is required for the performance by the Company of its obligations under this Agreement, except such as may have been previously obtained or may be required by the securities or Blue Sky laws of the various states or foreign jurisdictions or the rules and regulations of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in connection with the offer and sale of the Securities</w:t>
      </w:r>
    </w:p>
    <w:p>
      <w:pPr>
        <w:spacing w:after="0" w:line="196" w:lineRule="exact"/>
        <w:rPr>
          <w:rFonts w:ascii="Arial" w:cs="Arial" w:eastAsia="Arial" w:hAnsi="Arial"/>
          <w:sz w:val="18"/>
          <w:szCs w:val="18"/>
          <w:color w:val="auto"/>
        </w:rPr>
      </w:pPr>
    </w:p>
    <w:p>
      <w:pPr>
        <w:ind w:right="40" w:firstLine="436"/>
        <w:spacing w:after="0" w:line="263" w:lineRule="auto"/>
        <w:tabs>
          <w:tab w:leader="none" w:pos="78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reasonably likely to result in a prospective material adverse change, in the condition, financial or otherwise, or in the earnings, business or operations of the Company, whether or not arising out of the ordinary course of business, from that set forth in the Time of Sale Prospectus.</w:t>
      </w:r>
    </w:p>
    <w:p>
      <w:pPr>
        <w:spacing w:after="0" w:line="183" w:lineRule="exact"/>
        <w:rPr>
          <w:rFonts w:ascii="Arial" w:cs="Arial" w:eastAsia="Arial" w:hAnsi="Arial"/>
          <w:sz w:val="18"/>
          <w:szCs w:val="18"/>
          <w:color w:val="auto"/>
        </w:rPr>
      </w:pPr>
    </w:p>
    <w:p>
      <w:pPr>
        <w:ind w:right="220" w:firstLine="436"/>
        <w:spacing w:after="0" w:line="311" w:lineRule="auto"/>
        <w:tabs>
          <w:tab w:leader="none" w:pos="82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accountants who certified the financial statements and supporting schedules included in the Registration Statement, the Time of Sale Prospectus and the Prospectus are independent public accountants as required by the Securities Act, the Exchange Act, the applicable rules and regulations of the Commission under the Securities Act and the Exchange Act, and the Public Company Accounting Oversight Board (United States).</w:t>
      </w:r>
    </w:p>
    <w:p>
      <w:pPr>
        <w:spacing w:after="0" w:line="148" w:lineRule="exact"/>
        <w:rPr>
          <w:rFonts w:ascii="Arial" w:cs="Arial" w:eastAsia="Arial" w:hAnsi="Arial"/>
          <w:sz w:val="16"/>
          <w:szCs w:val="16"/>
          <w:color w:val="auto"/>
        </w:rPr>
      </w:pPr>
    </w:p>
    <w:p>
      <w:pPr>
        <w:ind w:right="160" w:firstLine="436"/>
        <w:spacing w:after="0" w:line="286" w:lineRule="auto"/>
        <w:tabs>
          <w:tab w:leader="none" w:pos="787"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There are no legal or governmental proceedings pending or, to the Company’s knowledge, threatened to which the Company is a party or to which any of the properties of the Company is subject (i) other than proceedings accurately described in all material respects in the Time of Sale Prospectus and proceedings that would not reasonably be expected to have a material adverse effect on the Company, or on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8" w:name="page9"/>
    <w:bookmarkEnd w:id="8"/>
    <w:p>
      <w:pPr>
        <w:jc w:val="both"/>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power or ability of the Company to perform its obligations under this Agreement or to consummate the transactions contemplated by the Time of Sale Prospectus or (ii) 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171" w:lineRule="exact"/>
        <w:rPr>
          <w:sz w:val="20"/>
          <w:szCs w:val="20"/>
          <w:color w:val="auto"/>
        </w:rPr>
      </w:pPr>
    </w:p>
    <w:p>
      <w:pPr>
        <w:ind w:right="400" w:firstLine="436"/>
        <w:spacing w:after="0" w:line="263"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83" w:lineRule="exact"/>
        <w:rPr>
          <w:rFonts w:ascii="Arial" w:cs="Arial" w:eastAsia="Arial" w:hAnsi="Arial"/>
          <w:sz w:val="18"/>
          <w:szCs w:val="18"/>
          <w:color w:val="auto"/>
        </w:rPr>
      </w:pPr>
    </w:p>
    <w:p>
      <w:pPr>
        <w:ind w:right="60" w:firstLine="436"/>
        <w:spacing w:after="0" w:line="263" w:lineRule="auto"/>
        <w:tabs>
          <w:tab w:leader="none" w:pos="82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183" w:lineRule="exact"/>
        <w:rPr>
          <w:rFonts w:ascii="Arial" w:cs="Arial" w:eastAsia="Arial" w:hAnsi="Arial"/>
          <w:sz w:val="18"/>
          <w:szCs w:val="18"/>
          <w:color w:val="auto"/>
        </w:rPr>
      </w:pPr>
    </w:p>
    <w:p>
      <w:pPr>
        <w:ind w:firstLine="436"/>
        <w:spacing w:after="0" w:line="268" w:lineRule="auto"/>
        <w:tabs>
          <w:tab w:leader="none" w:pos="83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Time of Sale Prospectus and the Prospectus, or would not, singly or in the aggregate, reasonably be expected to result in a material adverse effect on the Company, (i) the Company is not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Arial" w:cs="Arial" w:eastAsia="Arial" w:hAnsi="Arial"/>
          <w:sz w:val="17"/>
          <w:szCs w:val="17"/>
          <w:b w:val="1"/>
          <w:bCs w:val="1"/>
          <w:color w:val="auto"/>
        </w:rPr>
        <w:t>Hazardous Materials</w:t>
      </w:r>
      <w:r>
        <w:rPr>
          <w:rFonts w:ascii="Arial" w:cs="Arial" w:eastAsia="Arial" w:hAnsi="Arial"/>
          <w:sz w:val="17"/>
          <w:szCs w:val="17"/>
          <w:color w:val="auto"/>
        </w:rPr>
        <w:t>”) or to the manufacture, processing, distribution, use, treatment, storage, disposal, transport or handling of Hazardous Materials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(ii) the Company has all permits, authorizations and approvals required under any applicable Environmental Laws and is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and (iv) to the Company’s knowledge, there are no events or circumstances that would reasonably be expected to form the basis of an order for clean-up or remediation, or an action, suit or proceeding by any private party or governmental entity, against or affecting the Company relating to Hazardous Materials or any Environmental Laws.</w:t>
      </w:r>
    </w:p>
    <w:p>
      <w:pPr>
        <w:spacing w:after="0" w:line="184" w:lineRule="exact"/>
        <w:rPr>
          <w:rFonts w:ascii="Arial" w:cs="Arial" w:eastAsia="Arial" w:hAnsi="Arial"/>
          <w:sz w:val="17"/>
          <w:szCs w:val="17"/>
          <w:color w:val="auto"/>
        </w:rPr>
      </w:pPr>
    </w:p>
    <w:p>
      <w:pPr>
        <w:ind w:right="260" w:firstLine="436"/>
        <w:spacing w:after="0" w:line="259" w:lineRule="auto"/>
        <w:tabs>
          <w:tab w:leader="none" w:pos="82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4" w:right="519" w:bottom="1440" w:gutter="0" w:footer="0" w:header="0"/>
        </w:sectPr>
      </w:pPr>
    </w:p>
    <w:bookmarkStart w:id="9" w:name="page10"/>
    <w:bookmarkEnd w:id="9"/>
    <w:p>
      <w:pPr>
        <w:ind w:left="4" w:right="140" w:firstLine="436"/>
        <w:spacing w:after="0" w:line="311" w:lineRule="auto"/>
        <w:tabs>
          <w:tab w:leader="none" w:pos="834" w:val="left"/>
        </w:tabs>
        <w:numPr>
          <w:ilvl w:val="1"/>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described in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148" w:lineRule="exact"/>
        <w:rPr>
          <w:rFonts w:ascii="Arial" w:cs="Arial" w:eastAsia="Arial" w:hAnsi="Arial"/>
          <w:sz w:val="16"/>
          <w:szCs w:val="16"/>
          <w:color w:val="auto"/>
        </w:rPr>
      </w:pPr>
    </w:p>
    <w:p>
      <w:pPr>
        <w:ind w:left="4" w:right="60" w:firstLine="436"/>
        <w:spacing w:after="0" w:line="284" w:lineRule="auto"/>
        <w:tabs>
          <w:tab w:leader="none" w:pos="804" w:val="left"/>
        </w:tabs>
        <w:numPr>
          <w:ilvl w:val="1"/>
          <w:numId w:val="7"/>
        </w:numPr>
        <w:rPr>
          <w:rFonts w:ascii="Arial" w:cs="Arial" w:eastAsia="Arial" w:hAnsi="Arial"/>
          <w:sz w:val="16"/>
          <w:szCs w:val="16"/>
          <w:color w:val="auto"/>
        </w:rPr>
      </w:pPr>
      <w:r>
        <w:rPr>
          <w:rFonts w:ascii="Arial" w:cs="Arial" w:eastAsia="Arial" w:hAnsi="Arial"/>
          <w:sz w:val="16"/>
          <w:szCs w:val="16"/>
          <w:color w:val="auto"/>
        </w:rPr>
        <w:t>(i) None of the Company or any director or officer thereof, or, to the Company’s knowledge, any affiliate, employee, agent or representative of the Company or of any of its affiliates, has taken or has any plans to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(ii) the Company and its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w:t>
      </w:r>
    </w:p>
    <w:p>
      <w:pPr>
        <w:ind w:left="4" w:right="60" w:hanging="4"/>
        <w:spacing w:after="0" w:line="290" w:lineRule="auto"/>
        <w:tabs>
          <w:tab w:leader="none" w:pos="319"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will not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61" w:lineRule="exact"/>
        <w:rPr>
          <w:rFonts w:ascii="Arial" w:cs="Arial" w:eastAsia="Arial" w:hAnsi="Arial"/>
          <w:sz w:val="17"/>
          <w:szCs w:val="17"/>
          <w:color w:val="auto"/>
        </w:rPr>
      </w:pPr>
    </w:p>
    <w:p>
      <w:pPr>
        <w:ind w:left="4" w:firstLine="436"/>
        <w:spacing w:after="0" w:line="271" w:lineRule="auto"/>
        <w:tabs>
          <w:tab w:leader="none" w:pos="814" w:val="left"/>
        </w:tabs>
        <w:numPr>
          <w:ilvl w:val="1"/>
          <w:numId w:val="8"/>
        </w:numPr>
        <w:rPr>
          <w:rFonts w:ascii="Arial" w:cs="Arial" w:eastAsia="Arial" w:hAnsi="Arial"/>
          <w:sz w:val="17"/>
          <w:szCs w:val="17"/>
          <w:color w:val="auto"/>
        </w:rPr>
      </w:pPr>
      <w:r>
        <w:rPr>
          <w:rFonts w:ascii="Arial" w:cs="Arial" w:eastAsia="Arial" w:hAnsi="Arial"/>
          <w:sz w:val="17"/>
          <w:szCs w:val="17"/>
          <w:color w:val="auto"/>
        </w:rPr>
        <w:t>None of the Company or any director or officer thereof, or, to the Company’s knowledge, any affiliate, employee, agent or representative of the Company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7"/>
          <w:szCs w:val="17"/>
          <w:b w:val="1"/>
          <w:bCs w:val="1"/>
          <w:color w:val="auto"/>
        </w:rPr>
        <w:t>FCPA</w:t>
      </w:r>
      <w:r>
        <w:rPr>
          <w:rFonts w:ascii="Arial" w:cs="Arial" w:eastAsia="Arial" w:hAnsi="Arial"/>
          <w:sz w:val="17"/>
          <w:szCs w:val="17"/>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has conducted its businesses in compliance with the FCPA and have instituted and maintain policies and procedures designed to ensure, and which are reasonably expected to continue to ensure, continued compliance therewith.</w:t>
      </w:r>
    </w:p>
    <w:p>
      <w:pPr>
        <w:spacing w:after="0" w:line="178" w:lineRule="exact"/>
        <w:rPr>
          <w:rFonts w:ascii="Arial" w:cs="Arial" w:eastAsia="Arial" w:hAnsi="Arial"/>
          <w:sz w:val="17"/>
          <w:szCs w:val="17"/>
          <w:color w:val="auto"/>
        </w:rPr>
      </w:pPr>
    </w:p>
    <w:p>
      <w:pPr>
        <w:ind w:left="4" w:right="100" w:firstLine="436"/>
        <w:spacing w:after="0" w:line="286" w:lineRule="auto"/>
        <w:tabs>
          <w:tab w:leader="none" w:pos="839"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operations of the Company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10" w:name="page11"/>
    <w:bookmarkEnd w:id="10"/>
    <w:p>
      <w:pPr>
        <w:ind w:left="4"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anti-money laundering statutes of jurisdictions where the Company conducts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with respect to the Anti-Money Laundering Laws is pending or, to the best knowledge of the Company, threatened.</w:t>
      </w:r>
    </w:p>
    <w:p>
      <w:pPr>
        <w:spacing w:after="0" w:line="171" w:lineRule="exact"/>
        <w:rPr>
          <w:sz w:val="20"/>
          <w:szCs w:val="20"/>
          <w:color w:val="auto"/>
        </w:rPr>
      </w:pPr>
    </w:p>
    <w:p>
      <w:pPr>
        <w:ind w:left="4" w:firstLine="436"/>
        <w:spacing w:after="0" w:line="277" w:lineRule="auto"/>
        <w:tabs>
          <w:tab w:leader="none" w:pos="834" w:val="left"/>
        </w:tabs>
        <w:numPr>
          <w:ilvl w:val="1"/>
          <w:numId w:val="9"/>
        </w:numPr>
        <w:rPr>
          <w:rFonts w:ascii="Arial" w:cs="Arial" w:eastAsia="Arial" w:hAnsi="Arial"/>
          <w:sz w:val="18"/>
          <w:szCs w:val="18"/>
          <w:color w:val="auto"/>
        </w:rPr>
      </w:pPr>
      <w:r>
        <w:rPr>
          <w:rFonts w:ascii="Arial" w:cs="Arial" w:eastAsia="Arial" w:hAnsi="Arial"/>
          <w:sz w:val="18"/>
          <w:szCs w:val="18"/>
          <w:color w:val="auto"/>
        </w:rPr>
        <w:t>(i) None of the Company any director or officer thereof, nor, to the Company’s knowledge, any employee, agent, affiliate or representative of the Company,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one or more Persons that are:</w:t>
      </w:r>
    </w:p>
    <w:p>
      <w:pPr>
        <w:spacing w:after="0" w:line="62" w:lineRule="exact"/>
        <w:rPr>
          <w:rFonts w:ascii="Arial" w:cs="Arial" w:eastAsia="Arial" w:hAnsi="Arial"/>
          <w:sz w:val="18"/>
          <w:szCs w:val="18"/>
          <w:color w:val="auto"/>
        </w:rPr>
      </w:pPr>
    </w:p>
    <w:p>
      <w:pPr>
        <w:ind w:left="984" w:right="20" w:firstLine="408"/>
        <w:spacing w:after="0" w:line="263" w:lineRule="auto"/>
        <w:tabs>
          <w:tab w:leader="none" w:pos="1680" w:val="left"/>
        </w:tabs>
        <w:numPr>
          <w:ilvl w:val="3"/>
          <w:numId w:val="9"/>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984" w:right="400" w:firstLine="408"/>
        <w:spacing w:after="0" w:line="277" w:lineRule="auto"/>
        <w:tabs>
          <w:tab w:leader="none" w:pos="1670" w:val="left"/>
        </w:tabs>
        <w:numPr>
          <w:ilvl w:val="3"/>
          <w:numId w:val="9"/>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and Syria).</w:t>
      </w:r>
    </w:p>
    <w:p>
      <w:pPr>
        <w:spacing w:after="0" w:line="170" w:lineRule="exact"/>
        <w:rPr>
          <w:rFonts w:ascii="Arial" w:cs="Arial" w:eastAsia="Arial" w:hAnsi="Arial"/>
          <w:sz w:val="18"/>
          <w:szCs w:val="18"/>
          <w:color w:val="auto"/>
        </w:rPr>
      </w:pPr>
    </w:p>
    <w:p>
      <w:pPr>
        <w:ind w:left="4" w:right="340" w:firstLine="987"/>
        <w:spacing w:after="0" w:line="277" w:lineRule="auto"/>
        <w:tabs>
          <w:tab w:leader="none" w:pos="1260"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62" w:lineRule="exact"/>
        <w:rPr>
          <w:rFonts w:ascii="Arial" w:cs="Arial" w:eastAsia="Arial" w:hAnsi="Arial"/>
          <w:sz w:val="18"/>
          <w:szCs w:val="18"/>
          <w:color w:val="auto"/>
        </w:rPr>
      </w:pPr>
    </w:p>
    <w:p>
      <w:pPr>
        <w:ind w:left="984" w:right="40" w:firstLine="408"/>
        <w:spacing w:after="0" w:line="277" w:lineRule="auto"/>
        <w:tabs>
          <w:tab w:leader="none" w:pos="1680" w:val="left"/>
        </w:tabs>
        <w:numPr>
          <w:ilvl w:val="3"/>
          <w:numId w:val="9"/>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984" w:right="100" w:firstLine="408"/>
        <w:spacing w:after="0" w:line="277" w:lineRule="auto"/>
        <w:tabs>
          <w:tab w:leader="none" w:pos="1670" w:val="left"/>
        </w:tabs>
        <w:numPr>
          <w:ilvl w:val="3"/>
          <w:numId w:val="9"/>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170" w:lineRule="exact"/>
        <w:rPr>
          <w:rFonts w:ascii="Arial" w:cs="Arial" w:eastAsia="Arial" w:hAnsi="Arial"/>
          <w:sz w:val="18"/>
          <w:szCs w:val="18"/>
          <w:color w:val="auto"/>
        </w:rPr>
      </w:pPr>
    </w:p>
    <w:p>
      <w:pPr>
        <w:ind w:left="4" w:right="240" w:firstLine="987"/>
        <w:spacing w:after="0" w:line="342" w:lineRule="auto"/>
        <w:tabs>
          <w:tab w:leader="none" w:pos="1310" w:val="left"/>
        </w:tabs>
        <w:numPr>
          <w:ilvl w:val="2"/>
          <w:numId w:val="9"/>
        </w:numPr>
        <w:rPr>
          <w:rFonts w:ascii="Arial" w:cs="Arial" w:eastAsia="Arial" w:hAnsi="Arial"/>
          <w:sz w:val="16"/>
          <w:szCs w:val="16"/>
          <w:color w:val="auto"/>
        </w:rPr>
      </w:pPr>
      <w:r>
        <w:rPr>
          <w:rFonts w:ascii="Arial" w:cs="Arial" w:eastAsia="Arial" w:hAnsi="Arial"/>
          <w:sz w:val="16"/>
          <w:szCs w:val="16"/>
          <w:color w:val="auto"/>
        </w:rPr>
        <w:t>For the past 5 years, the Company has not knowingly engaged in, are not now knowingly engaged in, and will not engage in, any dealings or transactions with any Person, or in any country or territory, that at the time of the dealing or transaction is or was the subject of Sanctions.</w:t>
      </w:r>
    </w:p>
    <w:p>
      <w:pPr>
        <w:spacing w:after="0" w:line="123" w:lineRule="exact"/>
        <w:rPr>
          <w:rFonts w:ascii="Arial" w:cs="Arial" w:eastAsia="Arial" w:hAnsi="Arial"/>
          <w:sz w:val="16"/>
          <w:szCs w:val="16"/>
          <w:color w:val="auto"/>
        </w:rPr>
      </w:pPr>
    </w:p>
    <w:p>
      <w:pPr>
        <w:ind w:left="4" w:right="220" w:firstLine="436"/>
        <w:spacing w:after="0" w:line="291" w:lineRule="auto"/>
        <w:tabs>
          <w:tab w:leader="none" w:pos="834" w:val="left"/>
        </w:tabs>
        <w:numPr>
          <w:ilvl w:val="1"/>
          <w:numId w:val="9"/>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each of the Registration Statement, the Time of Sale Prospectus and the Prospectus, (i) the Company has not incurred any material liability or obligation, direct or contingent, nor entered into any material transaction;</w:t>
      </w:r>
    </w:p>
    <w:p>
      <w:pPr>
        <w:ind w:left="4" w:right="360" w:hanging="4"/>
        <w:spacing w:after="0" w:line="255" w:lineRule="auto"/>
        <w:tabs>
          <w:tab w:leader="none" w:pos="2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not purchased any of its outstanding capital stock (other than pursuant to agreements that permit the Company to repurchase Common Stock upon an employee or service provider’s termination of employment or services or in exercise of the Company’s right of first refusal upon a proposed transfer), nor declared, paid or otherwise made any dividend or distribution of</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1" w:name="page12"/>
    <w:bookmarkEnd w:id="11"/>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kind on its capital stock other than ordinary and customary dividends; and (iii) there has not been any material change in the capital stock, short-term debt or long-term debt of the Company, except in each case as described in each of the Registration Statement, the Time of Sale Prospectus and the Prospectus, respectively.</w:t>
      </w:r>
    </w:p>
    <w:p>
      <w:pPr>
        <w:spacing w:after="0" w:line="184" w:lineRule="exact"/>
        <w:rPr>
          <w:sz w:val="20"/>
          <w:szCs w:val="20"/>
          <w:color w:val="auto"/>
        </w:rPr>
      </w:pPr>
    </w:p>
    <w:p>
      <w:pPr>
        <w:ind w:right="40" w:firstLine="436"/>
        <w:spacing w:after="0" w:line="293" w:lineRule="auto"/>
        <w:tabs>
          <w:tab w:leader="none" w:pos="86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does not own any real property. The Company has good and marketable title to all personal property owned by it that is material to the business of the Company, in each case free and clear of all liens, encumbrances and defects except such as are described in the Time of Sale Prospectus or such as do not materially affect the value of such property and do not materially interfere with the use made and proposed to be made of such property by the Company; and any real property and buildings held under lease by the Company are held by it under valid, subsisting and, to the Company’s knowledge, enforceable leases with such exceptions as are not material and do not materially interfere with the use made and proposed to be made of such property and buildings by the Company, in each case except as described in the Time of Sale Prospectus.</w:t>
      </w:r>
    </w:p>
    <w:p>
      <w:pPr>
        <w:spacing w:after="0" w:line="164" w:lineRule="exact"/>
        <w:rPr>
          <w:rFonts w:ascii="Arial" w:cs="Arial" w:eastAsia="Arial" w:hAnsi="Arial"/>
          <w:sz w:val="16"/>
          <w:szCs w:val="16"/>
          <w:color w:val="auto"/>
        </w:rPr>
      </w:pPr>
    </w:p>
    <w:p>
      <w:pPr>
        <w:ind w:firstLine="436"/>
        <w:spacing w:after="0" w:line="286" w:lineRule="auto"/>
        <w:tabs>
          <w:tab w:leader="none" w:pos="82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owns or possesses, or can acquire on commercially reasonable terms, valid and enforceable rights to use all material patents, patent rights, licenses, inventions, copyrights, know-how (including trade secrets and other unpatented and/or unpatentable proprietary or confidential information, systems or procedures), software, databases, domain names, trademarks, service marks, trade names, and other intellectual property and similar rights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reasonably necessary for the conduct of its business as currently conducted or as currently proposed to be conducted. Except as described in the Time of Sale Prospectus, (i) the Company has not received any notice of infringement of or conflict with asserted rights of others with respect to any of the foregoing and (ii) to the Company’s knowledge, the conduct of the Company’s business as currently conducted does not, and the Company’s business as currently proposed to be conducted would not reasonably be expected to, infringe, misappropriate or otherwise violate any such rights of others, which in either case, singly or in the aggregate, if the subject of an unfavorable decision, ruling or finding, would reasonably be expected to have a material adverse effect on the Company. The Company has taken reasonable steps to protect, maintain and safeguard the Intellectual Property owned by or, to the extent the Company has rights to do so, licensed to the Company, including, without limitation, the execution of appropriate nondisclosure and invention assignment agreements. There are no rights of third parties to any of the Intellectual Property owned by the Company, and there is no infringement by third parties of any Intellectual Property owned by or, to the Company’s knowledge, licensed to the Company, except as would not reasonably be expected to have a material adverse effect on the Company. There is no pending or to the Company’s knowledge threatened action, suit, proceeding or claim by others challenging the Company’s rights in or to any Intellectual Property, and the Company is unaware of any facts which could form a reasonable basis for any such action, suit, proceeding or claim.</w:t>
      </w:r>
    </w:p>
    <w:p>
      <w:pPr>
        <w:spacing w:after="0" w:line="167" w:lineRule="exact"/>
        <w:rPr>
          <w:rFonts w:ascii="Arial" w:cs="Arial" w:eastAsia="Arial" w:hAnsi="Arial"/>
          <w:sz w:val="16"/>
          <w:szCs w:val="16"/>
          <w:color w:val="auto"/>
        </w:rPr>
      </w:pPr>
    </w:p>
    <w:p>
      <w:pPr>
        <w:ind w:right="800" w:firstLine="436"/>
        <w:spacing w:after="0" w:line="308" w:lineRule="auto"/>
        <w:tabs>
          <w:tab w:leader="none" w:pos="83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material labor dispute with the employees of the Company exists, except as described in the Time of Sale Prospectus, or, to the knowledge of the Company, is imminent; and the Company is not aware of any existing, threatened or imminent labor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2" w:name="page13"/>
    <w:bookmarkEnd w:id="12"/>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disturbance by the employees of any of its principal suppliers, manufacturers or contractors (including, without limitation, Thyroid Cytopathology Partners, P.A. (“</w:t>
      </w:r>
      <w:r>
        <w:rPr>
          <w:rFonts w:ascii="Arial" w:cs="Arial" w:eastAsia="Arial" w:hAnsi="Arial"/>
          <w:sz w:val="18"/>
          <w:szCs w:val="18"/>
          <w:b w:val="1"/>
          <w:bCs w:val="1"/>
          <w:color w:val="auto"/>
        </w:rPr>
        <w:t>TCP</w:t>
      </w:r>
      <w:r>
        <w:rPr>
          <w:rFonts w:ascii="Arial" w:cs="Arial" w:eastAsia="Arial" w:hAnsi="Arial"/>
          <w:sz w:val="18"/>
          <w:szCs w:val="18"/>
          <w:color w:val="auto"/>
        </w:rPr>
        <w:t>”)) that would reasonably be expected to have a material adverse effect on the Company.</w:t>
      </w:r>
    </w:p>
    <w:p>
      <w:pPr>
        <w:spacing w:after="0" w:line="170" w:lineRule="exact"/>
        <w:rPr>
          <w:sz w:val="20"/>
          <w:szCs w:val="20"/>
          <w:color w:val="auto"/>
        </w:rPr>
      </w:pPr>
    </w:p>
    <w:p>
      <w:pPr>
        <w:jc w:val="both"/>
        <w:ind w:right="60" w:firstLine="436"/>
        <w:spacing w:after="0" w:line="275" w:lineRule="auto"/>
        <w:tabs>
          <w:tab w:leader="none" w:pos="81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is insured by insurers of recognized financial responsibility against such losses and risks and in such amounts as are, in the reasonable judgment of the Company, prudent and customary in the business in which it is engaged; the Company has not been refused any insurance coverage sought or applied for; and the Company does not have any reason to believe that it will not be able to renew its existing insurance coverage as and when such coverage expires or to obtain similar coverage from similar insurers as may be necessary to continue its business at a cost that would not have a material adverse effect on the Company, except as described in the Time of Sale Prospectus.</w:t>
      </w:r>
    </w:p>
    <w:p>
      <w:pPr>
        <w:spacing w:after="0" w:line="176" w:lineRule="exact"/>
        <w:rPr>
          <w:sz w:val="20"/>
          <w:szCs w:val="20"/>
          <w:color w:val="auto"/>
        </w:rPr>
      </w:pPr>
    </w:p>
    <w:p>
      <w:pPr>
        <w:ind w:firstLine="436"/>
        <w:spacing w:after="0" w:line="290" w:lineRule="auto"/>
        <w:tabs>
          <w:tab w:leader="none" w:pos="89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possesses and, to the knowledge of the Company, TCP possesses all licenses, certificates, authorizations, registrations, clearances, approvals, exemptions, certifications, accreditations, provider or supplier numbers and permits (“</w:t>
      </w:r>
      <w:r>
        <w:rPr>
          <w:rFonts w:ascii="Arial" w:cs="Arial" w:eastAsia="Arial" w:hAnsi="Arial"/>
          <w:sz w:val="16"/>
          <w:szCs w:val="16"/>
          <w:b w:val="1"/>
          <w:bCs w:val="1"/>
          <w:color w:val="auto"/>
        </w:rPr>
        <w:t>Permits</w:t>
      </w:r>
      <w:r>
        <w:rPr>
          <w:rFonts w:ascii="Arial" w:cs="Arial" w:eastAsia="Arial" w:hAnsi="Arial"/>
          <w:sz w:val="16"/>
          <w:szCs w:val="16"/>
          <w:color w:val="auto"/>
        </w:rPr>
        <w:t>”) issued by the appropriate federal, state or foreign governmental or regulatory authorities (“</w:t>
      </w:r>
      <w:r>
        <w:rPr>
          <w:rFonts w:ascii="Arial" w:cs="Arial" w:eastAsia="Arial" w:hAnsi="Arial"/>
          <w:sz w:val="16"/>
          <w:szCs w:val="16"/>
          <w:b w:val="1"/>
          <w:bCs w:val="1"/>
          <w:color w:val="auto"/>
        </w:rPr>
        <w:t>Regulatory Authority</w:t>
      </w:r>
      <w:r>
        <w:rPr>
          <w:rFonts w:ascii="Arial" w:cs="Arial" w:eastAsia="Arial" w:hAnsi="Arial"/>
          <w:sz w:val="16"/>
          <w:szCs w:val="16"/>
          <w:color w:val="auto"/>
        </w:rPr>
        <w:t>”) necessary to conduct its business, including, without limitation, all such Permits required by any Regulatory Authority, except where the failure to obtain such Permits would not, singly or in the aggregate, be reasonably expected to have a material adverse effect on the Company; and the Company and, to the knowledge of the Company, TCP, have not received any notice of proceedings relating to the revocation, suspension, limitation or modification of any such Permit nor does the Company have any reason to believe that any such Permit will not be renewed in the future, which, singly or in the aggregate, if the subject of an unfavorable decision, ruling or finding, would reasonably be expected to have a material adverse effect on the Company, except as described in Time of Sale Prospectus.</w:t>
      </w:r>
    </w:p>
    <w:p>
      <w:pPr>
        <w:spacing w:after="0" w:line="165" w:lineRule="exact"/>
        <w:rPr>
          <w:rFonts w:ascii="Arial" w:cs="Arial" w:eastAsia="Arial" w:hAnsi="Arial"/>
          <w:sz w:val="16"/>
          <w:szCs w:val="16"/>
          <w:color w:val="auto"/>
        </w:rPr>
      </w:pPr>
    </w:p>
    <w:p>
      <w:pPr>
        <w:ind w:right="120" w:firstLine="436"/>
        <w:spacing w:after="0" w:line="288" w:lineRule="auto"/>
        <w:tabs>
          <w:tab w:leader="none" w:pos="91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financial statements included or incorporated by reference in the Registration Statement, the Time of Sale Prospectus and the Prospectus, together with the related schedules and notes, comply as to form in all material respects with Regulation S-X under the Securities Act and present fairly, in all material respects, the financial position of the Company at the dates indicated and the statement of operations, stockholders’ equity and cash flows of the Company for the periods specified; said financial statements have been prepared in conformity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throughout the periods involved, except as may be set forth in the related notes included or incorporated by reference in the Time of Sale Prospectus or in the case of unaudited, interim financial statements, subject to the normal year-end adjustments and the exclusion of certain footnotes. The supporting schedules, if any, present fairly, in all material respects, in accordance with GAAP the information required to be stated therein. Except as included therein, no historical or pro forma financial statements or supporting schedules are required to be included or incorporated by reference in the Registration Statement, the Time of Sale Prospectus and the Prospectus under the Securities Act or the rules and regulations thereunder. All disclosures contained in the Registration Statement, the Time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3" w:name="page14"/>
    <w:bookmarkEnd w:id="13"/>
    <w:p>
      <w:pPr>
        <w:ind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Sale Prospectus or the Prospectus, or incorporated by reference therein, regarding “non-GAAP financial measures” (as such term is defined by the rules and regulations of the Commission) comply with Regulation G of the Exchange Act, and Item 10 of Regulation S-K, to the extent applicable.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57" w:lineRule="exact"/>
        <w:rPr>
          <w:sz w:val="20"/>
          <w:szCs w:val="20"/>
          <w:color w:val="auto"/>
        </w:rPr>
      </w:pPr>
    </w:p>
    <w:p>
      <w:pPr>
        <w:ind w:firstLine="436"/>
        <w:spacing w:after="0" w:line="270" w:lineRule="auto"/>
        <w:tabs>
          <w:tab w:leader="none" w:pos="89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maintains a system of internal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Except as described in the Registration Statement, the Time of Sale Prospectus or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w:t>
      </w:r>
    </w:p>
    <w:p>
      <w:pPr>
        <w:spacing w:after="0" w:line="180" w:lineRule="exact"/>
        <w:rPr>
          <w:rFonts w:ascii="Arial" w:cs="Arial" w:eastAsia="Arial" w:hAnsi="Arial"/>
          <w:sz w:val="17"/>
          <w:szCs w:val="17"/>
          <w:color w:val="auto"/>
        </w:rPr>
      </w:pPr>
    </w:p>
    <w:p>
      <w:pPr>
        <w:ind w:right="80" w:firstLine="436"/>
        <w:spacing w:after="0" w:line="259"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described in the Time of Sale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stock option plans or other employee compensation plans or pursuant to outstanding options, rights or warrants.</w:t>
      </w:r>
    </w:p>
    <w:p>
      <w:pPr>
        <w:spacing w:after="0" w:line="186" w:lineRule="exact"/>
        <w:rPr>
          <w:rFonts w:ascii="Arial" w:cs="Arial" w:eastAsia="Arial" w:hAnsi="Arial"/>
          <w:sz w:val="18"/>
          <w:szCs w:val="18"/>
          <w:color w:val="auto"/>
        </w:rPr>
      </w:pPr>
    </w:p>
    <w:p>
      <w:pPr>
        <w:ind w:right="280" w:firstLine="436"/>
        <w:spacing w:after="0" w:line="277" w:lineRule="auto"/>
        <w:tabs>
          <w:tab w:leader="none" w:pos="8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does not have any securities rated by any “nationally recognized statistical rating organization,” as such term is defined in Section 3(a)(62) of the Exchange Act.</w:t>
      </w:r>
    </w:p>
    <w:p>
      <w:pPr>
        <w:spacing w:after="0" w:line="170" w:lineRule="exact"/>
        <w:rPr>
          <w:rFonts w:ascii="Arial" w:cs="Arial" w:eastAsia="Arial" w:hAnsi="Arial"/>
          <w:sz w:val="18"/>
          <w:szCs w:val="18"/>
          <w:color w:val="auto"/>
        </w:rPr>
      </w:pPr>
    </w:p>
    <w:p>
      <w:pPr>
        <w:ind w:right="40" w:firstLine="436"/>
        <w:spacing w:after="0" w:line="291" w:lineRule="auto"/>
        <w:tabs>
          <w:tab w:leader="none" w:pos="85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has filed all federal, state, local and foreign tax returns required to be filed through the date of this Agreement or has requested extensions thereof (except where the failure to file would not, individually or in the aggregate, be reasonably expected to have a material adverse effect on the Company) and have paid all taxes required to be paid thereon (except for cases in which the failure to pay would not be reasonably expected to have a material adverse effect on the Company or except as are currently being contested in good faith and for which reserves required by GAAP have been created in the financial statements of the Company), and no unpaid tax deficiency has been determined adversely to the Company which has had (nor does the Company have any notice or knowledge of any unpaid tax deficiency which could reasonably be expected to be determined adversely to the Company and which would reasonably be expected to have) a material adverse effect on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4" w:name="page15"/>
    <w:bookmarkEnd w:id="14"/>
    <w:p>
      <w:pPr>
        <w:ind w:left="-20" w:right="60" w:firstLine="436"/>
        <w:spacing w:after="0" w:line="279" w:lineRule="auto"/>
        <w:tabs>
          <w:tab w:leader="none" w:pos="890" w:val="left"/>
        </w:tabs>
        <w:numPr>
          <w:ilvl w:val="0"/>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of the time of each sale of the Shares in connection with the offering when the Prospectus is not yet available to prospective purchasers, none of (i) the Time of Sale Prospectus and (ii) any free writing prospectus,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71" w:lineRule="exact"/>
        <w:rPr>
          <w:rFonts w:ascii="Arial" w:cs="Arial" w:eastAsia="Arial" w:hAnsi="Arial"/>
          <w:sz w:val="17"/>
          <w:szCs w:val="17"/>
          <w:color w:val="auto"/>
        </w:rPr>
      </w:pPr>
    </w:p>
    <w:p>
      <w:pPr>
        <w:ind w:left="-20" w:firstLine="436"/>
        <w:spacing w:after="0" w:line="284" w:lineRule="auto"/>
        <w:tabs>
          <w:tab w:leader="none" w:pos="897"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and, to the knowledge of the Company, TCP, have operated and currently are in material compliance with all applicable health care laws, including, without limitation, the federal Anti-Kickback Statute (42 U.S.C. § 1320a-7b(b)), the Physician Payments Sunshine Act (42 U.S.C. § 1320a-7h), the Civil Monetary Penalties Law (42 U.S.C. § 1320a-7a), the civil False Claims Act (31 U.S.C. §§ 3729 et seq.), the criminal False Claims Law (42 U.S.C. § 1320a-7b(a)), the Stark Law (42 U.S.C. § 1395nn), all applicable criminal laws relating to healthcare fraud and abuse, including but not limited to 18 U.S.C. sections 286 and 287, the healthcare fraud criminal provisions under the U.S. Health Insurance Portability and Accountability Act of 1996 (“</w:t>
      </w:r>
      <w:r>
        <w:rPr>
          <w:rFonts w:ascii="Arial" w:cs="Arial" w:eastAsia="Arial" w:hAnsi="Arial"/>
          <w:sz w:val="16"/>
          <w:szCs w:val="16"/>
          <w:b w:val="1"/>
          <w:bCs w:val="1"/>
          <w:color w:val="auto"/>
        </w:rPr>
        <w:t>HIPAA</w:t>
      </w:r>
      <w:r>
        <w:rPr>
          <w:rFonts w:ascii="Arial" w:cs="Arial" w:eastAsia="Arial" w:hAnsi="Arial"/>
          <w:sz w:val="16"/>
          <w:szCs w:val="16"/>
          <w:color w:val="auto"/>
        </w:rPr>
        <w:t>”) (42 U.S.C. §§ 1320d et seq.), HIPAA, as amended by the Health Information Technology for Economic and Clinical Health Act (42 U.S.C. §§ 17921 et seq.), the exclusion laws (42 U.S.C. § 1320a-7), the Federal Food, Drug, and Cosmetic Act (21 U.S.C. §§ 301 et seq.), Medicare (Title XVIII of the Social Security Act), Medicaid (Title XIX of the Social Security Act), the Clinical Laboratory Improvement Amendments of 1998 (42 U.S.C. § 263a et seq.), and any other applicable similar local, state or federal laws or other applicable laws of federal, state and foreign governmental agencies or bodies engaged in regulation of clinical laboratories, and the applicable regulations promulgated pursuant to all such laws, each as amended from time to time (“</w:t>
      </w:r>
      <w:r>
        <w:rPr>
          <w:rFonts w:ascii="Arial" w:cs="Arial" w:eastAsia="Arial" w:hAnsi="Arial"/>
          <w:sz w:val="16"/>
          <w:szCs w:val="16"/>
          <w:b w:val="1"/>
          <w:bCs w:val="1"/>
          <w:color w:val="auto"/>
        </w:rPr>
        <w:t>Health Care Laws</w:t>
      </w:r>
      <w:r>
        <w:rPr>
          <w:rFonts w:ascii="Arial" w:cs="Arial" w:eastAsia="Arial" w:hAnsi="Arial"/>
          <w:sz w:val="16"/>
          <w:szCs w:val="16"/>
          <w:color w:val="auto"/>
        </w:rPr>
        <w:t>”). To the knowledge of the Company, neither the Company nor any of its officers, directors, employees or agents has engaged in activities which are, as applicable, cause for false claims liability, civil penalties, or mandatory or permissive exclusion from Medicare, Medicaid, or any other state or federal healthcare program (collectively, the “</w:t>
      </w:r>
      <w:r>
        <w:rPr>
          <w:rFonts w:ascii="Arial" w:cs="Arial" w:eastAsia="Arial" w:hAnsi="Arial"/>
          <w:sz w:val="16"/>
          <w:szCs w:val="16"/>
          <w:b w:val="1"/>
          <w:bCs w:val="1"/>
          <w:color w:val="auto"/>
        </w:rPr>
        <w:t>Programs</w:t>
      </w:r>
      <w:r>
        <w:rPr>
          <w:rFonts w:ascii="Arial" w:cs="Arial" w:eastAsia="Arial" w:hAnsi="Arial"/>
          <w:sz w:val="16"/>
          <w:szCs w:val="16"/>
          <w:color w:val="auto"/>
        </w:rPr>
        <w:t>”). Except as disclosed in the Time of Sale Prospectus, neither the Company nor, to the knowledge of the Company, TCP, has received any notice, correspondence or other communication, including notification of any pending or threatened claim, action, suit, audit, survey, proceeding, hearing, enforcement, investigation, arbitration or other action (“</w:t>
      </w:r>
      <w:r>
        <w:rPr>
          <w:rFonts w:ascii="Arial" w:cs="Arial" w:eastAsia="Arial" w:hAnsi="Arial"/>
          <w:sz w:val="16"/>
          <w:szCs w:val="16"/>
          <w:b w:val="1"/>
          <w:bCs w:val="1"/>
          <w:color w:val="auto"/>
        </w:rPr>
        <w:t>Action</w:t>
      </w:r>
      <w:r>
        <w:rPr>
          <w:rFonts w:ascii="Arial" w:cs="Arial" w:eastAsia="Arial" w:hAnsi="Arial"/>
          <w:sz w:val="16"/>
          <w:szCs w:val="16"/>
          <w:color w:val="auto"/>
        </w:rPr>
        <w:t>”) from any Regulatory Authority, of potential or actual non-compliance by, or liability of, the Company or TCP under any Health Care Laws, including, without limitation, FDA Form 483s, Warning Letters, untitled letters, or similar written correspondence from the FDA. To the knowledge of the Company, there are no facts or circumstances that would reasonably be expected to give rise to material liability of the Company under any Health Care Laws. The Company is not party to or has any ongoing reporting obligations pursuant to any corporate integrity agreement, deferred prosecution agreement, monitoring agreement, consent decree, settlement order, plan of correction or similar agreement imposed by any Regulatory Authority. None of the Company or, to the knowledge of the Company, TCP, or the Company’s employees, officers or directors, or, to the knowledge of the Company, TCP’s employees, officers or directors, has been excluded, suspended or debarred from participation in any Program or, to the knowledge of the Company, is subject to a governmental inquiry, investigation, proceeding, or other similar action that could reasonably be expected to result in debarment, suspension, or exclusion.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60" w:top="274" w:right="479" w:bottom="1440" w:gutter="0" w:footer="0" w:header="0"/>
        </w:sectPr>
      </w:pPr>
    </w:p>
    <w:bookmarkStart w:id="15" w:name="page16"/>
    <w:bookmarkEnd w:id="15"/>
    <w:p>
      <w:pPr>
        <w:ind w:left="-20" w:firstLine="436"/>
        <w:spacing w:after="0" w:line="289" w:lineRule="auto"/>
        <w:tabs>
          <w:tab w:leader="none" w:pos="817"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not received, and is not aware of, any notice from any Regulatory Authority requiring the termination, suspension, clinical hold or material modification of any tests, studies or trials conducted by or on behalf of the Company or in which the Company’s products have participated. The clinical studies and tests and clinical trials conducted by on behalf of the Company or in which the Company’s products participated were and are being conducted in all material respects in accordance with experimental protocols, procedures and controls pursuant to any applicable professional and scientific standards for products and product candidates comparable to those being developed by the Company and all applicable laws, rules, and regulations, and the description of such studies, tests or trials, and the results thereof included in the Registration Statement, the Time of Sale Prospectus and the Prospectus are accurate and complete in all material respects. The Company is not aware of any tests, studies or trials not described in the Registration Statement, the Time of Sale Prospectus and the Prospectus, the results of which reasonably call into question the results of the tests, studies and trials described in the Registration Statement, the Time of Sale Prospectus and the Prospectus.</w:t>
      </w:r>
    </w:p>
    <w:p>
      <w:pPr>
        <w:spacing w:after="0" w:line="166" w:lineRule="exact"/>
        <w:rPr>
          <w:rFonts w:ascii="Arial" w:cs="Arial" w:eastAsia="Arial" w:hAnsi="Arial"/>
          <w:sz w:val="16"/>
          <w:szCs w:val="16"/>
          <w:color w:val="auto"/>
        </w:rPr>
      </w:pPr>
    </w:p>
    <w:p>
      <w:pPr>
        <w:ind w:left="-20" w:firstLine="436"/>
        <w:spacing w:after="0" w:line="254" w:lineRule="auto"/>
        <w:tabs>
          <w:tab w:leader="none" w:pos="8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meets all Program requirements and conditions of participation and is a party to valid participation or other agreements required for payment by such Programs and other third-party payor programs. There are no material suspensions, offsets or recoupments of any Program or third-party payor payments being sought, requested or claimed, or to the Company’s knowledge, threatened against the Company. As of the date of this Agreement, the Company has not received any notice of denial of payment or overpayment from any Program or other third-party payor that would, individually or in the aggregate, reasonably be expected to have a material adverse effect on the Company. There is no Action pending or, to the knowledge of the Company, threatened, against the Company which relates to a violation of any applicable legal requirement pertaining to the Programs or which would reasonably be expected to result in the imposition of material penalties, termination or the exclusion of the Company from participation in any Programs.</w:t>
      </w:r>
    </w:p>
    <w:p>
      <w:pPr>
        <w:spacing w:after="0" w:line="191" w:lineRule="exact"/>
        <w:rPr>
          <w:rFonts w:ascii="Arial" w:cs="Arial" w:eastAsia="Arial" w:hAnsi="Arial"/>
          <w:sz w:val="18"/>
          <w:szCs w:val="18"/>
          <w:color w:val="auto"/>
        </w:rPr>
      </w:pPr>
    </w:p>
    <w:p>
      <w:pPr>
        <w:ind w:left="-20" w:right="80" w:firstLine="436"/>
        <w:spacing w:after="0" w:line="273" w:lineRule="auto"/>
        <w:tabs>
          <w:tab w:leader="none" w:pos="897"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has complied, and is presently in compliance with its privacy policies regarding the collection, use, transfer, storage, protection, disposal and disclosure by the Company of personally identifiable information. The Company has taken commercially reasonable steps to protect its information technology systems and the data used in the operation of its business. The Company has used commercially reasonable efforts to establish, and has established, commercially reasonable disaster recovery and security plans and procedures for its business, including, without limitation, for its information technology systems. To its knowledge, the Company has not experienced a security breach or other compromise of its information technology systems or data requiring notice to any third party under applicable state or federal law.</w:t>
      </w:r>
    </w:p>
    <w:p>
      <w:pPr>
        <w:spacing w:after="0" w:line="177" w:lineRule="exact"/>
        <w:rPr>
          <w:rFonts w:ascii="Arial" w:cs="Arial" w:eastAsia="Arial" w:hAnsi="Arial"/>
          <w:sz w:val="17"/>
          <w:szCs w:val="17"/>
          <w:color w:val="auto"/>
        </w:rPr>
      </w:pPr>
    </w:p>
    <w:p>
      <w:pPr>
        <w:ind w:left="-20" w:right="160" w:firstLine="436"/>
        <w:spacing w:after="0" w:line="277" w:lineRule="auto"/>
        <w:tabs>
          <w:tab w:leader="none" w:pos="8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the extent required under applicable rules, the Company maintains an effective system of disclosure controls and procedures (as defined in Rule 13a-15 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60" w:top="274" w:right="459" w:bottom="1440" w:gutter="0" w:footer="0" w:header="0"/>
        </w:sectPr>
      </w:pPr>
    </w:p>
    <w:bookmarkStart w:id="16" w:name="page17"/>
    <w:bookmarkEnd w:id="16"/>
    <w:p>
      <w:pPr>
        <w:ind w:righ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Exchange Act and the rules and regulations thereunder), that comply with the requirements of the Exchange Act and the rules and regulations thereunder; such disclosure controls and procedures have been designed to ensure that information required to be disclosed by the Company in the reports that it files or submits under the Exchange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 and such disclosure controls and procedures are effective in all material respects.</w:t>
      </w:r>
    </w:p>
    <w:p>
      <w:pPr>
        <w:spacing w:after="0" w:line="192" w:lineRule="exact"/>
        <w:rPr>
          <w:sz w:val="20"/>
          <w:szCs w:val="20"/>
          <w:color w:val="auto"/>
        </w:rPr>
      </w:pPr>
    </w:p>
    <w:p>
      <w:pPr>
        <w:ind w:firstLine="436"/>
        <w:spacing w:after="0" w:line="301" w:lineRule="auto"/>
        <w:tabs>
          <w:tab w:leader="none" w:pos="101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and to the Company’s knowledge, any of the Company’s directors or officers, in their capacities as such, to comply in all material respects with the provisions of the Sarbanes-Oxley Act of 2002 and the rules and regulations promulgated in connection therewith (the “</w:t>
      </w:r>
      <w:r>
        <w:rPr>
          <w:rFonts w:ascii="Arial" w:cs="Arial" w:eastAsia="Arial" w:hAnsi="Arial"/>
          <w:sz w:val="16"/>
          <w:szCs w:val="16"/>
          <w:b w:val="1"/>
          <w:bCs w:val="1"/>
          <w:color w:val="auto"/>
        </w:rPr>
        <w:t>Sarbanes-Oxley Act</w:t>
      </w:r>
      <w:r>
        <w:rPr>
          <w:rFonts w:ascii="Arial" w:cs="Arial" w:eastAsia="Arial" w:hAnsi="Arial"/>
          <w:sz w:val="16"/>
          <w:szCs w:val="16"/>
          <w:color w:val="auto"/>
        </w:rPr>
        <w:t>”) currently applicable to it, and the Company is taking steps to ensure that it will be in compliance with the provisions of the Sarbanes-Oxley Act that are, or will become, applicable to the Company after the date hereof.</w:t>
      </w:r>
    </w:p>
    <w:p>
      <w:pPr>
        <w:spacing w:after="0" w:line="157" w:lineRule="exact"/>
        <w:rPr>
          <w:rFonts w:ascii="Arial" w:cs="Arial" w:eastAsia="Arial" w:hAnsi="Arial"/>
          <w:sz w:val="16"/>
          <w:szCs w:val="16"/>
          <w:color w:val="auto"/>
        </w:rPr>
      </w:pPr>
    </w:p>
    <w:p>
      <w:pPr>
        <w:ind w:firstLine="436"/>
        <w:spacing w:after="0" w:line="259" w:lineRule="auto"/>
        <w:tabs>
          <w:tab w:leader="none" w:pos="9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statements of the Company filed with the Commission as part of the Registration Statement and included in each of the Registration Statement, the Time of Sale Prospectus and the Prospectus present fairly the financial position of the Company as of the dates indicated therein and the results of its operations and cash flows for the periods specified therein. Such financial statements have been prepared in conformity with GAAP and applied on a consistent basis throughout the periods involved.</w:t>
      </w:r>
    </w:p>
    <w:p>
      <w:pPr>
        <w:spacing w:after="0" w:line="186" w:lineRule="exact"/>
        <w:rPr>
          <w:rFonts w:ascii="Arial" w:cs="Arial" w:eastAsia="Arial" w:hAnsi="Arial"/>
          <w:sz w:val="18"/>
          <w:szCs w:val="18"/>
          <w:color w:val="auto"/>
        </w:rPr>
      </w:pPr>
    </w:p>
    <w:p>
      <w:pPr>
        <w:ind w:firstLine="436"/>
        <w:spacing w:after="0" w:line="263" w:lineRule="auto"/>
        <w:tabs>
          <w:tab w:leader="none" w:pos="9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statistical, industry related and market related data included in the Registration Statement, the Time of Sale Prospectus and the Prospectus are based on or derived from sources which the Company reasonably and in good faith believes are reliable and are accurate, and such data is consistent with the sources from which they are derived.</w:t>
      </w:r>
    </w:p>
    <w:p>
      <w:pPr>
        <w:spacing w:after="0" w:line="183" w:lineRule="exact"/>
        <w:rPr>
          <w:rFonts w:ascii="Arial" w:cs="Arial" w:eastAsia="Arial" w:hAnsi="Arial"/>
          <w:sz w:val="18"/>
          <w:szCs w:val="18"/>
          <w:color w:val="auto"/>
        </w:rPr>
      </w:pPr>
    </w:p>
    <w:p>
      <w:pPr>
        <w:ind w:right="120" w:firstLine="436"/>
        <w:spacing w:after="0" w:line="308" w:lineRule="auto"/>
        <w:tabs>
          <w:tab w:leader="none" w:pos="917"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There are no contracts or documents which are required to be described in the Registration Statement, the Time of Sale Prospectus and the Prospectus or to be filed as exhibits to the Registration Statement which have not been so described and filed as required.</w:t>
      </w:r>
    </w:p>
    <w:p>
      <w:pPr>
        <w:spacing w:after="0" w:line="146" w:lineRule="exact"/>
        <w:rPr>
          <w:rFonts w:ascii="Arial" w:cs="Arial" w:eastAsia="Arial" w:hAnsi="Arial"/>
          <w:sz w:val="17"/>
          <w:szCs w:val="17"/>
          <w:color w:val="auto"/>
        </w:rPr>
      </w:pPr>
    </w:p>
    <w:p>
      <w:pPr>
        <w:ind w:left="920" w:hanging="48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have been approved for listing, subject to notice of issuance, on The Nasdaq Global Market.</w:t>
      </w:r>
    </w:p>
    <w:p>
      <w:pPr>
        <w:spacing w:after="0" w:line="225" w:lineRule="exact"/>
        <w:rPr>
          <w:rFonts w:ascii="Arial" w:cs="Arial" w:eastAsia="Arial" w:hAnsi="Arial"/>
          <w:sz w:val="18"/>
          <w:szCs w:val="18"/>
          <w:color w:val="auto"/>
        </w:rPr>
      </w:pPr>
    </w:p>
    <w:p>
      <w:pPr>
        <w:ind w:right="40" w:firstLine="436"/>
        <w:spacing w:after="0" w:line="259"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affiliate of the Company has taken, nor will the Company or, to the Company’s knowledge, any affiliate take, directly or indirectly, any action which is designed, or would be expected, to cause or result in, or which constitutes, the stabilization or manipulation of the price of any security of the Company to facilitate the sale or resale of the Shares or to result in a violation of Regulation M under the Exchange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7" w:name="page18"/>
    <w:bookmarkEnd w:id="17"/>
    <w:p>
      <w:pPr>
        <w:ind w:right="180" w:firstLine="436"/>
        <w:spacing w:after="0" w:line="263"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disclosed in the Registration Statement, the Time of Sale Prospectus and the Prospectus, the Company (i) does not have any material lending or other relationship with any banking or lending affiliate of any Underwriter and (ii) does not intend to use any of the proceeds from the sale of the Shares to repay any outstanding debt owed to any affiliate of any Underwriter.</w:t>
      </w:r>
    </w:p>
    <w:p>
      <w:pPr>
        <w:spacing w:after="0" w:line="183" w:lineRule="exact"/>
        <w:rPr>
          <w:rFonts w:ascii="Arial" w:cs="Arial" w:eastAsia="Arial" w:hAnsi="Arial"/>
          <w:sz w:val="18"/>
          <w:szCs w:val="18"/>
          <w:color w:val="auto"/>
        </w:rPr>
      </w:pPr>
    </w:p>
    <w:p>
      <w:pPr>
        <w:ind w:right="140" w:firstLine="436"/>
        <w:spacing w:after="0" w:line="263"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disclosed in the Time of Sale Prospectus, there are no contracts, agreements or understandings between the Company and any person that would give rise to a valid claim against the Company or any Underwriter for a brokerage commission, finder’s fee or other like payment in connection with the offering of the Shares contemplated hereby.</w:t>
      </w:r>
    </w:p>
    <w:p>
      <w:pPr>
        <w:spacing w:after="0" w:line="184" w:lineRule="exact"/>
        <w:rPr>
          <w:sz w:val="20"/>
          <w:szCs w:val="20"/>
          <w:color w:val="auto"/>
        </w:rPr>
      </w:pPr>
    </w:p>
    <w:p>
      <w:pPr>
        <w:ind w:firstLine="436"/>
        <w:spacing w:after="0" w:line="259" w:lineRule="auto"/>
        <w:tabs>
          <w:tab w:leader="none" w:pos="7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Agreements to Sell and Purchase. </w:t>
      </w:r>
      <w:r>
        <w:rPr>
          <w:rFonts w:ascii="Arial" w:cs="Arial" w:eastAsia="Arial" w:hAnsi="Arial"/>
          <w:sz w:val="18"/>
          <w:szCs w:val="18"/>
          <w:color w:val="auto"/>
        </w:rPr>
        <w:t>The Company hereby agrees to sell to the several Underwriters, and each Underwriter, upon the basis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representations and warranties herein contained, but subject to the conditions hereinafter stated, agrees, severally and not jointly, to purchase from the Company the respective numbers of Firm Shares set forth in Schedule II hereto opposite its name at the purchase price set forth in Schedule I hereto (the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18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the number of Additional Shares set forth in Schedule I hereto at the Purchase Price, provided, however, that the amount paid by the Underwriters for any Additional Shares shall be reduced by an amount per share equal to any dividends declared by the Company and payable on the Firm Shares but not payable on such Additional Shares. The Managers may exercise this right on behalf of the Underwriters in whole or from time to time in part by giving written notice not later than 30 days after the date of the Prospectus.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4 hereof solely for the purpose of covering sales of shares in excess of the number of the Firm Shares. On each day, if any, that Additional Shares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Underwriter agrees, severally and not jointly, to purchase the number of Additional Shares (subject to such adjustments to eliminate fractional shares as the Managers may determine) that bears the same proportion to the total number of Additional Shares to be purchased on such Option Closing Date as the number of Firm Shares set forth in Schedule II hereto opposite the name of such Underwriter bears to the total number of Firm Shares.</w:t>
      </w:r>
    </w:p>
    <w:p>
      <w:pPr>
        <w:spacing w:after="0" w:line="174" w:lineRule="exact"/>
        <w:rPr>
          <w:sz w:val="20"/>
          <w:szCs w:val="20"/>
          <w:color w:val="auto"/>
        </w:rPr>
      </w:pPr>
    </w:p>
    <w:p>
      <w:pPr>
        <w:ind w:right="260" w:firstLine="436"/>
        <w:spacing w:after="0" w:line="311" w:lineRule="auto"/>
        <w:tabs>
          <w:tab w:leader="none" w:pos="755"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Public Offering</w:t>
      </w:r>
      <w:r>
        <w:rPr>
          <w:rFonts w:ascii="Arial" w:cs="Arial" w:eastAsia="Arial" w:hAnsi="Arial"/>
          <w:sz w:val="16"/>
          <w:szCs w:val="16"/>
          <w:color w:val="auto"/>
        </w:rPr>
        <w:t>. The Company is advised by the Managers that the Underwriters propose to make a public offering of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portions of the Shares as soon after the Registration Statement and this Agreement have become effective as in the Managers’ judgment is advisable. The Company is further advised by the Managers that the Shares are to be offered to the public upon the terms set forth in the Prospectus.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18" w:name="page19"/>
    <w:bookmarkEnd w:id="18"/>
    <w:p>
      <w:pPr>
        <w:ind w:right="20" w:firstLine="436"/>
        <w:spacing w:after="0" w:line="259" w:lineRule="auto"/>
        <w:tabs>
          <w:tab w:leader="none" w:pos="7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Payment and Delivery. </w:t>
      </w:r>
      <w:r>
        <w:rPr>
          <w:rFonts w:ascii="Arial" w:cs="Arial" w:eastAsia="Arial" w:hAnsi="Arial"/>
          <w:sz w:val="18"/>
          <w:szCs w:val="18"/>
          <w:color w:val="auto"/>
        </w:rPr>
        <w:t>Payment for the Firm Shares shall be made to the Company in Federal or other funds immediately available in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City on the closing date and time set forth in Schedule I hereto, or at such other time on the same or such other date, not later than the fifth business day thereafter, as may be designated in writing by the Managers. The time and date of such payment are hereinafter referred to as the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18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Payment for any Additional Shares shall be made to the Company in Federal or other funds immediately available in New York City on the date specified in the corresponding notice described in Section 2 or at such other time on the same or on such other date, in any event not later than the tenth business day thereafter, as may be designated in writing by the Managers.</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Firm Shares and the Additional Shares shall be registered in such names and in such denominations as the Managers shall request in writing not later than one full business day prior to the Closing Date or the applicable Option Closing Date, as the case may be, for the respective accounts of the several Underwriters, with any transfer taxes payable in connection with the transfer of the Shares to the Underwriters duly paid, against payment of the Purchase Price therefor.</w:t>
      </w:r>
    </w:p>
    <w:p>
      <w:pPr>
        <w:spacing w:after="0" w:line="187" w:lineRule="exact"/>
        <w:rPr>
          <w:sz w:val="20"/>
          <w:szCs w:val="20"/>
          <w:color w:val="auto"/>
        </w:rPr>
      </w:pPr>
    </w:p>
    <w:p>
      <w:pPr>
        <w:ind w:right="240" w:firstLine="436"/>
        <w:spacing w:after="0" w:line="311" w:lineRule="auto"/>
        <w:tabs>
          <w:tab w:leader="none" w:pos="755"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Conditions to the Underwriters’ Obligations</w:t>
      </w:r>
      <w:r>
        <w:rPr>
          <w:rFonts w:ascii="Arial" w:cs="Arial" w:eastAsia="Arial" w:hAnsi="Arial"/>
          <w:sz w:val="16"/>
          <w:szCs w:val="16"/>
          <w:color w:val="auto"/>
        </w:rPr>
        <w:t>. The obligations of the several Underwriters hereunder are subject to the accuracy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and warranties of the Company contained herein or in certificates of any officer of the Company delivered pursuant to the provisions hereof, to the performance by the Company of its covenants and other obligations hereunder, and to the following further conditions:</w:t>
      </w:r>
    </w:p>
    <w:p>
      <w:pPr>
        <w:spacing w:after="0" w:line="149" w:lineRule="exact"/>
        <w:rPr>
          <w:sz w:val="20"/>
          <w:szCs w:val="20"/>
          <w:color w:val="auto"/>
        </w:rPr>
      </w:pPr>
    </w:p>
    <w:p>
      <w:pPr>
        <w:ind w:right="100" w:firstLine="436"/>
        <w:spacing w:after="0" w:line="271" w:lineRule="auto"/>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Effectiveness of Registration Statement</w:t>
      </w:r>
      <w:r>
        <w:rPr>
          <w:rFonts w:ascii="Arial" w:cs="Arial" w:eastAsia="Arial" w:hAnsi="Arial"/>
          <w:sz w:val="17"/>
          <w:szCs w:val="17"/>
          <w:color w:val="auto"/>
        </w:rPr>
        <w:t>. The Registration Statement has become effective and, as of the Closing Date, no stop order</w:t>
      </w:r>
      <w:r>
        <w:rPr>
          <w:rFonts w:ascii="Arial" w:cs="Arial" w:eastAsia="Arial" w:hAnsi="Arial"/>
          <w:sz w:val="17"/>
          <w:szCs w:val="17"/>
          <w:i w:val="1"/>
          <w:iCs w:val="1"/>
          <w:color w:val="auto"/>
        </w:rPr>
        <w:t xml:space="preserve"> </w:t>
      </w:r>
      <w:r>
        <w:rPr>
          <w:rFonts w:ascii="Arial" w:cs="Arial" w:eastAsia="Arial" w:hAnsi="Arial"/>
          <w:sz w:val="17"/>
          <w:szCs w:val="17"/>
          <w:color w:val="auto"/>
        </w:rPr>
        <w:t>suspending the effectiveness of the Registration Statement or any post-effective amendment thereto has been issued under the Securities Act, no order preventing or suspending the use of any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to the reasonable satisfaction of counsel to the Underwriters. A prospectus containing the information omitted pursuant to Rule 430B under the Securities Act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w:t>
      </w:r>
    </w:p>
    <w:p>
      <w:pPr>
        <w:spacing w:after="0" w:line="178" w:lineRule="exact"/>
        <w:rPr>
          <w:rFonts w:ascii="Arial" w:cs="Arial" w:eastAsia="Arial" w:hAnsi="Arial"/>
          <w:sz w:val="17"/>
          <w:szCs w:val="17"/>
          <w:color w:val="auto"/>
        </w:rPr>
      </w:pPr>
    </w:p>
    <w:p>
      <w:pPr>
        <w:ind w:right="80" w:firstLine="436"/>
        <w:spacing w:after="0" w:line="263" w:lineRule="auto"/>
        <w:tabs>
          <w:tab w:leader="none" w:pos="83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Opinion of Counsel for Company</w:t>
      </w:r>
      <w:r>
        <w:rPr>
          <w:rFonts w:ascii="Arial" w:cs="Arial" w:eastAsia="Arial" w:hAnsi="Arial"/>
          <w:sz w:val="18"/>
          <w:szCs w:val="18"/>
          <w:color w:val="auto"/>
        </w:rPr>
        <w:t>. The Managers shall have received the opinion and negative assurance letter, each dated as of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Fenwick &amp; West LLP, counsel for the Company, in form and substance satisfactory to counsel for the Underwriters, together with signed or reproduced copies of such letter for each of the other Underwriters.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40" w:top="274" w:right="519" w:bottom="1440" w:gutter="0" w:footer="0" w:header="0"/>
        </w:sectPr>
      </w:pPr>
    </w:p>
    <w:bookmarkStart w:id="19" w:name="page20"/>
    <w:bookmarkEnd w:id="19"/>
    <w:p>
      <w:pPr>
        <w:ind w:left="-60" w:right="180" w:firstLine="436"/>
        <w:spacing w:after="0" w:line="263"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Opinion of Intellectual Property Counsel for the Company</w:t>
      </w:r>
      <w:r>
        <w:rPr>
          <w:rFonts w:ascii="Arial" w:cs="Arial" w:eastAsia="Arial" w:hAnsi="Arial"/>
          <w:sz w:val="18"/>
          <w:szCs w:val="18"/>
          <w:color w:val="auto"/>
        </w:rPr>
        <w:t>. The Managers shall have received the opinion, dated as of the Closing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Wilson, Sonsini, Goodrich &amp; Rosati, P.C., intellectual property counsel for the Company, in form and substance satisfactory to counsel for the Underwriters, together with signed or reproduced copies of such letter for each of the other Underwriters.</w:t>
      </w:r>
    </w:p>
    <w:p>
      <w:pPr>
        <w:spacing w:after="0" w:line="183" w:lineRule="exact"/>
        <w:rPr>
          <w:rFonts w:ascii="Arial" w:cs="Arial" w:eastAsia="Arial" w:hAnsi="Arial"/>
          <w:sz w:val="18"/>
          <w:szCs w:val="18"/>
          <w:color w:val="auto"/>
        </w:rPr>
      </w:pPr>
    </w:p>
    <w:p>
      <w:pPr>
        <w:ind w:left="-60" w:firstLine="436"/>
        <w:spacing w:after="0" w:line="254" w:lineRule="auto"/>
        <w:tabs>
          <w:tab w:leader="none" w:pos="77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 The Managers shall have received the opinion, and negative assurance letter, each dated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Date, of Latham &amp; Watkins LLP, counsel for the Underwriters, together with signed or reproduced copies of such letter for each of the other Underwriters with respect to such matters as the Managers may reasonably request.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Managers. Such counsel may also state that, insofar as such opinion involves factual matters, they have relied, to the extent they deem proper, upon certificates of officers and other representatives of the Company and certificates of public officials.</w:t>
      </w:r>
    </w:p>
    <w:p>
      <w:pPr>
        <w:spacing w:after="0" w:line="194" w:lineRule="exact"/>
        <w:rPr>
          <w:rFonts w:ascii="Arial" w:cs="Arial" w:eastAsia="Arial" w:hAnsi="Arial"/>
          <w:sz w:val="18"/>
          <w:szCs w:val="18"/>
          <w:color w:val="auto"/>
        </w:rPr>
      </w:pPr>
    </w:p>
    <w:p>
      <w:pPr>
        <w:ind w:left="-60" w:right="60" w:firstLine="436"/>
        <w:spacing w:after="0" w:line="289"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There shall not have been, since the date hereof or since the respective dates as of which information is given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or the Time of Sale Prospectus, any material adverse change in the condition, financial or otherwise, or in the earnings, business affairs or business prospects of the Company, whether or not arising in the ordinary course of business, and the Managers shall have received a certificate of the principal executive officer of the Company and of the principal financial officer of the Company, dated as of the Closing Date, to the effect that (i) there has been no such material adverse change, (ii) the representations and warranties of the Company in this Agreement are true and correct with the same force and effect as though expressly made as of the Closing Date, (iii) the Company has complied with all agreements and satisfied all conditions on its part to be performed or satisfied on or prior to the Closing Date, and (iv) no stop order suspending the effectiveness of the Registration Statement under the Securities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66" w:lineRule="exact"/>
        <w:rPr>
          <w:rFonts w:ascii="Arial" w:cs="Arial" w:eastAsia="Arial" w:hAnsi="Arial"/>
          <w:sz w:val="16"/>
          <w:szCs w:val="16"/>
          <w:color w:val="auto"/>
        </w:rPr>
      </w:pPr>
    </w:p>
    <w:p>
      <w:pPr>
        <w:ind w:left="-60" w:right="40" w:firstLine="436"/>
        <w:spacing w:after="0" w:line="301" w:lineRule="auto"/>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Accountant’s Comfort Letter</w:t>
      </w:r>
      <w:r>
        <w:rPr>
          <w:rFonts w:ascii="Arial" w:cs="Arial" w:eastAsia="Arial" w:hAnsi="Arial"/>
          <w:sz w:val="16"/>
          <w:szCs w:val="16"/>
          <w:color w:val="auto"/>
        </w:rPr>
        <w:t>. At the time of the execution of this Agreement, the Managers shall have received from Ernst &amp; Young LLP a</w:t>
      </w:r>
      <w:r>
        <w:rPr>
          <w:rFonts w:ascii="Arial" w:cs="Arial" w:eastAsia="Arial" w:hAnsi="Arial"/>
          <w:sz w:val="16"/>
          <w:szCs w:val="16"/>
          <w:i w:val="1"/>
          <w:iCs w:val="1"/>
          <w:color w:val="auto"/>
        </w:rPr>
        <w:t xml:space="preserve"> </w:t>
      </w:r>
      <w:r>
        <w:rPr>
          <w:rFonts w:ascii="Arial" w:cs="Arial" w:eastAsia="Arial" w:hAnsi="Arial"/>
          <w:sz w:val="16"/>
          <w:szCs w:val="16"/>
          <w:color w:val="auto"/>
        </w:rPr>
        <w:t>letter, dated such date, in form and substance satisfactory to the Managers,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and the Time of Sale Prospectus.</w:t>
      </w:r>
    </w:p>
    <w:p>
      <w:pPr>
        <w:spacing w:after="0" w:line="157" w:lineRule="exact"/>
        <w:rPr>
          <w:rFonts w:ascii="Arial" w:cs="Arial" w:eastAsia="Arial" w:hAnsi="Arial"/>
          <w:sz w:val="16"/>
          <w:szCs w:val="16"/>
          <w:color w:val="auto"/>
        </w:rPr>
      </w:pPr>
    </w:p>
    <w:p>
      <w:pPr>
        <w:jc w:val="both"/>
        <w:ind w:left="-60" w:right="120" w:firstLine="436"/>
        <w:spacing w:after="0" w:line="263" w:lineRule="auto"/>
        <w:tabs>
          <w:tab w:leader="none" w:pos="77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 The Managers shall have received from Ernst &amp; Young LLP a letter, dated as of the Closing Date, to the effect</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they reaffirm the statements made in the letter furnished pursuant to subsection (f) of this Section 5, except that the specified date referred to shall be a date not more than three business days prior to the Closing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500" w:top="274" w:right="499" w:bottom="1440" w:gutter="0" w:footer="0" w:header="0"/>
        </w:sectPr>
      </w:pPr>
    </w:p>
    <w:bookmarkStart w:id="20" w:name="page21"/>
    <w:bookmarkEnd w:id="20"/>
    <w:p>
      <w:pPr>
        <w:ind w:left="820" w:hanging="384"/>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Approval of Listing</w:t>
      </w:r>
      <w:r>
        <w:rPr>
          <w:rFonts w:ascii="Arial" w:cs="Arial" w:eastAsia="Arial" w:hAnsi="Arial"/>
          <w:sz w:val="17"/>
          <w:szCs w:val="17"/>
          <w:color w:val="auto"/>
        </w:rPr>
        <w:t>. The Shares shall have been approved for listing on The Nasdaq Global Market, subject only to official notice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issuance.</w:t>
      </w:r>
    </w:p>
    <w:p>
      <w:pPr>
        <w:spacing w:after="0" w:line="210" w:lineRule="exact"/>
        <w:rPr>
          <w:rFonts w:ascii="Arial" w:cs="Arial" w:eastAsia="Arial" w:hAnsi="Arial"/>
          <w:sz w:val="17"/>
          <w:szCs w:val="17"/>
          <w:color w:val="auto"/>
        </w:rPr>
      </w:pPr>
    </w:p>
    <w:p>
      <w:pPr>
        <w:jc w:val="both"/>
        <w:ind w:right="20" w:firstLine="436"/>
        <w:spacing w:after="0" w:line="263" w:lineRule="auto"/>
        <w:tabs>
          <w:tab w:leader="none" w:pos="79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 If any filing with FINRA under FINRA Rule 5110 is required with respect to the offering of the Shares, FINRA has confirmed</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has not raised any objection with respect to the fairness and reasonableness of the underwriting terms and arrangements relating to the offering of the Shares.</w:t>
      </w:r>
    </w:p>
    <w:p>
      <w:pPr>
        <w:spacing w:after="0" w:line="183" w:lineRule="exact"/>
        <w:rPr>
          <w:rFonts w:ascii="Arial" w:cs="Arial" w:eastAsia="Arial" w:hAnsi="Arial"/>
          <w:sz w:val="18"/>
          <w:szCs w:val="18"/>
          <w:color w:val="auto"/>
        </w:rPr>
      </w:pPr>
    </w:p>
    <w:p>
      <w:pPr>
        <w:ind w:right="320" w:firstLine="436"/>
        <w:spacing w:after="0" w:line="277" w:lineRule="auto"/>
        <w:tabs>
          <w:tab w:leader="none" w:pos="79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At the date of this Agreement, the Manager shall have received an agreement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signed by certain stockholders and all of the Company’s directors and executive officers.</w:t>
      </w:r>
    </w:p>
    <w:p>
      <w:pPr>
        <w:spacing w:after="0" w:line="170" w:lineRule="exact"/>
        <w:rPr>
          <w:rFonts w:ascii="Arial" w:cs="Arial" w:eastAsia="Arial" w:hAnsi="Arial"/>
          <w:sz w:val="18"/>
          <w:szCs w:val="18"/>
          <w:color w:val="auto"/>
        </w:rPr>
      </w:pPr>
    </w:p>
    <w:p>
      <w:pPr>
        <w:ind w:right="100" w:firstLine="436"/>
        <w:spacing w:after="0" w:line="259" w:lineRule="auto"/>
        <w:tabs>
          <w:tab w:leader="none" w:pos="83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Conditions to Purchase of Additional Shares</w:t>
      </w:r>
      <w:r>
        <w:rPr>
          <w:rFonts w:ascii="Arial" w:cs="Arial" w:eastAsia="Arial" w:hAnsi="Arial"/>
          <w:sz w:val="18"/>
          <w:szCs w:val="18"/>
          <w:color w:val="auto"/>
        </w:rPr>
        <w:t>. In the event that the Underwriters exercise their option provided in Section 2 hereof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all or any portion of the Additional Shares, the representations and warranties of the Company contained herein and the statements in any certificates furnished by the Company hereunder shall be true and correct as of each Option Closing Date and, on the relevant Option Closing Date, the Managers shall have received:</w:t>
      </w:r>
    </w:p>
    <w:p>
      <w:pPr>
        <w:spacing w:after="0" w:line="78" w:lineRule="exact"/>
        <w:rPr>
          <w:rFonts w:ascii="Arial" w:cs="Arial" w:eastAsia="Arial" w:hAnsi="Arial"/>
          <w:sz w:val="18"/>
          <w:szCs w:val="18"/>
          <w:color w:val="auto"/>
        </w:rPr>
      </w:pPr>
    </w:p>
    <w:p>
      <w:pPr>
        <w:ind w:left="440" w:right="240" w:firstLine="419"/>
        <w:spacing w:after="0" w:line="263" w:lineRule="auto"/>
        <w:tabs>
          <w:tab w:leader="none" w:pos="1213"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Officers’ Certificate</w:t>
      </w:r>
      <w:r>
        <w:rPr>
          <w:rFonts w:ascii="Arial" w:cs="Arial" w:eastAsia="Arial" w:hAnsi="Arial"/>
          <w:sz w:val="18"/>
          <w:szCs w:val="18"/>
          <w:color w:val="auto"/>
        </w:rPr>
        <w:t>. A certificate, dated such Option Closing Date, of the principal executive officer of the Company and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financial officer of the Company confirming that the certificate delivered on the Closing Date pursuant to Section 5(e) hereof remains true and correct as of such Option Closing Date.</w:t>
      </w:r>
    </w:p>
    <w:p>
      <w:pPr>
        <w:spacing w:after="0" w:line="75" w:lineRule="exact"/>
        <w:rPr>
          <w:rFonts w:ascii="Arial" w:cs="Arial" w:eastAsia="Arial" w:hAnsi="Arial"/>
          <w:sz w:val="18"/>
          <w:szCs w:val="18"/>
          <w:color w:val="auto"/>
        </w:rPr>
      </w:pPr>
    </w:p>
    <w:p>
      <w:pPr>
        <w:ind w:left="440" w:right="40" w:firstLine="419"/>
        <w:spacing w:after="0" w:line="259" w:lineRule="auto"/>
        <w:tabs>
          <w:tab w:leader="none" w:pos="1263"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Opinion of Counsel for Company</w:t>
      </w:r>
      <w:r>
        <w:rPr>
          <w:rFonts w:ascii="Arial" w:cs="Arial" w:eastAsia="Arial" w:hAnsi="Arial"/>
          <w:sz w:val="18"/>
          <w:szCs w:val="18"/>
          <w:color w:val="auto"/>
        </w:rPr>
        <w:t>. If requested by the Managers, the opinion and negative assurance letter, of Fenwick &amp; West LLP,</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for the Company, in form and substance reasonably satisfactory to counsel for the Underwriters, dated such Option Closing Date, relating to the Additional Shares to be purchased on such Option Closing Date and otherwise to the same effect as the opinion and negative assurance letter required by Section 5(b) hereof.</w:t>
      </w:r>
    </w:p>
    <w:p>
      <w:pPr>
        <w:spacing w:after="0" w:line="78" w:lineRule="exact"/>
        <w:rPr>
          <w:rFonts w:ascii="Arial" w:cs="Arial" w:eastAsia="Arial" w:hAnsi="Arial"/>
          <w:sz w:val="18"/>
          <w:szCs w:val="18"/>
          <w:color w:val="auto"/>
        </w:rPr>
      </w:pPr>
    </w:p>
    <w:p>
      <w:pPr>
        <w:jc w:val="both"/>
        <w:ind w:left="440" w:right="40" w:firstLine="419"/>
        <w:spacing w:after="0" w:line="263" w:lineRule="auto"/>
        <w:tabs>
          <w:tab w:leader="none" w:pos="1313"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Opinion of Intellectual Property Counsel for the Company</w:t>
      </w:r>
      <w:r>
        <w:rPr>
          <w:rFonts w:ascii="Arial" w:cs="Arial" w:eastAsia="Arial" w:hAnsi="Arial"/>
          <w:sz w:val="18"/>
          <w:szCs w:val="18"/>
          <w:color w:val="auto"/>
        </w:rPr>
        <w:t>. If requested by the Managers, the opinion of Wilson, Sonsini, Goodrich &amp;</w:t>
      </w:r>
      <w:r>
        <w:rPr>
          <w:rFonts w:ascii="Arial" w:cs="Arial" w:eastAsia="Arial" w:hAnsi="Arial"/>
          <w:sz w:val="18"/>
          <w:szCs w:val="18"/>
          <w:i w:val="1"/>
          <w:iCs w:val="1"/>
          <w:color w:val="auto"/>
        </w:rPr>
        <w:t xml:space="preserve"> </w:t>
      </w:r>
      <w:r>
        <w:rPr>
          <w:rFonts w:ascii="Arial" w:cs="Arial" w:eastAsia="Arial" w:hAnsi="Arial"/>
          <w:sz w:val="18"/>
          <w:szCs w:val="18"/>
          <w:color w:val="auto"/>
        </w:rPr>
        <w:t>Rosati, P.C., intellectual property counsel for the Company, in form and substance satisfactory to counsel for the Underwriters, dated such Option Closing Date, to the same effect as the opinion required by Section 5(c) hereof.</w:t>
      </w:r>
    </w:p>
    <w:p>
      <w:pPr>
        <w:spacing w:after="0" w:line="75" w:lineRule="exact"/>
        <w:rPr>
          <w:rFonts w:ascii="Arial" w:cs="Arial" w:eastAsia="Arial" w:hAnsi="Arial"/>
          <w:sz w:val="18"/>
          <w:szCs w:val="18"/>
          <w:color w:val="auto"/>
        </w:rPr>
      </w:pPr>
    </w:p>
    <w:p>
      <w:pPr>
        <w:ind w:left="440" w:firstLine="419"/>
        <w:spacing w:after="0" w:line="286" w:lineRule="auto"/>
        <w:tabs>
          <w:tab w:leader="none" w:pos="1303" w:val="left"/>
        </w:tabs>
        <w:numPr>
          <w:ilvl w:val="1"/>
          <w:numId w:val="25"/>
        </w:numPr>
        <w:rPr>
          <w:rFonts w:ascii="Arial" w:cs="Arial" w:eastAsia="Arial" w:hAnsi="Arial"/>
          <w:sz w:val="17"/>
          <w:szCs w:val="17"/>
          <w:color w:val="auto"/>
        </w:rPr>
      </w:pPr>
      <w:r>
        <w:rPr>
          <w:rFonts w:ascii="Arial" w:cs="Arial" w:eastAsia="Arial" w:hAnsi="Arial"/>
          <w:sz w:val="17"/>
          <w:szCs w:val="17"/>
          <w:i w:val="1"/>
          <w:iCs w:val="1"/>
          <w:color w:val="auto"/>
        </w:rPr>
        <w:t>Opinion of Counsel for Underwriters</w:t>
      </w:r>
      <w:r>
        <w:rPr>
          <w:rFonts w:ascii="Arial" w:cs="Arial" w:eastAsia="Arial" w:hAnsi="Arial"/>
          <w:sz w:val="17"/>
          <w:szCs w:val="17"/>
          <w:color w:val="auto"/>
        </w:rPr>
        <w:t>. If requested by the Managers, the opinion, and negative assurance letter, of Latham &amp; Watkins</w:t>
      </w:r>
      <w:r>
        <w:rPr>
          <w:rFonts w:ascii="Arial" w:cs="Arial" w:eastAsia="Arial" w:hAnsi="Arial"/>
          <w:sz w:val="17"/>
          <w:szCs w:val="17"/>
          <w:i w:val="1"/>
          <w:iCs w:val="1"/>
          <w:color w:val="auto"/>
        </w:rPr>
        <w:t xml:space="preserve"> </w:t>
      </w:r>
      <w:r>
        <w:rPr>
          <w:rFonts w:ascii="Arial" w:cs="Arial" w:eastAsia="Arial" w:hAnsi="Arial"/>
          <w:sz w:val="17"/>
          <w:szCs w:val="17"/>
          <w:color w:val="auto"/>
        </w:rPr>
        <w:t>LLP counsel for the Underwriters, each dated such Option Closing Date, relating to the Additional Shares to be purchased on such Option Closing Date and otherwise to the same effect as the opinion and negative assurance letter required by Section 5(d) hereof.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1" w:name="page22"/>
    <w:bookmarkEnd w:id="21"/>
    <w:p>
      <w:pPr>
        <w:ind w:left="380" w:right="100" w:firstLine="419"/>
        <w:spacing w:after="0" w:line="259" w:lineRule="auto"/>
        <w:tabs>
          <w:tab w:leader="none" w:pos="1193"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Bring-down Comfort Letter</w:t>
      </w:r>
      <w:r>
        <w:rPr>
          <w:rFonts w:ascii="Arial" w:cs="Arial" w:eastAsia="Arial" w:hAnsi="Arial"/>
          <w:sz w:val="18"/>
          <w:szCs w:val="18"/>
          <w:color w:val="auto"/>
        </w:rPr>
        <w:t>. If requested by the Managers, a letter from Ernst &amp; Young LLP, in form and substance satisfactory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Managers and dated such Option Closing Date, substantially in the same form and substance as the letter furnished to the Managers pursuant to Section 5(f), except that the “specified date” in the letter furnished pursuant to this paragraph shall be a date not more than three business days prior to such Option Closing Date.</w:t>
      </w:r>
    </w:p>
    <w:p>
      <w:pPr>
        <w:spacing w:after="0" w:line="186" w:lineRule="exact"/>
        <w:rPr>
          <w:rFonts w:ascii="Arial" w:cs="Arial" w:eastAsia="Arial" w:hAnsi="Arial"/>
          <w:sz w:val="18"/>
          <w:szCs w:val="18"/>
          <w:color w:val="auto"/>
        </w:rPr>
      </w:pPr>
    </w:p>
    <w:p>
      <w:pPr>
        <w:ind w:left="-60" w:right="60" w:firstLine="436"/>
        <w:spacing w:after="0" w:line="275" w:lineRule="auto"/>
        <w:tabs>
          <w:tab w:leader="none" w:pos="73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Additional Documents</w:t>
      </w:r>
      <w:r>
        <w:rPr>
          <w:rFonts w:ascii="Arial" w:cs="Arial" w:eastAsia="Arial" w:hAnsi="Arial"/>
          <w:sz w:val="17"/>
          <w:szCs w:val="17"/>
          <w:color w:val="auto"/>
        </w:rPr>
        <w:t>. On the Closing Date and each Option Closing Date (if any) counsel for the Underwriters shall have been furnished</w:t>
      </w:r>
      <w:r>
        <w:rPr>
          <w:rFonts w:ascii="Arial" w:cs="Arial" w:eastAsia="Arial" w:hAnsi="Arial"/>
          <w:sz w:val="17"/>
          <w:szCs w:val="17"/>
          <w:i w:val="1"/>
          <w:iCs w:val="1"/>
          <w:color w:val="auto"/>
        </w:rPr>
        <w:t xml:space="preserve"> </w:t>
      </w:r>
      <w:r>
        <w:rPr>
          <w:rFonts w:ascii="Arial" w:cs="Arial" w:eastAsia="Arial" w:hAnsi="Arial"/>
          <w:sz w:val="17"/>
          <w:szCs w:val="17"/>
          <w:color w:val="auto"/>
        </w:rPr>
        <w:t>with such documents and opinions as they may reasonably require for the purpose of enabling them to pass upon the issuance and sale of the Shares as herein contemplated, or in order to evidence the accuracy of any of the representations or warranties, or the fulfillment of any of the conditions, herein contained; and all proceedings taken by the Company in connection with the issuance and sale of the Shares as herein contemplated shall be reasonably satisfactory in form and substance to the Managers and counsel for the Underwriters.</w:t>
      </w:r>
    </w:p>
    <w:p>
      <w:pPr>
        <w:spacing w:after="0" w:line="176" w:lineRule="exact"/>
        <w:rPr>
          <w:sz w:val="20"/>
          <w:szCs w:val="20"/>
          <w:color w:val="auto"/>
        </w:rPr>
      </w:pPr>
    </w:p>
    <w:p>
      <w:pPr>
        <w:ind w:left="380"/>
        <w:spacing w:after="0"/>
        <w:tabs>
          <w:tab w:leader="none" w:pos="6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i w:val="1"/>
          <w:iCs w:val="1"/>
          <w:color w:val="auto"/>
        </w:rPr>
        <w:t>Covenants of the Company</w:t>
      </w:r>
      <w:r>
        <w:rPr>
          <w:rFonts w:ascii="Arial" w:cs="Arial" w:eastAsia="Arial" w:hAnsi="Arial"/>
          <w:sz w:val="16"/>
          <w:szCs w:val="16"/>
          <w:color w:val="auto"/>
        </w:rPr>
        <w:t>. The Company covenants with each Underwriter as follows:</w:t>
      </w:r>
    </w:p>
    <w:p>
      <w:pPr>
        <w:spacing w:after="0" w:line="225" w:lineRule="exact"/>
        <w:rPr>
          <w:sz w:val="20"/>
          <w:szCs w:val="20"/>
          <w:color w:val="auto"/>
        </w:rPr>
      </w:pPr>
    </w:p>
    <w:p>
      <w:pPr>
        <w:ind w:left="-60" w:firstLine="436"/>
        <w:spacing w:after="0" w:line="259" w:lineRule="auto"/>
        <w:tabs>
          <w:tab w:leader="none" w:pos="75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furnish to the Managers, without charge, a signed copy of the Registration Statement (including exhibits thereto and documents incorporated by reference therein) and to deliver to each of the Underwriters during the period mentioned in Section 6(e) or 6(f) below, as many copies of the Time of Sale Prospectus, the Prospectus, any documents incorporated by reference therein and any supplements and amendments thereto or to the Registration Statement as the Managers may reasonably request.</w:t>
      </w:r>
    </w:p>
    <w:p>
      <w:pPr>
        <w:spacing w:after="0" w:line="186" w:lineRule="exact"/>
        <w:rPr>
          <w:rFonts w:ascii="Arial" w:cs="Arial" w:eastAsia="Arial" w:hAnsi="Arial"/>
          <w:sz w:val="18"/>
          <w:szCs w:val="18"/>
          <w:color w:val="auto"/>
        </w:rPr>
      </w:pPr>
    </w:p>
    <w:p>
      <w:pPr>
        <w:jc w:val="both"/>
        <w:ind w:left="-60" w:right="120" w:firstLine="436"/>
        <w:spacing w:after="0" w:line="263" w:lineRule="auto"/>
        <w:tabs>
          <w:tab w:leader="none" w:pos="7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to the Managers a copy of each such proposed amendment or supplement and not to file any such proposed amendment or supplement to which the Managers reasonably object.</w:t>
      </w:r>
    </w:p>
    <w:p>
      <w:pPr>
        <w:spacing w:after="0" w:line="183" w:lineRule="exact"/>
        <w:rPr>
          <w:rFonts w:ascii="Arial" w:cs="Arial" w:eastAsia="Arial" w:hAnsi="Arial"/>
          <w:sz w:val="18"/>
          <w:szCs w:val="18"/>
          <w:color w:val="auto"/>
        </w:rPr>
      </w:pPr>
    </w:p>
    <w:p>
      <w:pPr>
        <w:ind w:left="-60" w:right="140" w:firstLine="436"/>
        <w:spacing w:after="0" w:line="277" w:lineRule="auto"/>
        <w:tabs>
          <w:tab w:leader="none" w:pos="75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furnish to the Managers a copy of each proposed free writing prospectus to be prepared by or on behalf of, used by, or referred to by the Company and not to use or refer to any proposed free writing prospectus to which the Managers reasonably object.</w:t>
      </w:r>
    </w:p>
    <w:p>
      <w:pPr>
        <w:spacing w:after="0" w:line="170" w:lineRule="exact"/>
        <w:rPr>
          <w:rFonts w:ascii="Arial" w:cs="Arial" w:eastAsia="Arial" w:hAnsi="Arial"/>
          <w:sz w:val="18"/>
          <w:szCs w:val="18"/>
          <w:color w:val="auto"/>
        </w:rPr>
      </w:pPr>
    </w:p>
    <w:p>
      <w:pPr>
        <w:ind w:left="-60" w:right="280" w:firstLine="436"/>
        <w:spacing w:after="0" w:line="263" w:lineRule="auto"/>
        <w:tabs>
          <w:tab w:leader="none" w:pos="7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83" w:lineRule="exact"/>
        <w:rPr>
          <w:rFonts w:ascii="Arial" w:cs="Arial" w:eastAsia="Arial" w:hAnsi="Arial"/>
          <w:sz w:val="18"/>
          <w:szCs w:val="18"/>
          <w:color w:val="auto"/>
        </w:rPr>
      </w:pPr>
    </w:p>
    <w:p>
      <w:pPr>
        <w:ind w:left="-60" w:right="340" w:firstLine="436"/>
        <w:spacing w:after="0" w:line="311"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500" w:top="274" w:right="499" w:bottom="1440" w:gutter="0" w:footer="0" w:header="0"/>
        </w:sectPr>
      </w:pPr>
    </w:p>
    <w:bookmarkStart w:id="22" w:name="page23"/>
    <w:bookmarkEnd w:id="22"/>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95" w:lineRule="exact"/>
        <w:rPr>
          <w:sz w:val="20"/>
          <w:szCs w:val="20"/>
          <w:color w:val="auto"/>
        </w:rPr>
      </w:pPr>
    </w:p>
    <w:p>
      <w:pPr>
        <w:ind w:firstLine="436"/>
        <w:spacing w:after="0" w:line="288" w:lineRule="auto"/>
        <w:tabs>
          <w:tab w:leader="none" w:pos="8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Managers will furnish to the Company) to which Shares may have been sold by the Managers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68" w:lineRule="exact"/>
        <w:rPr>
          <w:rFonts w:ascii="Arial" w:cs="Arial" w:eastAsia="Arial" w:hAnsi="Arial"/>
          <w:sz w:val="16"/>
          <w:szCs w:val="16"/>
          <w:color w:val="auto"/>
        </w:rPr>
      </w:pPr>
    </w:p>
    <w:p>
      <w:pPr>
        <w:ind w:right="660" w:firstLine="436"/>
        <w:spacing w:after="0" w:line="277" w:lineRule="auto"/>
        <w:tabs>
          <w:tab w:leader="none" w:pos="8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endeavor to qualify the Shares for offer and sale under the securities or Blue Sky laws of such jurisdictions as the Managers shall reasonably request.</w:t>
      </w:r>
    </w:p>
    <w:p>
      <w:pPr>
        <w:spacing w:after="0" w:line="170" w:lineRule="exact"/>
        <w:rPr>
          <w:rFonts w:ascii="Arial" w:cs="Arial" w:eastAsia="Arial" w:hAnsi="Arial"/>
          <w:sz w:val="18"/>
          <w:szCs w:val="18"/>
          <w:color w:val="auto"/>
        </w:rPr>
      </w:pPr>
    </w:p>
    <w:p>
      <w:pPr>
        <w:ind w:right="60" w:firstLine="436"/>
        <w:spacing w:after="0" w:line="286" w:lineRule="auto"/>
        <w:tabs>
          <w:tab w:leader="none" w:pos="827"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and to the Managers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65" w:lineRule="exact"/>
        <w:rPr>
          <w:rFonts w:ascii="Arial" w:cs="Arial" w:eastAsia="Arial" w:hAnsi="Arial"/>
          <w:sz w:val="17"/>
          <w:szCs w:val="17"/>
          <w:color w:val="auto"/>
        </w:rPr>
      </w:pPr>
    </w:p>
    <w:p>
      <w:pPr>
        <w:ind w:right="40" w:firstLine="436"/>
        <w:spacing w:after="0" w:line="301" w:lineRule="auto"/>
        <w:tabs>
          <w:tab w:leader="none" w:pos="787" w:val="left"/>
        </w:tabs>
        <w:numPr>
          <w:ilvl w:val="0"/>
          <w:numId w:val="29"/>
        </w:numPr>
        <w:rPr>
          <w:rFonts w:ascii="Arial" w:cs="Arial" w:eastAsia="Arial" w:hAnsi="Arial"/>
          <w:sz w:val="16"/>
          <w:szCs w:val="16"/>
          <w:color w:val="auto"/>
        </w:rPr>
      </w:pPr>
      <w:r>
        <w:rPr>
          <w:rFonts w:ascii="Arial" w:cs="Arial" w:eastAsia="Arial" w:hAnsi="Arial"/>
          <w:sz w:val="16"/>
          <w:szCs w:val="16"/>
          <w:color w:val="auto"/>
        </w:rPr>
        <w:t>Whether or not the transactions contemplated in this Agreement are consummated or this Agreement is terminated, to pay or cause to be paid all expenses incident to the performance of its obligations under this Agreement, including: (i) the preparation, printing and filing of the Registration Statement (including financial statements and exhibits) as originally filed and each amendment thereto, (ii) the preparation, printing and delivery to the Underwriters of copies of each preliminary prospectus, each free writing prospectus and the Prospectus and any amendments or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3" w:name="page24"/>
    <w:bookmarkEnd w:id="23"/>
    <w:p>
      <w:pPr>
        <w:ind w:left="4" w:right="1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supplements thereto and any costs associated with electronic delivery of any of the foregoing by the Underwriters to investors, (iii) the preparation, issuance and delivery of the certificates, if any, for the Shares to the Underwriters, including any stock or other transfer taxes and any stamp or other duties payable upon the sale, issuance or delivery of the Shares to the Underwriters, (iv) the fees and disbursements of the Company’s counsel, accountants and other advisors, (v) the qualification of the Shares under securities laws in accordance with the provisions of Section 6(g) hereof, including filing fees and the reasonable and documented fees and disbursements of counsel for the Underwriters in connection therewith and in connection with the preparation of a “Blue Sky Survey” and any supplement thereto (up to a maximum aggregate amount of $2,500 for the reasonable and documented fees and disbursements of counsel for the Underwriters), (vi) the fees and expenses of any transfer agent or registrar for the Shares,</w:t>
      </w:r>
    </w:p>
    <w:p>
      <w:pPr>
        <w:spacing w:after="0" w:line="2" w:lineRule="exact"/>
        <w:rPr>
          <w:sz w:val="20"/>
          <w:szCs w:val="20"/>
          <w:color w:val="auto"/>
        </w:rPr>
      </w:pPr>
    </w:p>
    <w:p>
      <w:pPr>
        <w:ind w:left="4" w:hanging="4"/>
        <w:spacing w:after="0" w:line="281" w:lineRule="auto"/>
        <w:tabs>
          <w:tab w:leader="none" w:pos="359"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costs and expenses of the Company relating to investor presentations on any “road show” undertaken in connection with the marketing of the Shares, including without limitation, expenses associated with the production of road show slides and graphics, fees and expenses of any consultants engaged by the Company in connection with the road show presentations, travel and lodging expenses of the representatives and officers of the Company and any such consultants, and one-half of the cost of aircraft and other transportation chartered in connection with the road show, (viii) the filing fees incident to, and the reasonable and documented fees and disbursements of counsel to the Underwriters in connection with, the review by FINRA of the terms of the sale of the Shares (up to a maximum aggregate amount of $15,000 for the reasonable and documented fees and disbursements of counsel for the Underwriters), (ix) the fees and expenses incurred in connection with the listing of the Shares on The Nasdaq Global Market, and</w:t>
      </w:r>
    </w:p>
    <w:p>
      <w:pPr>
        <w:spacing w:after="0" w:line="4" w:lineRule="exact"/>
        <w:rPr>
          <w:rFonts w:ascii="Arial" w:cs="Arial" w:eastAsia="Arial" w:hAnsi="Arial"/>
          <w:sz w:val="16"/>
          <w:szCs w:val="16"/>
          <w:color w:val="auto"/>
        </w:rPr>
      </w:pPr>
    </w:p>
    <w:p>
      <w:pPr>
        <w:ind w:left="4" w:right="40" w:hanging="4"/>
        <w:spacing w:after="0" w:line="273" w:lineRule="auto"/>
        <w:tabs>
          <w:tab w:leader="none" w:pos="25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176" w:lineRule="exact"/>
        <w:rPr>
          <w:rFonts w:ascii="Arial" w:cs="Arial" w:eastAsia="Arial" w:hAnsi="Arial"/>
          <w:sz w:val="17"/>
          <w:szCs w:val="17"/>
          <w:color w:val="auto"/>
        </w:rPr>
      </w:pPr>
    </w:p>
    <w:p>
      <w:pPr>
        <w:ind w:left="4" w:right="100" w:firstLine="436"/>
        <w:spacing w:after="0" w:line="259" w:lineRule="auto"/>
        <w:tabs>
          <w:tab w:leader="none" w:pos="7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the third anniversary of the initial effective date of the Registration Statement occurs before all the Shares have been sold by the Underwriters, prior to the third anniversary to file a new shelf registration statement and to take any other action necessary to permit the public offering of the Shares to continue without interruption; references herein to the Registration Statement shall include the new registration statement declared effective by the Commission or which goes effective automatically upon filing.</w:t>
      </w:r>
    </w:p>
    <w:p>
      <w:pPr>
        <w:spacing w:after="0" w:line="186" w:lineRule="exact"/>
        <w:rPr>
          <w:rFonts w:ascii="Arial" w:cs="Arial" w:eastAsia="Arial" w:hAnsi="Arial"/>
          <w:sz w:val="18"/>
          <w:szCs w:val="18"/>
          <w:color w:val="auto"/>
        </w:rPr>
      </w:pPr>
    </w:p>
    <w:p>
      <w:pPr>
        <w:jc w:val="both"/>
        <w:ind w:left="4" w:right="140" w:firstLine="436"/>
        <w:spacing w:after="0" w:line="286" w:lineRule="auto"/>
        <w:tabs>
          <w:tab w:leader="none" w:pos="834" w:val="left"/>
        </w:tabs>
        <w:numPr>
          <w:ilvl w:val="1"/>
          <w:numId w:val="31"/>
        </w:numPr>
        <w:rPr>
          <w:rFonts w:ascii="Arial" w:cs="Arial" w:eastAsia="Arial" w:hAnsi="Arial"/>
          <w:sz w:val="17"/>
          <w:szCs w:val="17"/>
          <w:color w:val="auto"/>
        </w:rPr>
      </w:pPr>
      <w:r>
        <w:rPr>
          <w:rFonts w:ascii="Arial" w:cs="Arial" w:eastAsia="Arial" w:hAnsi="Arial"/>
          <w:sz w:val="17"/>
          <w:szCs w:val="17"/>
          <w:color w:val="auto"/>
        </w:rPr>
        <w:t>If requested by the Managers, to prepare a final term sheet relating to the offering of the Shares, containing only information that describes the final terms of the offering in a form consented to by the Managers, and to file such final term sheet within the period required by Rule 433(d)(5)(ii) under the Securities Act following the date the final terms have been established for the offering of the Shares.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24" w:name="page25"/>
    <w:bookmarkEnd w:id="24"/>
    <w:p>
      <w:pPr>
        <w:ind w:left="4" w:right="420" w:firstLine="436"/>
        <w:spacing w:after="0" w:line="259" w:lineRule="auto"/>
        <w:tabs>
          <w:tab w:leader="none" w:pos="794"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requested by the Managers, 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6" w:lineRule="exact"/>
        <w:rPr>
          <w:rFonts w:ascii="Arial" w:cs="Arial" w:eastAsia="Arial" w:hAnsi="Arial"/>
          <w:sz w:val="18"/>
          <w:szCs w:val="18"/>
          <w:color w:val="auto"/>
        </w:rPr>
      </w:pPr>
    </w:p>
    <w:p>
      <w:pPr>
        <w:ind w:left="4" w:right="440" w:firstLine="436"/>
        <w:spacing w:after="0" w:line="277" w:lineRule="auto"/>
        <w:tabs>
          <w:tab w:leader="none" w:pos="88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will use the net proceeds received by it from the sale of the Shares in all material respects in the manner specified in the Registration Statement and the Time of Sale Prospectus under the heading “Use of Proceeds.”</w:t>
      </w:r>
    </w:p>
    <w:p>
      <w:pPr>
        <w:spacing w:after="0" w:line="170" w:lineRule="exact"/>
        <w:rPr>
          <w:sz w:val="20"/>
          <w:szCs w:val="20"/>
          <w:color w:val="auto"/>
        </w:rPr>
      </w:pPr>
    </w:p>
    <w:p>
      <w:pPr>
        <w:ind w:left="4" w:firstLine="440"/>
        <w:spacing w:after="0" w:line="282" w:lineRule="auto"/>
        <w:rPr>
          <w:sz w:val="20"/>
          <w:szCs w:val="20"/>
          <w:color w:val="auto"/>
        </w:rPr>
      </w:pPr>
      <w:r>
        <w:rPr>
          <w:rFonts w:ascii="Arial" w:cs="Arial" w:eastAsia="Arial" w:hAnsi="Arial"/>
          <w:sz w:val="16"/>
          <w:szCs w:val="16"/>
          <w:color w:val="auto"/>
        </w:rPr>
        <w:t>The Company also covenants with each Underwriter that, without the prior written consent of the Managers identified in Schedule I with the authorization to release this lock-up on behalf of the Underwriters, it will not, during the restricted period set forth in Schedule I hereto (the “</w:t>
      </w:r>
      <w:r>
        <w:rPr>
          <w:rFonts w:ascii="Arial" w:cs="Arial" w:eastAsia="Arial" w:hAnsi="Arial"/>
          <w:sz w:val="16"/>
          <w:szCs w:val="16"/>
          <w:b w:val="1"/>
          <w:bCs w:val="1"/>
          <w:color w:val="auto"/>
        </w:rPr>
        <w:t>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(1) offer, pledge, sell, contract to sell, sell any option or contract to purchase, purchase any option or contract to sell, grant any option, right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The foregoing sentence shall not apply to (a) the Shares to be sold hereunder, (b) the issuance by the Company of shares of Common Stock upon the exercise of an option or warrant or the conversion of a security outstanding on the date hereof of which the Underwriters have been advised in writing, (c) any shares of Common Stock issued or options to purchase Common Stock or restricted stock units granted pursuant to existing employee benefit plans of the Company referred to in the Registration Statement or the Time of Sale Prospectus; (d) any shares of Common Stock issued pursuant to any existing non-employee director stock plan or dividend reinvestment plan referred to in the Registration Statement and the Time of Sale Prospectus; (e) the sale or issuance of or entry into an agreement providing for the issuance of shares of Common Stock or any security convertible into or exercisable for shares of Common Stock in connection with the acquisition by the Company of the securities, business or assets of another person or entity or pursuant to an employee benefit plan assumed by the Company in connection with such acquisition, or in connection with joint ventures, commercial relationships or other strategic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number of shares of Common Stock that the Company may sell or issue or agree to sell or issue pursuant to this clause (e) shall not exceed 5% of the total number of shares of Common Stock issued and outstanding immediately following the completion of the transactions contemplated by this Agreement, and provided further, that the Company shall cause each recipient of such shares or other securities to execute and deliver to the Managers, on or prior to such issuance, a lock-up agreement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w:t>
      </w:r>
    </w:p>
    <w:p>
      <w:pPr>
        <w:spacing w:after="0" w:line="11" w:lineRule="exact"/>
        <w:rPr>
          <w:sz w:val="20"/>
          <w:szCs w:val="20"/>
          <w:color w:val="auto"/>
        </w:rPr>
      </w:pPr>
    </w:p>
    <w:p>
      <w:pPr>
        <w:ind w:left="5424" w:right="3800" w:hanging="5424"/>
        <w:spacing w:after="0" w:line="433" w:lineRule="auto"/>
        <w:tabs>
          <w:tab w:leader="none" w:pos="2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filing of any registration statement on Form S-8 relating to securities granted or to be granted 21</w:t>
      </w:r>
    </w:p>
    <w:p>
      <w:pPr>
        <w:sectPr>
          <w:pgSz w:w="11900" w:h="16838" w:orient="portrait"/>
          <w:cols w:equalWidth="0" w:num="1">
            <w:col w:w="11004"/>
          </w:cols>
          <w:pgMar w:left="436" w:top="274" w:right="459" w:bottom="1440" w:gutter="0" w:footer="0" w:header="0"/>
        </w:sectPr>
      </w:pPr>
    </w:p>
    <w:bookmarkStart w:id="25" w:name="page26"/>
    <w:bookmarkEnd w:id="2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to existing employee benefit plans of the Company referred to in the Registration Statement and the Time of Sale Prospectus; or</w:t>
      </w:r>
    </w:p>
    <w:p>
      <w:pPr>
        <w:spacing w:after="0" w:line="23" w:lineRule="exact"/>
        <w:rPr>
          <w:sz w:val="20"/>
          <w:szCs w:val="20"/>
          <w:color w:val="auto"/>
        </w:rPr>
      </w:pPr>
    </w:p>
    <w:p>
      <w:pPr>
        <w:ind w:left="4" w:right="160" w:hanging="4"/>
        <w:spacing w:after="0" w:line="295" w:lineRule="auto"/>
        <w:tabs>
          <w:tab w:leader="none" w:pos="259" w:val="left"/>
        </w:tabs>
        <w:numPr>
          <w:ilvl w:val="0"/>
          <w:numId w:val="34"/>
        </w:numPr>
        <w:rPr>
          <w:rFonts w:ascii="Arial" w:cs="Arial" w:eastAsia="Arial" w:hAnsi="Arial"/>
          <w:sz w:val="16"/>
          <w:szCs w:val="16"/>
          <w:color w:val="auto"/>
        </w:rPr>
      </w:pPr>
      <w:r>
        <w:rPr>
          <w:rFonts w:ascii="Arial" w:cs="Arial" w:eastAsia="Arial" w:hAnsi="Arial"/>
          <w:sz w:val="16"/>
          <w:szCs w:val="16"/>
          <w:color w:val="auto"/>
        </w:rPr>
        <w:t>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161" w:lineRule="exact"/>
        <w:rPr>
          <w:rFonts w:ascii="Arial" w:cs="Arial" w:eastAsia="Arial" w:hAnsi="Arial"/>
          <w:sz w:val="16"/>
          <w:szCs w:val="16"/>
          <w:color w:val="auto"/>
        </w:rPr>
      </w:pPr>
    </w:p>
    <w:p>
      <w:pPr>
        <w:ind w:left="4" w:right="340" w:firstLine="436"/>
        <w:spacing w:after="0" w:line="286" w:lineRule="auto"/>
        <w:tabs>
          <w:tab w:leader="none" w:pos="759" w:val="left"/>
        </w:tabs>
        <w:numPr>
          <w:ilvl w:val="1"/>
          <w:numId w:val="34"/>
        </w:numPr>
        <w:rPr>
          <w:rFonts w:ascii="Arial" w:cs="Arial" w:eastAsia="Arial" w:hAnsi="Arial"/>
          <w:sz w:val="17"/>
          <w:szCs w:val="17"/>
          <w:color w:val="auto"/>
        </w:rPr>
      </w:pPr>
      <w:r>
        <w:rPr>
          <w:rFonts w:ascii="Arial" w:cs="Arial" w:eastAsia="Arial" w:hAnsi="Arial"/>
          <w:sz w:val="17"/>
          <w:szCs w:val="17"/>
          <w:i w:val="1"/>
          <w:iCs w:val="1"/>
          <w:color w:val="auto"/>
        </w:rPr>
        <w:t>Covenants of the Underwriters</w:t>
      </w:r>
      <w:r>
        <w:rPr>
          <w:rFonts w:ascii="Arial" w:cs="Arial" w:eastAsia="Arial" w:hAnsi="Arial"/>
          <w:sz w:val="17"/>
          <w:szCs w:val="17"/>
          <w:color w:val="auto"/>
        </w:rPr>
        <w:t>. Each Underwriter severally covenants with the Company not to take any action that would result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65" w:lineRule="exact"/>
        <w:rPr>
          <w:rFonts w:ascii="Arial" w:cs="Arial" w:eastAsia="Arial" w:hAnsi="Arial"/>
          <w:sz w:val="17"/>
          <w:szCs w:val="17"/>
          <w:color w:val="auto"/>
        </w:rPr>
      </w:pPr>
    </w:p>
    <w:p>
      <w:pPr>
        <w:ind w:left="4" w:firstLine="436"/>
        <w:spacing w:after="0" w:line="269" w:lineRule="auto"/>
        <w:tabs>
          <w:tab w:leader="none" w:pos="759" w:val="left"/>
        </w:tabs>
        <w:numPr>
          <w:ilvl w:val="1"/>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Indemnity and Contribution. </w:t>
      </w:r>
      <w:r>
        <w:rPr>
          <w:rFonts w:ascii="Arial" w:cs="Arial" w:eastAsia="Arial" w:hAnsi="Arial"/>
          <w:sz w:val="17"/>
          <w:szCs w:val="17"/>
          <w:color w:val="auto"/>
        </w:rPr>
        <w:t>(a) The Company agrees to indemnify and hold harmless each Underwriter, each person, if any, who controls any</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Arial" w:cs="Arial" w:eastAsia="Arial" w:hAnsi="Arial"/>
          <w:sz w:val="17"/>
          <w:szCs w:val="17"/>
          <w:b w:val="1"/>
          <w:bCs w:val="1"/>
          <w:color w:val="auto"/>
        </w:rPr>
        <w:t>road show</w:t>
      </w:r>
      <w:r>
        <w:rPr>
          <w:rFonts w:ascii="Arial" w:cs="Arial" w:eastAsia="Arial" w:hAnsi="Arial"/>
          <w:sz w:val="17"/>
          <w:szCs w:val="17"/>
          <w:color w:val="auto"/>
        </w:rPr>
        <w:t>”), or the Prospectus or any amendment or supplement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the Underwriter Information.</w:t>
      </w:r>
    </w:p>
    <w:p>
      <w:pPr>
        <w:spacing w:after="0" w:line="182" w:lineRule="exact"/>
        <w:rPr>
          <w:sz w:val="20"/>
          <w:szCs w:val="20"/>
          <w:color w:val="auto"/>
        </w:rPr>
      </w:pPr>
    </w:p>
    <w:p>
      <w:pPr>
        <w:ind w:left="4" w:right="20" w:firstLine="436"/>
        <w:spacing w:after="0" w:line="290" w:lineRule="auto"/>
        <w:tabs>
          <w:tab w:leader="none" w:pos="834"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the written information furnished to the Company by such Underwriter through the Managers expressly for use in the Registration Statement, any preliminary prospectus, the Time of Sale Prospectus, any issuer free writing prospectus, road show, or the Prospectus or any amendment or supplement thereto (such information, the “</w:t>
      </w:r>
      <w:r>
        <w:rPr>
          <w:rFonts w:ascii="Arial" w:cs="Arial" w:eastAsia="Arial" w:hAnsi="Arial"/>
          <w:sz w:val="16"/>
          <w:szCs w:val="16"/>
          <w:b w:val="1"/>
          <w:bCs w:val="1"/>
          <w:color w:val="auto"/>
        </w:rPr>
        <w:t>Underwriter Information</w:t>
      </w:r>
      <w:r>
        <w:rPr>
          <w:rFonts w:ascii="Arial" w:cs="Arial" w:eastAsia="Arial" w:hAnsi="Arial"/>
          <w:sz w:val="16"/>
          <w:szCs w:val="16"/>
          <w:color w:val="auto"/>
        </w:rPr>
        <w:t>”); it being understood and agreed upon that the only such information furnished by any Underwriter consists of the following information in the Prospectus furnished on behalf of each Underwriter: the concession figure appearing in the fifth paragraph under the caption “Underwriting”, and the information contained in the ninth, tenth and eleventh paragraphs under the caption “Underwriting.”</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26" w:name="page27"/>
    <w:bookmarkEnd w:id="26"/>
    <w:p>
      <w:pPr>
        <w:ind w:left="-60" w:firstLine="436"/>
        <w:spacing w:after="0" w:line="284"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case any proceeding (including any governmental investigation) shall be instituted involving any person in respect of which indemnity may be sought pursuant to Section 8(a)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Managers authorized to appoint counsel under this Section set forth in Schedule I hereto,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76" w:lineRule="exact"/>
        <w:rPr>
          <w:rFonts w:ascii="Arial" w:cs="Arial" w:eastAsia="Arial" w:hAnsi="Arial"/>
          <w:sz w:val="16"/>
          <w:szCs w:val="16"/>
          <w:color w:val="auto"/>
        </w:rPr>
      </w:pPr>
    </w:p>
    <w:p>
      <w:pPr>
        <w:ind w:left="-60" w:right="100" w:firstLine="436"/>
        <w:spacing w:after="0" w:line="277" w:lineRule="auto"/>
        <w:tabs>
          <w:tab w:leader="none" w:pos="7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the extent the indemnification provided for in Section 8(a) or 8(b) is unavailable to an indemnified party or insufficient in respect of any losses, claims, damages or liabilities referred to therein, then each indemnifying party under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500" w:top="274" w:right="499" w:bottom="1440" w:gutter="0" w:footer="0" w:header="0"/>
        </w:sectPr>
      </w:pPr>
    </w:p>
    <w:bookmarkStart w:id="27" w:name="page28"/>
    <w:bookmarkEnd w:id="2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bear to the aggregate initial public offering price of the Shares set forth in the Prospectus.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184" w:lineRule="exact"/>
        <w:rPr>
          <w:sz w:val="20"/>
          <w:szCs w:val="20"/>
          <w:color w:val="auto"/>
        </w:rPr>
      </w:pPr>
    </w:p>
    <w:p>
      <w:pPr>
        <w:ind w:right="20" w:firstLine="436"/>
        <w:spacing w:after="0" w:line="269" w:lineRule="auto"/>
        <w:tabs>
          <w:tab w:leader="none" w:pos="817"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The Company and the Underwriters agree that it would not be just or equitable if contribution pursuant to this Section 8 were determined by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allocation (even if the Underwriters were treated as one entity for such purpose) or by any other method of allocation that does not take account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81" w:lineRule="exact"/>
        <w:rPr>
          <w:rFonts w:ascii="Arial" w:cs="Arial" w:eastAsia="Arial" w:hAnsi="Arial"/>
          <w:sz w:val="17"/>
          <w:szCs w:val="17"/>
          <w:color w:val="auto"/>
        </w:rPr>
      </w:pPr>
    </w:p>
    <w:p>
      <w:pPr>
        <w:ind w:right="640" w:firstLine="436"/>
        <w:spacing w:after="0" w:line="277" w:lineRule="auto"/>
        <w:tabs>
          <w:tab w:leader="none" w:pos="79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indemnity and contribution provisions contained in this Section 8 and the representations, warranties and other statements of the Company contained in this Agreement shall remain operative and in full force and effect regardless of (i) 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8" w:name="page29"/>
    <w:bookmarkEnd w:id="28"/>
    <w:p>
      <w:pPr>
        <w:jc w:val="both"/>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184" w:lineRule="exact"/>
        <w:rPr>
          <w:sz w:val="20"/>
          <w:szCs w:val="20"/>
          <w:color w:val="auto"/>
        </w:rPr>
      </w:pPr>
    </w:p>
    <w:p>
      <w:pPr>
        <w:ind w:left="4" w:right="40" w:firstLine="436"/>
        <w:spacing w:after="0" w:line="285" w:lineRule="auto"/>
        <w:tabs>
          <w:tab w:leader="none" w:pos="759"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the Managers to the Company, if after the execution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this Agreement and prior to the Closing Date (i) trading generally shall have been suspended or materially limited on, or by, as the case may be, any of the New York Stock Exchange, the NYSE MKT, or The Nasdaq Global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w:t>
      </w:r>
    </w:p>
    <w:p>
      <w:pPr>
        <w:spacing w:after="0" w:line="1" w:lineRule="exact"/>
        <w:rPr>
          <w:rFonts w:ascii="Arial" w:cs="Arial" w:eastAsia="Arial" w:hAnsi="Arial"/>
          <w:sz w:val="16"/>
          <w:szCs w:val="16"/>
          <w:color w:val="auto"/>
        </w:rPr>
      </w:pPr>
    </w:p>
    <w:p>
      <w:pPr>
        <w:ind w:left="4" w:hanging="4"/>
        <w:spacing w:after="0" w:line="295" w:lineRule="auto"/>
        <w:tabs>
          <w:tab w:leader="none" w:pos="309"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moratorium on commercial banking activities shall have been declared by Federal or New York State authorities or (v) there shall have occurred any outbreak or escalation of hostilities, or any change in financial markets, or any calamity or crisis that, in the Managers’ judgment, is material and adverse and which, singly or together with any other event specified in this clause (v), makes it, in the Managers’ judgment, impracticable or inadvisable to proceed with the offer, sale or delivery of the Shares on the terms and in the manner contemplated in the Time of Sale Prospectus or the Prospectus.</w:t>
      </w:r>
    </w:p>
    <w:p>
      <w:pPr>
        <w:spacing w:after="0" w:line="161" w:lineRule="exact"/>
        <w:rPr>
          <w:rFonts w:ascii="Arial" w:cs="Arial" w:eastAsia="Arial" w:hAnsi="Arial"/>
          <w:sz w:val="16"/>
          <w:szCs w:val="16"/>
          <w:color w:val="auto"/>
        </w:rPr>
      </w:pPr>
    </w:p>
    <w:p>
      <w:pPr>
        <w:ind w:left="844" w:hanging="404"/>
        <w:spacing w:after="0"/>
        <w:tabs>
          <w:tab w:leader="none" w:pos="844"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 hereto.</w:t>
      </w:r>
    </w:p>
    <w:p>
      <w:pPr>
        <w:spacing w:after="0" w:line="248"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II bears to the aggregate number of Firm Shares set forth opposite the names of all such non-defaulting Underwriters, or in such other proportions as the Managers may specify, to purchase the Shares which such defaulting Underwriter or Underwriters agreed but failed or refused to purchase on such date;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no event shall the number of Shares that any Underwriter has agreed to purchase pursuant to this Agreement be increased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this Section 10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Managers and the Company for the purchase of such Firm Shares are not made within 36 hours after such default, this Agreement shall terminate without liability on the part of any non-defaulting Underwriter or the Company. In any such case either the Managers or the Company shall have the right to postpone the Closing Date, but in no event for longer than seven days, in order that the required</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29" w:name="page30"/>
    <w:bookmarkEnd w:id="29"/>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7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188" w:lineRule="exact"/>
        <w:rPr>
          <w:sz w:val="20"/>
          <w:szCs w:val="20"/>
          <w:color w:val="auto"/>
        </w:rPr>
      </w:pPr>
    </w:p>
    <w:p>
      <w:pPr>
        <w:ind w:right="40" w:firstLine="436"/>
        <w:spacing w:after="0" w:line="259" w:lineRule="auto"/>
        <w:tabs>
          <w:tab w:leader="none" w:pos="838"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187" w:lineRule="exact"/>
        <w:rPr>
          <w:sz w:val="20"/>
          <w:szCs w:val="20"/>
          <w:color w:val="auto"/>
        </w:rPr>
      </w:pPr>
    </w:p>
    <w:p>
      <w:pPr>
        <w:ind w:firstLine="436"/>
        <w:spacing w:after="0" w:line="275" w:lineRule="auto"/>
        <w:tabs>
          <w:tab w:leader="none" w:pos="827"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Shares.</w:t>
      </w:r>
    </w:p>
    <w:p>
      <w:pPr>
        <w:spacing w:after="0" w:line="176" w:lineRule="exact"/>
        <w:rPr>
          <w:sz w:val="20"/>
          <w:szCs w:val="20"/>
          <w:color w:val="auto"/>
        </w:rPr>
      </w:pPr>
    </w:p>
    <w:p>
      <w:pPr>
        <w:ind w:right="120" w:firstLine="436"/>
        <w:spacing w:after="0" w:line="279" w:lineRule="auto"/>
        <w:tabs>
          <w:tab w:leader="none" w:pos="845"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Recognition of the U.S. Special Resolution Regimes</w:t>
      </w:r>
      <w:r>
        <w:rPr>
          <w:rFonts w:ascii="Arial" w:cs="Arial" w:eastAsia="Arial" w:hAnsi="Arial"/>
          <w:sz w:val="17"/>
          <w:szCs w:val="17"/>
          <w:color w:val="auto"/>
        </w:rPr>
        <w:t>. (a) In the event that any Underwriter that is a Covered Entity becomes subject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0" w:name="page31"/>
    <w:bookmarkEnd w:id="30"/>
    <w:p>
      <w:pPr>
        <w:ind w:left="440" w:hanging="4"/>
        <w:spacing w:after="0" w:line="259"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For purposes of this Section a “</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 “</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6" w:lineRule="exact"/>
        <w:rPr>
          <w:sz w:val="20"/>
          <w:szCs w:val="20"/>
          <w:color w:val="auto"/>
        </w:rPr>
      </w:pPr>
    </w:p>
    <w:p>
      <w:pPr>
        <w:ind w:right="100" w:firstLine="436"/>
        <w:spacing w:after="0" w:line="257" w:lineRule="auto"/>
        <w:tabs>
          <w:tab w:leader="none" w:pos="84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7" w:lineRule="exact"/>
        <w:rPr>
          <w:rFonts w:ascii="Arial" w:cs="Arial" w:eastAsia="Arial" w:hAnsi="Arial"/>
          <w:sz w:val="18"/>
          <w:szCs w:val="18"/>
          <w:color w:val="auto"/>
        </w:rPr>
      </w:pPr>
    </w:p>
    <w:p>
      <w:pPr>
        <w:ind w:left="840" w:hanging="404"/>
        <w:spacing w:after="0"/>
        <w:tabs>
          <w:tab w:leader="none" w:pos="84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6" w:lineRule="exact"/>
        <w:rPr>
          <w:rFonts w:ascii="Arial" w:cs="Arial" w:eastAsia="Arial" w:hAnsi="Arial"/>
          <w:sz w:val="17"/>
          <w:szCs w:val="17"/>
          <w:color w:val="auto"/>
        </w:rPr>
      </w:pPr>
    </w:p>
    <w:p>
      <w:pPr>
        <w:ind w:right="200" w:firstLine="436"/>
        <w:spacing w:after="0" w:line="277" w:lineRule="auto"/>
        <w:tabs>
          <w:tab w:leader="none" w:pos="84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170" w:lineRule="exact"/>
        <w:rPr>
          <w:rFonts w:ascii="Arial" w:cs="Arial" w:eastAsia="Arial" w:hAnsi="Arial"/>
          <w:sz w:val="18"/>
          <w:szCs w:val="18"/>
          <w:color w:val="auto"/>
        </w:rPr>
      </w:pPr>
    </w:p>
    <w:p>
      <w:pPr>
        <w:ind w:right="200" w:firstLine="436"/>
        <w:spacing w:after="0" w:line="263" w:lineRule="auto"/>
        <w:tabs>
          <w:tab w:leader="none" w:pos="84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communications hereunder shall be in writing and effective only upon receipt and if to the Underwriters shall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mailed or sent to the Managers at the address set forth in Schedule I hereto; and if to the Company shall be delivered, mailed or sent to the address set forth in Schedule I hereto.</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31" w:name="page32"/>
    <w:bookmarkEnd w:id="31"/>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Bonnie H. Anderson</w:t>
      </w:r>
    </w:p>
    <w:p>
      <w:pPr>
        <w:spacing w:after="0" w:line="23" w:lineRule="exact"/>
        <w:rPr>
          <w:sz w:val="20"/>
          <w:szCs w:val="20"/>
          <w:color w:val="auto"/>
        </w:rPr>
      </w:pPr>
    </w:p>
    <w:p>
      <w:pPr>
        <w:jc w:val="both"/>
        <w:ind w:left="6960"/>
        <w:spacing w:after="0"/>
        <w:tabs>
          <w:tab w:leader="none" w:pos="7520" w:val="left"/>
        </w:tabs>
        <w:rPr>
          <w:sz w:val="20"/>
          <w:szCs w:val="20"/>
          <w:color w:val="auto"/>
        </w:rPr>
      </w:pPr>
      <w:r>
        <w:rPr>
          <w:rFonts w:ascii="Arial" w:cs="Arial" w:eastAsia="Arial" w:hAnsi="Arial"/>
          <w:sz w:val="18"/>
          <w:szCs w:val="18"/>
          <w:color w:val="auto"/>
        </w:rPr>
        <w:t>Title:</w:t>
        <w:tab/>
        <w:t>Chairman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 several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Underwriters named in Schedule II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Daniel M.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Daniel M. Young</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SVB Leerink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Ryan Lindquist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Ryan Lindquist</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3880"/>
        <w:spacing w:after="0"/>
        <w:rPr>
          <w:sz w:val="20"/>
          <w:szCs w:val="20"/>
          <w:color w:val="auto"/>
        </w:rPr>
      </w:pPr>
      <w:r>
        <w:rPr>
          <w:rFonts w:ascii="Arial" w:cs="Arial" w:eastAsia="Arial" w:hAnsi="Arial"/>
          <w:sz w:val="18"/>
          <w:szCs w:val="18"/>
          <w:i w:val="1"/>
          <w:iCs w:val="1"/>
          <w:color w:val="auto"/>
        </w:rPr>
        <w:t>(Signature Page to Underwriting Agreement)</w:t>
      </w:r>
    </w:p>
    <w:p>
      <w:pPr>
        <w:sectPr>
          <w:pgSz w:w="11900" w:h="16838" w:orient="portrait"/>
          <w:cols w:equalWidth="0" w:num="1">
            <w:col w:w="10320"/>
          </w:cols>
          <w:pgMar w:left="440" w:top="274" w:right="1139" w:bottom="1440" w:gutter="0" w:footer="0" w:header="0"/>
        </w:sectPr>
      </w:pPr>
    </w:p>
    <w:bookmarkStart w:id="32" w:name="page33"/>
    <w:bookmarkEnd w:id="32"/>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Managers: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Manager authorized to release lock-up under</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6:</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Manager authorized to appoint counsel under</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8(c):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File No.: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Time of Sale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Lock-up Restricted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 of Shares to be purchased:</w:t>
      </w:r>
    </w:p>
    <w:p>
      <w:pPr>
        <w:spacing w:after="0" w:line="117" w:lineRule="exact"/>
        <w:rPr>
          <w:sz w:val="20"/>
          <w:szCs w:val="20"/>
          <w:color w:val="auto"/>
        </w:rPr>
      </w:pPr>
    </w:p>
    <w:p>
      <w:pPr>
        <w:ind w:right="1500"/>
        <w:spacing w:after="0" w:line="375" w:lineRule="auto"/>
        <w:rPr>
          <w:sz w:val="20"/>
          <w:szCs w:val="20"/>
          <w:color w:val="auto"/>
        </w:rPr>
      </w:pPr>
      <w:r>
        <w:rPr>
          <w:rFonts w:ascii="Arial" w:cs="Arial" w:eastAsia="Arial" w:hAnsi="Arial"/>
          <w:sz w:val="18"/>
          <w:szCs w:val="18"/>
          <w:color w:val="auto"/>
        </w:rPr>
        <w:t>Number of Firm Shares: Number of Additional Shares Purchase Price: Public Offering Price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Selling Concession: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Mgmt: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Closing Date and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Closing Location: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 to Underwriters: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-2519680</wp:posOffset>
            </wp:positionH>
            <wp:positionV relativeFrom="paragraph">
              <wp:posOffset>-213360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ind w:left="3"/>
        <w:spacing w:after="0"/>
        <w:rPr>
          <w:sz w:val="20"/>
          <w:szCs w:val="20"/>
          <w:color w:val="auto"/>
        </w:rPr>
      </w:pPr>
      <w:r>
        <w:rPr>
          <w:rFonts w:ascii="Arial" w:cs="Arial" w:eastAsia="Arial" w:hAnsi="Arial"/>
          <w:sz w:val="18"/>
          <w:szCs w:val="18"/>
          <w:color w:val="auto"/>
        </w:rPr>
        <w:t>SVB Leerink LLC</w:t>
      </w:r>
    </w:p>
    <w:p>
      <w:pPr>
        <w:spacing w:after="0" w:line="9" w:lineRule="exact"/>
        <w:rPr>
          <w:sz w:val="20"/>
          <w:szCs w:val="20"/>
          <w:color w:val="auto"/>
        </w:rPr>
      </w:pPr>
    </w:p>
    <w:p>
      <w:pPr>
        <w:ind w:left="3"/>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ind w:left="3"/>
        <w:spacing w:after="0"/>
        <w:rPr>
          <w:sz w:val="20"/>
          <w:szCs w:val="20"/>
          <w:color w:val="auto"/>
        </w:rPr>
      </w:pPr>
      <w:r>
        <w:rPr>
          <w:rFonts w:ascii="Arial" w:cs="Arial" w:eastAsia="Arial" w:hAnsi="Arial"/>
          <w:sz w:val="18"/>
          <w:szCs w:val="18"/>
          <w:color w:val="auto"/>
        </w:rPr>
        <w:t>SVB Leerink LLC</w:t>
      </w:r>
    </w:p>
    <w:p>
      <w:pPr>
        <w:spacing w:after="0" w:line="116" w:lineRule="exact"/>
        <w:rPr>
          <w:sz w:val="20"/>
          <w:szCs w:val="20"/>
          <w:color w:val="auto"/>
        </w:rPr>
      </w:pPr>
    </w:p>
    <w:p>
      <w:pPr>
        <w:ind w:left="3"/>
        <w:spacing w:after="0"/>
        <w:rPr>
          <w:sz w:val="20"/>
          <w:szCs w:val="20"/>
          <w:color w:val="auto"/>
        </w:rPr>
      </w:pPr>
      <w:r>
        <w:rPr>
          <w:rFonts w:ascii="Arial" w:cs="Arial" w:eastAsia="Arial" w:hAnsi="Arial"/>
          <w:sz w:val="18"/>
          <w:szCs w:val="18"/>
          <w:color w:val="auto"/>
        </w:rPr>
        <w:t>333-231173</w:t>
      </w:r>
    </w:p>
    <w:p>
      <w:pPr>
        <w:spacing w:after="0" w:line="117" w:lineRule="exact"/>
        <w:rPr>
          <w:sz w:val="20"/>
          <w:szCs w:val="20"/>
          <w:color w:val="auto"/>
        </w:rPr>
      </w:pPr>
    </w:p>
    <w:p>
      <w:pPr>
        <w:ind w:left="343" w:hanging="343"/>
        <w:spacing w:after="0"/>
        <w:tabs>
          <w:tab w:leader="none" w:pos="3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Prospectus dated May 2, 2019 relating to the Shelf Shares.</w:t>
      </w:r>
    </w:p>
    <w:p>
      <w:pPr>
        <w:spacing w:after="0" w:line="130" w:lineRule="exact"/>
        <w:rPr>
          <w:rFonts w:ascii="Arial" w:cs="Arial" w:eastAsia="Arial" w:hAnsi="Arial"/>
          <w:sz w:val="18"/>
          <w:szCs w:val="18"/>
          <w:color w:val="auto"/>
        </w:rPr>
      </w:pPr>
    </w:p>
    <w:p>
      <w:pPr>
        <w:ind w:left="343" w:hanging="343"/>
        <w:spacing w:after="0"/>
        <w:tabs>
          <w:tab w:leader="none" w:pos="3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preliminary prospectus supplement dated August 3, 2020 relating to the Shares.</w:t>
      </w:r>
    </w:p>
    <w:p>
      <w:pPr>
        <w:spacing w:after="0" w:line="130" w:lineRule="exact"/>
        <w:rPr>
          <w:rFonts w:ascii="Arial" w:cs="Arial" w:eastAsia="Arial" w:hAnsi="Arial"/>
          <w:sz w:val="18"/>
          <w:szCs w:val="18"/>
          <w:color w:val="auto"/>
        </w:rPr>
      </w:pPr>
    </w:p>
    <w:p>
      <w:pPr>
        <w:ind w:left="343" w:hanging="343"/>
        <w:spacing w:after="0"/>
        <w:tabs>
          <w:tab w:leader="none" w:pos="3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Orally communicated pricing information including price per share and size of offering</w:t>
      </w:r>
    </w:p>
    <w:p>
      <w:pPr>
        <w:spacing w:after="0" w:line="130" w:lineRule="exact"/>
        <w:rPr>
          <w:rFonts w:ascii="Arial" w:cs="Arial" w:eastAsia="Arial" w:hAnsi="Arial"/>
          <w:sz w:val="18"/>
          <w:szCs w:val="18"/>
          <w:color w:val="auto"/>
        </w:rPr>
      </w:pPr>
    </w:p>
    <w:p>
      <w:pPr>
        <w:ind w:left="223" w:hanging="223"/>
        <w:spacing w:after="0"/>
        <w:tabs>
          <w:tab w:leader="none" w:pos="22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days</w:t>
      </w:r>
    </w:p>
    <w:p>
      <w:pPr>
        <w:spacing w:after="0" w:line="117" w:lineRule="exact"/>
        <w:rPr>
          <w:rFonts w:ascii="Arial" w:cs="Arial" w:eastAsia="Arial" w:hAnsi="Arial"/>
          <w:sz w:val="18"/>
          <w:szCs w:val="18"/>
          <w:color w:val="auto"/>
        </w:rPr>
      </w:pPr>
    </w:p>
    <w:p>
      <w:pPr>
        <w:ind w:left="3" w:right="4040"/>
        <w:spacing w:after="0" w:line="438" w:lineRule="auto"/>
        <w:rPr>
          <w:rFonts w:ascii="Arial" w:cs="Arial" w:eastAsia="Arial" w:hAnsi="Arial"/>
          <w:sz w:val="18"/>
          <w:szCs w:val="18"/>
          <w:color w:val="auto"/>
        </w:rPr>
      </w:pPr>
      <w:r>
        <w:rPr>
          <w:rFonts w:ascii="Arial" w:cs="Arial" w:eastAsia="Arial" w:hAnsi="Arial"/>
          <w:sz w:val="18"/>
          <w:szCs w:val="18"/>
          <w:color w:val="auto"/>
        </w:rPr>
        <w:t>Common Stock, $0.001 par value per share 6,000,000 900,000</w:t>
      </w:r>
    </w:p>
    <w:p>
      <w:pPr>
        <w:spacing w:after="0" w:line="216" w:lineRule="exact"/>
        <w:rPr>
          <w:rFonts w:ascii="Arial" w:cs="Arial" w:eastAsia="Arial" w:hAnsi="Arial"/>
          <w:sz w:val="18"/>
          <w:szCs w:val="18"/>
          <w:color w:val="auto"/>
        </w:rPr>
      </w:pPr>
    </w:p>
    <w:p>
      <w:pPr>
        <w:ind w:left="3" w:right="5960"/>
        <w:spacing w:after="0" w:line="450" w:lineRule="auto"/>
        <w:rPr>
          <w:rFonts w:ascii="Arial" w:cs="Arial" w:eastAsia="Arial" w:hAnsi="Arial"/>
          <w:sz w:val="18"/>
          <w:szCs w:val="18"/>
          <w:color w:val="auto"/>
        </w:rPr>
      </w:pPr>
      <w:r>
        <w:rPr>
          <w:rFonts w:ascii="Arial" w:cs="Arial" w:eastAsia="Arial" w:hAnsi="Arial"/>
          <w:sz w:val="15"/>
          <w:szCs w:val="15"/>
          <w:color w:val="auto"/>
        </w:rPr>
        <w:t>$28.20 per share $30.00 per share $1.08 per share $0.36 per share $0.36 per share</w:t>
      </w:r>
    </w:p>
    <w:p>
      <w:pPr>
        <w:spacing w:after="0" w:line="2" w:lineRule="exact"/>
        <w:rPr>
          <w:rFonts w:ascii="Arial" w:cs="Arial" w:eastAsia="Arial" w:hAnsi="Arial"/>
          <w:sz w:val="18"/>
          <w:szCs w:val="18"/>
          <w:color w:val="auto"/>
        </w:rPr>
      </w:pPr>
    </w:p>
    <w:p>
      <w:pPr>
        <w:ind w:left="3"/>
        <w:spacing w:after="0"/>
        <w:rPr>
          <w:rFonts w:ascii="Arial" w:cs="Arial" w:eastAsia="Arial" w:hAnsi="Arial"/>
          <w:sz w:val="18"/>
          <w:szCs w:val="18"/>
          <w:color w:val="auto"/>
        </w:rPr>
      </w:pPr>
      <w:r>
        <w:rPr>
          <w:rFonts w:ascii="Arial" w:cs="Arial" w:eastAsia="Arial" w:hAnsi="Arial"/>
          <w:sz w:val="18"/>
          <w:szCs w:val="18"/>
          <w:color w:val="auto"/>
        </w:rPr>
        <w:t>August 7, 2020, 10:00 a.m. (Eastern Time)</w:t>
      </w:r>
    </w:p>
    <w:p>
      <w:pPr>
        <w:spacing w:after="0" w:line="117" w:lineRule="exact"/>
        <w:rPr>
          <w:sz w:val="20"/>
          <w:szCs w:val="20"/>
          <w:color w:val="auto"/>
        </w:rPr>
      </w:pPr>
    </w:p>
    <w:p>
      <w:pPr>
        <w:ind w:left="3"/>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3"/>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3"/>
        <w:spacing w:after="0"/>
        <w:rPr>
          <w:sz w:val="20"/>
          <w:szCs w:val="20"/>
          <w:color w:val="auto"/>
        </w:rPr>
      </w:pPr>
      <w:r>
        <w:rPr>
          <w:rFonts w:ascii="Arial" w:cs="Arial" w:eastAsia="Arial" w:hAnsi="Arial"/>
          <w:sz w:val="18"/>
          <w:szCs w:val="18"/>
          <w:color w:val="auto"/>
        </w:rPr>
        <w:t>New York, New York 10022</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ind w:left="3"/>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3"/>
        <w:spacing w:after="0"/>
        <w:rPr>
          <w:sz w:val="20"/>
          <w:szCs w:val="20"/>
          <w:color w:val="auto"/>
        </w:rPr>
      </w:pPr>
      <w:r>
        <w:rPr>
          <w:rFonts w:ascii="Arial" w:cs="Arial" w:eastAsia="Arial" w:hAnsi="Arial"/>
          <w:sz w:val="18"/>
          <w:szCs w:val="18"/>
          <w:color w:val="auto"/>
        </w:rPr>
        <w:t>New York, New York 10282</w:t>
      </w:r>
    </w:p>
    <w:p>
      <w:pPr>
        <w:spacing w:after="0" w:line="157" w:lineRule="exact"/>
        <w:rPr>
          <w:sz w:val="20"/>
          <w:szCs w:val="20"/>
          <w:color w:val="auto"/>
        </w:rPr>
      </w:pPr>
    </w:p>
    <w:p>
      <w:pPr>
        <w:ind w:left="1543"/>
        <w:spacing w:after="0"/>
        <w:rPr>
          <w:sz w:val="20"/>
          <w:szCs w:val="20"/>
          <w:color w:val="auto"/>
        </w:rPr>
      </w:pPr>
      <w:r>
        <w:rPr>
          <w:rFonts w:ascii="Arial" w:cs="Arial" w:eastAsia="Arial" w:hAnsi="Arial"/>
          <w:sz w:val="18"/>
          <w:szCs w:val="18"/>
          <w:color w:val="auto"/>
        </w:rPr>
        <w:t>I-1</w:t>
      </w:r>
    </w:p>
    <w:p>
      <w:pPr>
        <w:sectPr>
          <w:pgSz w:w="11900" w:h="16838" w:orient="portrait"/>
          <w:cols w:equalWidth="0" w:num="2">
            <w:col w:w="3620" w:space="237"/>
            <w:col w:w="7163"/>
          </w:cols>
          <w:pgMar w:left="440" w:top="270" w:right="439" w:bottom="1440" w:gutter="0" w:footer="0" w:header="0"/>
        </w:sectPr>
      </w:pPr>
    </w:p>
    <w:bookmarkStart w:id="33" w:name="page34"/>
    <w:bookmarkEnd w:id="33"/>
    <w:p>
      <w:pPr>
        <w:ind w:left="3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w:t>
      </w:r>
    </w:p>
    <w:p>
      <w:pPr>
        <w:spacing w:after="0" w:line="13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SVB Leerink LLC</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One Federal Street, 37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Boston, Massachusetts 01220</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Attention: John I. Fitzgerald, Esq.</w:t>
      </w:r>
    </w:p>
    <w:p>
      <w:pPr>
        <w:sectPr>
          <w:pgSz w:w="11900" w:h="16838" w:orient="portrait"/>
          <w:cols w:equalWidth="0" w:num="1">
            <w:col w:w="10019"/>
          </w:cols>
          <w:pgMar w:left="440" w:top="274" w:right="1440" w:bottom="1440"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Address for Notices to the Company:</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South San Francisco, California 94080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157" w:lineRule="exact"/>
        <w:rPr>
          <w:sz w:val="20"/>
          <w:szCs w:val="20"/>
          <w:color w:val="auto"/>
        </w:rPr>
      </w:pPr>
    </w:p>
    <w:p>
      <w:pPr>
        <w:sectPr>
          <w:pgSz w:w="11900" w:h="16838" w:orient="portrait"/>
          <w:cols w:equalWidth="0" w:num="2">
            <w:col w:w="3140" w:space="720"/>
            <w:col w:w="6159"/>
          </w:cols>
          <w:pgMar w:left="440" w:top="274" w:right="1440" w:bottom="1440" w:gutter="0" w:footer="0" w:header="0"/>
          <w:type w:val="continuous"/>
        </w:sectPr>
      </w:pPr>
    </w:p>
    <w:p>
      <w:pPr>
        <w:ind w:left="5400"/>
        <w:spacing w:after="0"/>
        <w:rPr>
          <w:sz w:val="20"/>
          <w:szCs w:val="20"/>
          <w:color w:val="auto"/>
        </w:rPr>
      </w:pPr>
      <w:r>
        <w:rPr>
          <w:rFonts w:ascii="Arial" w:cs="Arial" w:eastAsia="Arial" w:hAnsi="Arial"/>
          <w:sz w:val="17"/>
          <w:szCs w:val="17"/>
          <w:color w:val="auto"/>
        </w:rPr>
        <w:t>I-2</w:t>
      </w:r>
    </w:p>
    <w:p>
      <w:pPr>
        <w:sectPr>
          <w:pgSz w:w="11900" w:h="16838" w:orient="portrait"/>
          <w:cols w:equalWidth="0" w:num="1">
            <w:col w:w="10019"/>
          </w:cols>
          <w:pgMar w:left="440" w:top="274" w:right="1440"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w:t>
      </w:r>
    </w:p>
    <w:p>
      <w:pPr>
        <w:spacing w:after="0" w:line="235"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5180" w:type="dxa"/>
            <w:vAlign w:val="bottom"/>
            <w:vMerge w:val="restart"/>
          </w:tcPr>
          <w:p>
            <w:pPr>
              <w:spacing w:after="0"/>
              <w:rPr>
                <w:sz w:val="14"/>
                <w:szCs w:val="14"/>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Number of Firm Shares</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152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To Be Purchased</w:t>
            </w:r>
          </w:p>
        </w:tc>
        <w:tc>
          <w:tcPr>
            <w:tcW w:w="0" w:type="dxa"/>
            <w:vAlign w:val="bottom"/>
          </w:tcPr>
          <w:p>
            <w:pPr>
              <w:spacing w:after="0"/>
              <w:rPr>
                <w:sz w:val="1"/>
                <w:szCs w:val="1"/>
                <w:color w:val="auto"/>
              </w:rPr>
            </w:pPr>
          </w:p>
        </w:tc>
      </w:tr>
      <w:tr>
        <w:trPr>
          <w:trHeight w:val="203"/>
        </w:trPr>
        <w:tc>
          <w:tcPr>
            <w:tcW w:w="5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Goldman Sachs &amp; Co. LLC</w:t>
            </w: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2,520,000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SVB Leerink LLC</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2,040,000</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690,000</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BTIG, LLC</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Needham &amp; Company, LLC</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Lake Street Capital Markets, LLC</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020"/>
          </w:cols>
          <w:pgMar w:left="1440" w:top="270"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Managers for the several Underwriters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 SVB Leerink LLC</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1301 Avenue of the Americas, 12</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a stockholder, officer and/or director of Veracyte,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understands that Goldman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Sachs &amp; Co. LLC and SVB Leerink LLC (the “</w:t>
      </w:r>
      <w:r>
        <w:rPr>
          <w:rFonts w:ascii="Arial" w:cs="Arial" w:eastAsia="Arial" w:hAnsi="Arial"/>
          <w:sz w:val="17"/>
          <w:szCs w:val="17"/>
          <w:b w:val="1"/>
          <w:bCs w:val="1"/>
          <w:color w:val="auto"/>
        </w:rPr>
        <w:t>Managers</w:t>
      </w:r>
      <w:r>
        <w:rPr>
          <w:rFonts w:ascii="Arial" w:cs="Arial" w:eastAsia="Arial" w:hAnsi="Arial"/>
          <w:sz w:val="17"/>
          <w:szCs w:val="17"/>
          <w:color w:val="auto"/>
        </w:rPr>
        <w:t>”) propose to enter into an Underwriting Agreement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Company providing for the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of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Company’s common stock, par value $0.001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(the “</w:t>
      </w:r>
      <w:r>
        <w:rPr>
          <w:rFonts w:ascii="Arial" w:cs="Arial" w:eastAsia="Arial" w:hAnsi="Arial"/>
          <w:sz w:val="16"/>
          <w:szCs w:val="16"/>
          <w:b w:val="1"/>
          <w:bCs w:val="1"/>
          <w:color w:val="auto"/>
        </w:rPr>
        <w:t>Common Stock</w:t>
      </w:r>
      <w:r>
        <w:rPr>
          <w:rFonts w:ascii="Arial" w:cs="Arial" w:eastAsia="Arial" w:hAnsi="Arial"/>
          <w:sz w:val="16"/>
          <w:szCs w:val="16"/>
          <w:color w:val="auto"/>
        </w:rPr>
        <w:t>”). In recognition of the benefit that such an offering will confer upon the undersigned as a stockholder, an officer and/or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 of the Company, and for other good and valuable consideration, the receipt and sufficiency of which are hereby acknowledged, the undersigned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agrees with each underwriter to be named in the Underwriting Agreement (collectively, the “</w:t>
      </w:r>
      <w:r>
        <w:rPr>
          <w:rFonts w:ascii="Arial" w:cs="Arial" w:eastAsia="Arial" w:hAnsi="Arial"/>
          <w:sz w:val="16"/>
          <w:szCs w:val="16"/>
          <w:b w:val="1"/>
          <w:bCs w:val="1"/>
          <w:color w:val="auto"/>
        </w:rPr>
        <w:t>Underwriters</w:t>
      </w:r>
      <w:r>
        <w:rPr>
          <w:rFonts w:ascii="Arial" w:cs="Arial" w:eastAsia="Arial" w:hAnsi="Arial"/>
          <w:sz w:val="16"/>
          <w:szCs w:val="16"/>
          <w:color w:val="auto"/>
        </w:rPr>
        <w:t>”) that, during the period beginning 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 hereof and ending on the date that is 60 days from the date of the Underwriting Agreement (the “</w:t>
      </w:r>
      <w:r>
        <w:rPr>
          <w:rFonts w:ascii="Arial" w:cs="Arial" w:eastAsia="Arial" w:hAnsi="Arial"/>
          <w:sz w:val="17"/>
          <w:szCs w:val="17"/>
          <w:b w:val="1"/>
          <w:bCs w:val="1"/>
          <w:color w:val="auto"/>
        </w:rPr>
        <w:t>Lock-Up Period</w:t>
      </w:r>
      <w:r>
        <w:rPr>
          <w:rFonts w:ascii="Arial" w:cs="Arial" w:eastAsia="Arial" w:hAnsi="Arial"/>
          <w:sz w:val="17"/>
          <w:szCs w:val="17"/>
          <w:color w:val="auto"/>
        </w:rPr>
        <w:t>”), the undersigned will not,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without the prior written consent of the Managers, on behalf of the Underwriters, directly or indirectly, (i) offer, pledge, sell, contract to sell, sell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option or contract to purchase, purchase any option or contract to sell, grant any option, right or warrant for the sale of, or otherwise dispose of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transfer any shares of Common Stock or any securities convertible into or exchangeable or exercisable for Common Stock, whether now owned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hereafter acquired by the undersigned or with respect to which the undersigned has or hereafter acquires the power of disposition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Lock-Up Securities</w:t>
      </w:r>
      <w:r>
        <w:rPr>
          <w:rFonts w:ascii="Arial" w:cs="Arial" w:eastAsia="Arial" w:hAnsi="Arial"/>
          <w:sz w:val="16"/>
          <w:szCs w:val="16"/>
          <w:color w:val="auto"/>
        </w:rPr>
        <w:t>”), or exercise any right with respect to the registration of any of the Lock-Up Securities, or file or cause to be filed any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 in connection therewith, under the Securities Act of 1933, as amended,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36" w:name="page37"/>
    <w:bookmarkEnd w:id="36"/>
    <w:p>
      <w:pPr>
        <w:jc w:val="both"/>
        <w:ind w:left="4" w:right="140" w:hanging="4"/>
        <w:spacing w:after="0" w:line="286" w:lineRule="auto"/>
        <w:tabs>
          <w:tab w:leader="none" w:pos="269" w:val="left"/>
        </w:tabs>
        <w:numPr>
          <w:ilvl w:val="0"/>
          <w:numId w:val="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 or (iii) publicly announce the intention to effect any of the transactions covered in clauses (i) and (ii) above.</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Notwithstanding the foregoing, the undersigned may transfer Lock-Up Securities without the prior written consent of the Managers as follows:</w:t>
      </w:r>
    </w:p>
    <w:p>
      <w:pPr>
        <w:spacing w:after="0" w:line="46" w:lineRule="exact"/>
        <w:rPr>
          <w:sz w:val="20"/>
          <w:szCs w:val="20"/>
          <w:color w:val="auto"/>
        </w:rPr>
      </w:pPr>
    </w:p>
    <w:p>
      <w:pPr>
        <w:ind w:left="4" w:hanging="4"/>
        <w:spacing w:after="0" w:line="281" w:lineRule="auto"/>
        <w:tabs>
          <w:tab w:leader="none" w:pos="2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transfers of shares of Common Stock or any security convertible into or exercisable or exchangeable for Common Stock (i) as a bona fide gift or for bona fide estate planning purposes, (ii) to an immediate family member or a trust for the direct or indirect benefit of the undersigned or such immediate family member of the undersigned, or (iii) by will or intestacy, (b) (i) if the undersigned is a partnership, limited liability company, a corporation or other business entity, distributions of shares of Common Stock or any security convertible into or exercisable or exchangeable for Common Stock to limited partners, limited liability company members, stockholders or other equity holders of the undersigned or transfers of shares of Common Stock or any security convertible into or exercisable or exchangeable for Common Stock to another corporation, partnership or other business entity that controls, is controlled by or is under common control with the undersigned or (ii) if the undersigned is a trust, transfers of shares of Common Stock or any security convertible into or exercisable or exchangeable for Common Stock to a trustor, trustee or beneficiary of the trust;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or distribution pursuant to clause (a) or (b), (1) each transferee, donee or distributee shall sign and deliver a lock up agreement substantially in the form of this lock-up agreement and (2) no filing under Section 16(a)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or other public announcement reporting a reduction in beneficial ownership shall be required or shall be voluntarily made during the Lock-Up Period,</w:t>
      </w:r>
    </w:p>
    <w:p>
      <w:pPr>
        <w:spacing w:after="0" w:line="6" w:lineRule="exact"/>
        <w:rPr>
          <w:rFonts w:ascii="Arial" w:cs="Arial" w:eastAsia="Arial" w:hAnsi="Arial"/>
          <w:sz w:val="16"/>
          <w:szCs w:val="16"/>
          <w:color w:val="auto"/>
        </w:rPr>
      </w:pPr>
    </w:p>
    <w:p>
      <w:pPr>
        <w:ind w:left="4" w:right="40" w:hanging="4"/>
        <w:spacing w:after="0" w:line="281" w:lineRule="auto"/>
        <w:tabs>
          <w:tab w:leader="none" w:pos="2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the transfer of shares of Common Stock or any security convertible into Common Stock to the Company upon a vesting event of the Company’s securities or upon the exercise of options to purchase the Company’s securities, in each case on a “cashless” or “net exercise” basis or to cover tax withholding obligations of the undersigned in connection with such vesting or exercise; provided that, if the undersigned is required to file a report under Section 16(a) of the Exchange Act during the Lock-Up Period in connection with such vesting or exercise the undersigned shall clearly indicate in the footnotes thereto that the filing relates to the circumstances described in this clause (c) (for the avoidance of doubt, it being understood that any subsequent transfer or distribution of the shares of Common Stock or other securities issued upon any exercise, conversion or vesting event shall be subject to the restrictions set forth in this lock-up agreement), or (d) the transfer of shares of Common Stock or any security convertible into or exercisable or exchangeable for Common Stock that occurs pursuant to a qualified domestic order or in connection with a divorce settlement;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each transferee shall sign and deliver a lock-up agreement substantially in the form of this lock-up agreement and (2) no filing under</w:t>
      </w:r>
    </w:p>
    <w:p>
      <w:pPr>
        <w:spacing w:after="0" w:line="5" w:lineRule="exact"/>
        <w:rPr>
          <w:rFonts w:ascii="Arial" w:cs="Arial" w:eastAsia="Arial" w:hAnsi="Arial"/>
          <w:sz w:val="16"/>
          <w:szCs w:val="16"/>
          <w:color w:val="auto"/>
        </w:rPr>
      </w:pPr>
    </w:p>
    <w:p>
      <w:pPr>
        <w:ind w:left="4" w:right="80"/>
        <w:spacing w:after="0" w:line="255" w:lineRule="auto"/>
        <w:rPr>
          <w:rFonts w:ascii="Arial" w:cs="Arial" w:eastAsia="Arial" w:hAnsi="Arial"/>
          <w:sz w:val="16"/>
          <w:szCs w:val="16"/>
          <w:color w:val="auto"/>
        </w:rPr>
      </w:pPr>
      <w:r>
        <w:rPr>
          <w:rFonts w:ascii="Arial" w:cs="Arial" w:eastAsia="Arial" w:hAnsi="Arial"/>
          <w:sz w:val="18"/>
          <w:szCs w:val="18"/>
          <w:color w:val="auto"/>
        </w:rPr>
        <w:t>Section 16(a) of the Exchange Act reporting a reduction in beneficial ownership shall be voluntarily made during the Lock-Up Period and, if the undersigned is required to file a report under Section 16(a) of the Exchange Act during the Lock-Up Period, the undersigned shall clearly indicate in the footnotes thereto that the filing relates to the circumstances described in this clause (d).</w:t>
      </w:r>
    </w:p>
    <w:p>
      <w:pPr>
        <w:spacing w:after="0" w:line="190" w:lineRule="exact"/>
        <w:rPr>
          <w:sz w:val="20"/>
          <w:szCs w:val="20"/>
          <w:color w:val="auto"/>
        </w:rPr>
      </w:pPr>
    </w:p>
    <w:p>
      <w:pPr>
        <w:ind w:left="4" w:right="760" w:firstLine="440"/>
        <w:spacing w:after="0" w:line="277" w:lineRule="auto"/>
        <w:rPr>
          <w:sz w:val="20"/>
          <w:szCs w:val="20"/>
          <w:color w:val="auto"/>
        </w:rPr>
      </w:pPr>
      <w:r>
        <w:rPr>
          <w:rFonts w:ascii="Arial" w:cs="Arial" w:eastAsia="Arial" w:hAnsi="Arial"/>
          <w:sz w:val="18"/>
          <w:szCs w:val="18"/>
          <w:color w:val="auto"/>
        </w:rPr>
        <w:t>Furthermore, no provision in this lock-up agreement shall be deemed to restrict or prohibit (1) the transfer of the undersigned’s Lock-Up Securities to the Company in connection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4"/>
          </w:cols>
          <w:pgMar w:left="436" w:top="274" w:right="439" w:bottom="1440" w:gutter="0" w:footer="0" w:header="0"/>
        </w:sectPr>
      </w:pPr>
    </w:p>
    <w:bookmarkStart w:id="37" w:name="page38"/>
    <w:bookmarkEnd w:id="3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the termination of the undersigned’s services to the Company, provided that any filing under Section 16(a) of the Exchange Act made in connection with such transfer shall clearly indicate in the footnotes thereto that the filing relates to the circumstances described in this clause (1); (2) the transfer of Lock-Up Securities pursuant to a bona fide third-party tender offer, merger, consolidation or other similar transaction made to all holders of the Common Stock involving a change of control of the Company; provided, however, that in the event that such tender offer, merger, consolidation or other such transaction is not completed, such securities held by the undersigned shall remain subject to the restrictions on transfer set forth in this lock-up agreement; provided further, that for purposes of clause (2), “change of control” shall mean the consummation of any bona fide third party tender offer, merger, consolidation or other similar transaction the result of which is that any “person” (as defined in Section 13(d)(3) of the Exchange Act), or group of persons, other than the Company or its subsidiaries, becomes the beneficial owner (as defined in Rules 13d-3 and 13d-5 of the Exchange Act) of more than 50% of total voting power of the voting stock of the Company; and (3) the exercise by the undersigned of any option to purchase shares of Common Stock or the vesting and settlement of restricted stock units for shares of Common Stock, pursuant to any stock option or other stock plan or arrangement; provided, however, that the underlying shares of Common Stock shall continue to be subject to the restrictions on transfer set forth in this lock-up agreement.</w:t>
      </w:r>
    </w:p>
    <w:p>
      <w:pPr>
        <w:spacing w:after="0" w:line="17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Notwithstanding anything herein to the contrary, nothing herein shall prevent the undersigned from establishing a 10b5-1 trading plan that complies with Rule 10b5-1 under the Exchange Act (“</w:t>
      </w:r>
      <w:r>
        <w:rPr>
          <w:rFonts w:ascii="Arial" w:cs="Arial" w:eastAsia="Arial" w:hAnsi="Arial"/>
          <w:sz w:val="17"/>
          <w:szCs w:val="17"/>
          <w:b w:val="1"/>
          <w:bCs w:val="1"/>
          <w:color w:val="auto"/>
        </w:rPr>
        <w:t>10b5-1 Trading Plan</w:t>
      </w:r>
      <w:r>
        <w:rPr>
          <w:rFonts w:ascii="Arial" w:cs="Arial" w:eastAsia="Arial" w:hAnsi="Arial"/>
          <w:sz w:val="17"/>
          <w:szCs w:val="17"/>
          <w:color w:val="auto"/>
        </w:rPr>
        <w:t>”) or from amending an existing 10b5-1 Trading Plan so long as there are no sales of Lock-Up Securities under any such 10b5-1 Trading Plan during the Lock-Up Period; and provided that, the establishment of a 10b5-1 Trading Plan or the amendment of a 10b5-1 Trading Plan shall only be permitted if (i) the establishment or amendment of such plan is not required to be reported in any public report or filing with the Securities and Exchange Commission, or otherwise and (ii) the undersigned does not otherwise voluntarily effect any public filing or report regarding the establishment or amendment of such plan during the Lock-Up Period.</w:t>
      </w:r>
    </w:p>
    <w:p>
      <w:pPr>
        <w:spacing w:after="0" w:line="178" w:lineRule="exact"/>
        <w:rPr>
          <w:sz w:val="20"/>
          <w:szCs w:val="20"/>
          <w:color w:val="auto"/>
        </w:rPr>
      </w:pPr>
    </w:p>
    <w:p>
      <w:pPr>
        <w:ind w:right="260" w:firstLine="440"/>
        <w:spacing w:after="0" w:line="301" w:lineRule="auto"/>
        <w:rPr>
          <w:sz w:val="20"/>
          <w:szCs w:val="20"/>
          <w:color w:val="auto"/>
        </w:rPr>
      </w:pPr>
      <w:r>
        <w:rPr>
          <w:rFonts w:ascii="Arial" w:cs="Arial" w:eastAsia="Arial" w:hAnsi="Arial"/>
          <w:sz w:val="16"/>
          <w:szCs w:val="16"/>
          <w:color w:val="auto"/>
        </w:rPr>
        <w:t>Notwithstanding anything herein to the contrary, nothing herein shall prevent the undersigned from sales of Common Stock made pursuant to a 10b5-1 Trading Plan entered into prior to the date of this lock-up agreement, provided that to the extent a public announcement or filing under the Exchange Act, if any, is required of or voluntary made by on or on behalf of the undersigned or the Company regarding any such sales, such announcement or filing shall include a statement to the effect that any sales were effected pursuant to such 10b5-1 Trading Plan.</w:t>
      </w:r>
    </w:p>
    <w:p>
      <w:pPr>
        <w:spacing w:after="0" w:line="15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In addition, the undersigned agrees that, without the prior written consent of the Managers, on behalf of the Underwriters, it will not, during the Lock-Up Period, make any demand for or exercise any right with respect to, the registration of any Lock-Up Securities.</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Lock-Up Securities except in compliance with the foregoing restrictions.</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In the event that either of the Managers withdraws from or declines to participate in the Public Offering, all references to the Managers contained in this letter shall be deemed to refer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0"/>
          </w:cols>
          <w:pgMar w:left="440" w:top="274" w:right="459" w:bottom="1440" w:gutter="0" w:footer="0" w:header="0"/>
        </w:sectPr>
      </w:pPr>
    </w:p>
    <w:bookmarkStart w:id="38" w:name="page39"/>
    <w:bookmarkEnd w:id="38"/>
    <w:p>
      <w:pPr>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sole Manager that continues to participate in the Public Offering (the “</w:t>
      </w:r>
      <w:r>
        <w:rPr>
          <w:rFonts w:ascii="Arial" w:cs="Arial" w:eastAsia="Arial" w:hAnsi="Arial"/>
          <w:sz w:val="18"/>
          <w:szCs w:val="18"/>
          <w:b w:val="1"/>
          <w:bCs w:val="1"/>
          <w:color w:val="auto"/>
        </w:rPr>
        <w:t>Sole Manager</w:t>
      </w:r>
      <w:r>
        <w:rPr>
          <w:rFonts w:ascii="Arial" w:cs="Arial" w:eastAsia="Arial" w:hAnsi="Arial"/>
          <w:sz w:val="18"/>
          <w:szCs w:val="18"/>
          <w:color w:val="auto"/>
        </w:rPr>
        <w:t>”) and this lock-up agreement shall remain in full force and effect. In such event, any written consent, waiver or notice given or delivered in connection with this letter by the Sole Manager shall be deemed to be sufficient and effective for all purposes under this lock-up agreement.</w:t>
      </w:r>
    </w:p>
    <w:p>
      <w:pPr>
        <w:spacing w:after="0" w:line="18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This lock-up agreement shall automatically terminate, and the undersigned shall be released from the undersigned’s obligations hereunder, upon the earliest to occur, if any, of (i) prior to the execution of the Underwriting Agreement, the Company advises the Managers in writing that it has determined not to proceed with the Public Offering; (ii) the Underwriting Agreement is executed but is terminated prior to the closing of the Public Offering (other than the provisions thereof which survive termination), or (iii) August 31, 2020, in the event that the Underwriting Agreement has not been executed by such date.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lock-up agreement shall be governed by, and construed in accordance with, the laws of the State of New York.</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820"/>
          </w:cols>
          <w:pgMar w:left="440" w:top="270" w:right="639" w:bottom="1440" w:gutter="0" w:footer="0" w:header="0"/>
        </w:sectPr>
      </w:pPr>
    </w:p>
    <w:bookmarkStart w:id="39" w:name="page40"/>
    <w:bookmarkEnd w:id="3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Name of Security Holder </w:t>
      </w:r>
      <w:r>
        <w:rPr>
          <w:rFonts w:ascii="Arial" w:cs="Arial" w:eastAsia="Arial" w:hAnsi="Arial"/>
          <w:sz w:val="18"/>
          <w:szCs w:val="18"/>
          <w:i w:val="1"/>
          <w:iCs w:val="1"/>
          <w:color w:val="auto"/>
        </w:rPr>
        <w:t>(Print exact name)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If not signing in an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Name of Authorized Signatory </w:t>
      </w:r>
      <w:r>
        <w:rPr>
          <w:rFonts w:ascii="Arial" w:cs="Arial" w:eastAsia="Arial" w:hAnsi="Arial"/>
          <w:sz w:val="18"/>
          <w:szCs w:val="18"/>
          <w:i w:val="1"/>
          <w:iCs w:val="1"/>
          <w:color w:val="auto"/>
        </w:rPr>
        <w:t>(Print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Title of Authorized Signatory </w:t>
      </w:r>
      <w:r>
        <w:rPr>
          <w:rFonts w:ascii="Arial" w:cs="Arial" w:eastAsia="Arial" w:hAnsi="Arial"/>
          <w:sz w:val="18"/>
          <w:szCs w:val="18"/>
          <w:i w:val="1"/>
          <w:iCs w:val="1"/>
          <w:color w:val="auto"/>
        </w:rPr>
        <w:t>(Print</w:t>
      </w:r>
      <w:r>
        <w:rPr>
          <w:rFonts w:ascii="Arial" w:cs="Arial" w:eastAsia="Arial" w:hAnsi="Arial"/>
          <w:sz w:val="18"/>
          <w:szCs w:val="18"/>
          <w:color w:val="auto"/>
        </w:rPr>
        <w: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i w:val="1"/>
          <w:iCs w:val="1"/>
          <w:color w:val="auto"/>
        </w:rPr>
        <w:t>(indicate capacity of person signing if signing as custodian,</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trustee, or on behalf of an entity)</w:t>
      </w:r>
    </w:p>
    <w:p>
      <w:pPr>
        <w:spacing w:after="0" w:line="1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9920"/>
          </w:cols>
          <w:pgMar w:left="1440" w:top="274" w:right="539" w:bottom="1440" w:gutter="0" w:footer="0" w:header="0"/>
        </w:sectPr>
      </w:pPr>
    </w:p>
    <w:bookmarkStart w:id="40" w:name="page41"/>
    <w:bookmarkEnd w:id="40"/>
    <w:p>
      <w:pPr>
        <w:ind w:left="10180"/>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020"/>
          </w:cols>
          <w:pgMar w:left="440" w:top="121" w:right="439" w:bottom="1440" w:gutter="0" w:footer="0" w:header="0"/>
        </w:sectPr>
      </w:pPr>
    </w:p>
    <w:p>
      <w:pPr>
        <w:spacing w:after="0" w:line="27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555 California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-121920</wp:posOffset>
            </wp:positionV>
            <wp:extent cx="1328420" cy="2489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28420" cy="24892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12th Floor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San Francisco, CA 94104</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415.875.2300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Fenwick.com</w:t>
      </w:r>
    </w:p>
    <w:p>
      <w:pPr>
        <w:spacing w:after="0" w:line="415" w:lineRule="exact"/>
        <w:rPr>
          <w:sz w:val="20"/>
          <w:szCs w:val="20"/>
          <w:color w:val="auto"/>
        </w:rPr>
      </w:pPr>
    </w:p>
    <w:p>
      <w:pPr>
        <w:sectPr>
          <w:pgSz w:w="11900" w:h="16838" w:orient="portrait"/>
          <w:cols w:equalWidth="0" w:num="2">
            <w:col w:w="8540" w:space="720"/>
            <w:col w:w="1760"/>
          </w:cols>
          <w:pgMar w:left="440" w:top="121" w:right="439" w:bottom="1440" w:gutter="0" w:footer="0" w:header="0"/>
          <w:type w:val="continuous"/>
        </w:sectPr>
      </w:pP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August 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We deliver this opinion with respect to certain matters in connection with the offering by Veracyte,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of up to 6,900,000 shares of the Company’s Common Stock, par value $0.001 per share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to be issued pursuant to that certain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xml:space="preserve">”), dated as of even date herewith, by and among the Company and Goldman Sachs &amp; Co. LLC and SVB Leerink LLC, as representatives of the underwriters named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thereto. The Shares were registered pursuant to the Registration Statement on Form S-3 (File No. 333-231173)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previously filed by the Company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May 2, 2019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and the prospectus dated May 2, 2019 included therein (the “</w:t>
      </w:r>
      <w:r>
        <w:rPr>
          <w:rFonts w:ascii="Arial" w:cs="Arial" w:eastAsia="Arial" w:hAnsi="Arial"/>
          <w:sz w:val="17"/>
          <w:szCs w:val="17"/>
          <w:b w:val="1"/>
          <w:bCs w:val="1"/>
          <w:i w:val="1"/>
          <w:iCs w:val="1"/>
          <w:color w:val="auto"/>
        </w:rPr>
        <w:t>Base Prospectus</w:t>
      </w:r>
      <w:r>
        <w:rPr>
          <w:rFonts w:ascii="Arial" w:cs="Arial" w:eastAsia="Arial" w:hAnsi="Arial"/>
          <w:sz w:val="17"/>
          <w:szCs w:val="17"/>
          <w:color w:val="auto"/>
        </w:rPr>
        <w:t>”), as supplemented by the preliminary prospectus supplement dated August 3, 2020 and the final prospectus supplement dated August 4, 2020, filed with the Commission pursuant to Rule 424(b) under the Securities Act (collectively,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Supplements</w:t>
      </w:r>
      <w:r>
        <w:rPr>
          <w:rFonts w:ascii="Arial" w:cs="Arial" w:eastAsia="Arial" w:hAnsi="Arial"/>
          <w:sz w:val="17"/>
          <w:szCs w:val="17"/>
          <w:color w:val="auto"/>
        </w:rPr>
        <w:t>” and, together with the Base Prospectus,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The Shares are to be sold by the Company as described in the Registration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the Prospectus and the Underwriting Agreement.</w:t>
      </w:r>
    </w:p>
    <w:p>
      <w:pPr>
        <w:spacing w:after="0" w:line="185"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color w:val="auto"/>
        </w:rPr>
        <w:t>In connection with our opinion expressed below we have examined originals or copies of the Company’s Restated Certificate of Incorporation filed with, and certified by, the Delaware Secretary of State (the “</w:t>
      </w:r>
      <w:r>
        <w:rPr>
          <w:rFonts w:ascii="Arial" w:cs="Arial" w:eastAsia="Arial" w:hAnsi="Arial"/>
          <w:sz w:val="18"/>
          <w:szCs w:val="18"/>
          <w:b w:val="1"/>
          <w:bCs w:val="1"/>
          <w:i w:val="1"/>
          <w:iCs w:val="1"/>
          <w:color w:val="auto"/>
        </w:rPr>
        <w:t>Restated Certificate</w:t>
      </w:r>
      <w:r>
        <w:rPr>
          <w:rFonts w:ascii="Arial" w:cs="Arial" w:eastAsia="Arial" w:hAnsi="Arial"/>
          <w:sz w:val="18"/>
          <w:szCs w:val="18"/>
          <w:color w:val="auto"/>
        </w:rPr>
        <w:t>”) and the Company’s Amended and Restated Bylaws (the “</w:t>
      </w:r>
      <w:r>
        <w:rPr>
          <w:rFonts w:ascii="Arial" w:cs="Arial" w:eastAsia="Arial" w:hAnsi="Arial"/>
          <w:sz w:val="18"/>
          <w:szCs w:val="18"/>
          <w:b w:val="1"/>
          <w:bCs w:val="1"/>
          <w:i w:val="1"/>
          <w:iCs w:val="1"/>
          <w:color w:val="auto"/>
        </w:rPr>
        <w:t>Restated Bylaws</w:t>
      </w:r>
      <w:r>
        <w:rPr>
          <w:rFonts w:ascii="Arial" w:cs="Arial" w:eastAsia="Arial" w:hAnsi="Arial"/>
          <w:sz w:val="18"/>
          <w:szCs w:val="18"/>
          <w:color w:val="auto"/>
        </w:rPr>
        <w:t>”), the Registration Statement, together with the Exhibits filed as a part thereof and all other documents incorporated therein by reference, the Prospectus, certain corporate proceedings of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or a committee or committees thereof and the Company’s stockholders relating to the Registration Statement, and such other agreements, documents, certificates and statements of the Company, its transfer agent and public or government officials, as we have deemed advisable, and have examined such questions of law as we have considered necessary.</w:t>
      </w:r>
    </w:p>
    <w:p>
      <w:pPr>
        <w:spacing w:after="0" w:line="195"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We have assumed the authenticity of all documents submitted to us as originals, the genuineness of all signatures on documents submitted to us, the conformity to originals and completeness of all documents submitted to us as copies, the legal capacity of all persons or entities executing the same, the absence of any undisclosed termination, modification, waiver or amendment to any document reviewed by us, the absence of any other extrinsic agreements or documents that might change or affect the interpretation or terms of documents we have reviewed, and the due authorization, execution and delivery of all such documents where due authorization, execution and delivery are prerequisites to the effectiveness thereof. In giving our opinion, we have also relied upon a good standing certificate regarding the Company issued by the Delaware Secretary of State dated August 3, 2020 and a management certificate addressed to us and dated of even date herewith executed by the Company containing certain factual representations by the Company.</w:t>
      </w:r>
    </w:p>
    <w:p>
      <w:pPr>
        <w:sectPr>
          <w:pgSz w:w="11900" w:h="16838" w:orient="portrait"/>
          <w:cols w:equalWidth="0" w:num="1">
            <w:col w:w="11020"/>
          </w:cols>
          <w:pgMar w:left="440" w:top="121" w:right="439" w:bottom="1440" w:gutter="0" w:footer="0" w:header="0"/>
          <w:type w:val="continuous"/>
        </w:sectPr>
      </w:pPr>
    </w:p>
    <w:bookmarkStart w:id="41" w:name="page42"/>
    <w:bookmarkEnd w:id="41"/>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render this opinion only with respect to, and express no opinion herein concerning the application or effect of any laws other than, the existing Delaware General Corporation Law.</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In connection with our opinions expressed below, we have assumed that, (i) at or prior to the time of the issuance and delivery of any of the Shares, there will not have occurred any change in the law or the facts affecting the validity of the Shares, any change in actions of the Board or the Company’s stockholders, or any amendments to the Restated Certificate or Restated Bylaws, and (ii) at the time of the offer, issuance and sale of any Shares, no stop order suspending the Registration Statement’s effectiveness will have been issued and remain in effect, and that the Registration Statement will not have been modified or rescinded. We also have assumed that the issuance and delivery of the Shares subsequent to the date hereof and the compliance by the Company with the terms of such Shares will not result in a violation of the Restated Certificate or any provision of any instrument or agreement then binding upon the Company or any restriction imposed by any court or governmental body then having jurisdiction over the Company.</w:t>
      </w:r>
    </w:p>
    <w:p>
      <w:pPr>
        <w:spacing w:after="0" w:line="192"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Based upon the foregoing, we are of the opinion that when the Shares are issued, sold and delivered in the manner and for the consideration stated in the Registration Statement, the Prospectus and the resolutions adopted by the Board or a committee thereof referenced above, such Shares will be validly issued, fully paid and nonassessable.</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We consent to the use of this opinion as an exhibit to the Form 8-K and further consent to all references to us, if any, in the Registration Statement, the Prospectus and any amendments or supplements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[Concluding Paragraph on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2" w:name="page43"/>
    <w:bookmarkEnd w:id="42"/>
    <w:p>
      <w:pPr>
        <w:ind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opinion is intended solely for use in connection with the issuance and sale of the Shares subject to the Registration Statement and is not to be relied upon for any other purpose. This opinion is rendered as of the date first written above and based solely on our understanding of facts in existence as of such date after the aforementioned examination.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8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FENWICK &amp; WEST LLP</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5.1 Legal Opinion</w:t>
      </w:r>
    </w:p>
    <w:p>
      <w:pPr>
        <w:sectPr>
          <w:pgSz w:w="11900" w:h="16838" w:orient="portrait"/>
          <w:cols w:equalWidth="0" w:num="1">
            <w:col w:w="11000"/>
          </w:cols>
          <w:pgMar w:left="440" w:top="274" w:right="4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2314575</wp:posOffset>
            </wp:positionV>
            <wp:extent cx="6995160" cy="16287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Pricing of Public Offering of 6,000,000 Shares of Common Stock</w:t>
      </w:r>
    </w:p>
    <w:p>
      <w:pPr>
        <w:spacing w:after="0" w:line="22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SOUTH SAN FRANCISCO, Calif.–(BUSINESS WIRE)–August 4, 2020–Veracyte, Inc. (Nasdaq: VCYT) (the “Company”) today announced the pricing of an underwritten public offering of 6,000,000 shares of its common stock at a public offering price of $30.00 per share. The gross proceeds to the Company from this offering, before deducting underwriting discounts and commissions and offering expenses payable by Veracyte, are expected to be $180.0 million. All of the shares are being offered by the Company. The offering is expected to close on or about August 7, 2020, subject to customary closing conditions. In addition, the Company granted to the underwriters participating in the offering a 30-day option to purchase up to an additional 900,000 shares of its common stock at the public offering price, less underwriting discounts and commissions.</w:t>
      </w:r>
    </w:p>
    <w:p>
      <w:pPr>
        <w:spacing w:after="0" w:line="16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Veracyte intends to use the net proceeds from the offering for working capital and other general corporate purposes. The Company may also use a portion of the net proceeds from the offering to acquire or invest in complementary businesses, technologies or other assets, although it has no present commitments or agreements to do so.</w:t>
      </w:r>
    </w:p>
    <w:p>
      <w:pPr>
        <w:spacing w:after="0" w:line="18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Goldman Sachs &amp; Co. LLC and SVB Leerink LLC are acting as joint lead book-running managers for the offering, William Blair &amp; Company, L.L.C. is acting as a book-running manager and BTIG, LLC, Needham &amp; Company, LLC, and Lake Street Capital Markets, LLC are acting as co-managers.</w:t>
      </w:r>
    </w:p>
    <w:p>
      <w:pPr>
        <w:spacing w:after="0" w:line="124"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The shares will be issued pursuant to an effective shelf registration statement filed with the Securities and Exchange Commission (SEC) on May 2, 2019. A preliminary prospectus supplement and accompanying prospectus relating to the offering have been filed with the SEC and are available on the SEC’s website at www.sec.gov. A final prospectus supplement and accompanying prospectus will be filed with the SEC. A copy of the final prospectus supplement and accompanying prospectus relating to the offering, when available, may be obtained by contacting Goldman Sachs &amp; Co. LLC, Attention: Prospectus Department, 200 West Street, New York, NY 10282, by email at prospectus-ny@ny.email.gs.com, or by telephone at (866)</w:t>
      </w:r>
    </w:p>
    <w:p>
      <w:pPr>
        <w:spacing w:after="0" w:line="2" w:lineRule="exact"/>
        <w:rPr>
          <w:sz w:val="20"/>
          <w:szCs w:val="20"/>
          <w:color w:val="auto"/>
        </w:rPr>
      </w:pPr>
    </w:p>
    <w:p>
      <w:pPr>
        <w:ind w:right="840"/>
        <w:spacing w:after="0" w:line="260" w:lineRule="auto"/>
        <w:rPr>
          <w:sz w:val="20"/>
          <w:szCs w:val="20"/>
          <w:color w:val="auto"/>
        </w:rPr>
      </w:pPr>
      <w:r>
        <w:rPr>
          <w:rFonts w:ascii="Arial" w:cs="Arial" w:eastAsia="Arial" w:hAnsi="Arial"/>
          <w:sz w:val="18"/>
          <w:szCs w:val="18"/>
          <w:color w:val="auto"/>
        </w:rPr>
        <w:t>471-2526; or SVB Leerink LLC, Attention: Syndicate Department, One Federal Street, 37th Floor, Boston, Massachusetts 01220, by email at syndicate@svbleerink.com, or by telephone at (800) 808-7525, ext. 6218.</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press release does not and shall not constitute an offer to sell or the solicitation of an offer to buy any securities, nor shall there be any sale of these securities in any state or other jurisdiction in which such offer, solicitation or sale would be unlawful prior to registration or qualification under the securities laws of any such state or other jurisdiction. Any offer, if at all, will be made only by means of a prospectus, including a prospectus supplement, forming a part of the effective registration statement.</w:t>
      </w:r>
    </w:p>
    <w:p>
      <w:pPr>
        <w:sectPr>
          <w:pgSz w:w="11900" w:h="16838" w:orient="portrait"/>
          <w:cols w:equalWidth="0" w:num="1">
            <w:col w:w="11020"/>
          </w:cols>
          <w:pgMar w:left="440" w:top="121" w:right="439" w:bottom="81" w:gutter="0" w:footer="0" w:header="0"/>
        </w:sectPr>
      </w:pPr>
    </w:p>
    <w:bookmarkStart w:id="44" w:name="page45"/>
    <w:bookmarkEnd w:id="44"/>
    <w:p>
      <w:pPr>
        <w:spacing w:after="0" w:line="277" w:lineRule="auto"/>
        <w:rPr>
          <w:sz w:val="20"/>
          <w:szCs w:val="20"/>
          <w:color w:val="auto"/>
        </w:rPr>
      </w:pPr>
      <w:r>
        <w:rPr>
          <w:rFonts w:ascii="Arial" w:cs="Arial" w:eastAsia="Arial" w:hAnsi="Arial"/>
          <w:sz w:val="18"/>
          <w:szCs w:val="18"/>
          <w:color w:val="auto"/>
        </w:rPr>
        <w:t>Veracyte, Afirma, Percepta, Envisia, Prosigna, LymphMark, and Know by Design, and the Veracyte, Afirma, Percepta, Envisia and Prosigna logos are trademarks of Veracyte, Inc.</w:t>
      </w:r>
    </w:p>
    <w:p>
      <w:pPr>
        <w:sectPr>
          <w:pgSz w:w="11900" w:h="16838" w:orient="portrait"/>
          <w:cols w:equalWidth="0" w:num="1">
            <w:col w:w="10820"/>
          </w:cols>
          <w:pgMar w:left="440" w:top="125" w:right="639" w:bottom="1440" w:gutter="0" w:footer="0" w:header="0"/>
        </w:sectPr>
      </w:pPr>
    </w:p>
    <w:bookmarkStart w:id="45" w:name="page46"/>
    <w:bookmarkEnd w:id="4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Forward-Looking Statements</w:t>
      </w:r>
    </w:p>
    <w:p>
      <w:pPr>
        <w:spacing w:after="0" w:line="121"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Certain of the statements made in this press release are forward looking, such as those, among others, relating to Veracyte’s expectations regarding the completion, timing and size of the proposed offering. Actual results or developments may differ materially from those projected or implied in these forward-looking statements. Factors that may cause such a difference include, without limitation, risks and uncertainties related to whether or not Veracyte will be able to raise capital through the sale of its securities, the final terms of the proposed offering, market and other conditions, and the satisfaction of customary closing conditions related to the proposed public offering. There can be no assurance that Veracyte will be able to complete the proposed public offering on the anticipated terms, or at all. You should not place undue reliance on these forward-looking statements, which apply only as of the date of this press release. Additional risks and uncertainties relating to the proposed public offering, Veracyte and its business can be found under the heading “Risk Factors” in Veracyte’s Annual Report on Form 10-K for the year ended December 31, 2019, and other filings with the SEC, and in the preliminary prospectus supplement related to the proposed public offering to be filed with the SEC on or about the date hereof. Except as otherwise required by law, Veracyte does not undertake any obligation to update forward-looking statements and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 and Media Contacts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Keith Kennedy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Operating Officer &amp; Chief Financial Officer</w:t>
      </w:r>
    </w:p>
    <w:p>
      <w:pPr>
        <w:spacing w:after="0" w:line="9" w:lineRule="exact"/>
        <w:rPr>
          <w:sz w:val="20"/>
          <w:szCs w:val="20"/>
          <w:color w:val="auto"/>
        </w:rPr>
      </w:pPr>
    </w:p>
    <w:p>
      <w:pPr>
        <w:ind w:left="4" w:right="9500" w:hanging="4"/>
        <w:spacing w:after="0" w:line="323" w:lineRule="auto"/>
        <w:tabs>
          <w:tab w:leader="none" w:pos="439"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243-6357 </w:t>
      </w:r>
      <w:r>
        <w:rPr>
          <w:rFonts w:ascii="Arial" w:cs="Arial" w:eastAsia="Arial" w:hAnsi="Arial"/>
          <w:sz w:val="16"/>
          <w:szCs w:val="16"/>
          <w:u w:val="single" w:color="auto"/>
          <w:color w:val="auto"/>
        </w:rPr>
        <w:t>keith@veracyte.com</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Tracy Morris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Vice President of Corporate Communications &amp; Investor Relations</w:t>
      </w:r>
    </w:p>
    <w:p>
      <w:pPr>
        <w:spacing w:after="0" w:line="9" w:lineRule="exact"/>
        <w:rPr>
          <w:sz w:val="20"/>
          <w:szCs w:val="20"/>
          <w:color w:val="auto"/>
        </w:rPr>
      </w:pPr>
    </w:p>
    <w:p>
      <w:pPr>
        <w:ind w:left="4" w:right="9000" w:hanging="4"/>
        <w:spacing w:after="0" w:line="323" w:lineRule="auto"/>
        <w:tabs>
          <w:tab w:leader="none" w:pos="439"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380-4413 </w:t>
      </w:r>
      <w:r>
        <w:rPr>
          <w:rFonts w:ascii="Arial" w:cs="Arial" w:eastAsia="Arial" w:hAnsi="Arial"/>
          <w:sz w:val="16"/>
          <w:szCs w:val="16"/>
          <w:u w:val="single" w:color="auto"/>
          <w:color w:val="auto"/>
        </w:rPr>
        <w:t>tracy.morris@veracyte.com</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lowerLetter"/>
      <w:start w:val="4"/>
    </w:lvl>
  </w:abstractNum>
  <w:abstractNum w:abstractNumId="2">
    <w:nsid w:val="54E49EB4"/>
    <w:multiLevelType w:val="hybridMultilevel"/>
    <w:lvl w:ilvl="0">
      <w:lvlJc w:val="left"/>
      <w:lvlText w:val="(%1)"/>
      <w:numFmt w:val="lowerLetter"/>
      <w:start w:val="1"/>
    </w:lvl>
  </w:abstractNum>
  <w:abstractNum w:abstractNumId="3">
    <w:nsid w:val="71F32454"/>
    <w:multiLevelType w:val="hybridMultilevel"/>
    <w:lvl w:ilvl="0">
      <w:lvlJc w:val="left"/>
      <w:lvlText w:val="(%1)"/>
      <w:numFmt w:val="lowerLetter"/>
      <w:start w:val="3"/>
    </w:lvl>
  </w:abstractNum>
  <w:abstractNum w:abstractNumId="4">
    <w:nsid w:val="2CA88611"/>
    <w:multiLevelType w:val="hybridMultilevel"/>
    <w:lvl w:ilvl="0">
      <w:lvlJc w:val="left"/>
      <w:lvlText w:val="(%1)"/>
      <w:numFmt w:val="lowerLetter"/>
      <w:start w:val="7"/>
    </w:lvl>
  </w:abstractNum>
  <w:abstractNum w:abstractNumId="5">
    <w:nsid w:val="836C40E"/>
    <w:multiLevelType w:val="hybridMultilevel"/>
    <w:lvl w:ilvl="0">
      <w:lvlJc w:val="left"/>
      <w:lvlText w:val="(%1)"/>
      <w:numFmt w:val="lowerLetter"/>
      <w:start w:val="13"/>
    </w:lvl>
  </w:abstractNum>
  <w:abstractNum w:abstractNumId="6">
    <w:nsid w:val="2901D82"/>
    <w:multiLevelType w:val="hybridMultilevel"/>
    <w:lvl w:ilvl="0">
      <w:lvlJc w:val="left"/>
      <w:lvlText w:val="%1"/>
      <w:numFmt w:val="lowerLetter"/>
      <w:start w:val="1"/>
    </w:lvl>
    <w:lvl w:ilvl="1">
      <w:lvlJc w:val="left"/>
      <w:lvlText w:val="(%2)"/>
      <w:numFmt w:val="lowerLetter"/>
      <w:start w:val="17"/>
    </w:lvl>
  </w:abstractNum>
  <w:abstractNum w:abstractNumId="7">
    <w:nsid w:val="3A95F874"/>
    <w:multiLevelType w:val="hybridMultilevel"/>
    <w:lvl w:ilvl="0">
      <w:lvlJc w:val="left"/>
      <w:lvlText w:val="(%1)"/>
      <w:numFmt w:val="lowerLetter"/>
      <w:start w:val="61"/>
    </w:lvl>
    <w:lvl w:ilvl="1">
      <w:lvlJc w:val="left"/>
      <w:lvlText w:val="(%2)"/>
      <w:numFmt w:val="lowerLetter"/>
      <w:start w:val="19"/>
    </w:lvl>
  </w:abstractNum>
  <w:abstractNum w:abstractNumId="8">
    <w:nsid w:val="8138641"/>
    <w:multiLevelType w:val="hybridMultilevel"/>
    <w:lvl w:ilvl="0">
      <w:lvlJc w:val="left"/>
      <w:lvlText w:val="%1"/>
      <w:numFmt w:val="lowerLetter"/>
      <w:start w:val="1"/>
    </w:lvl>
    <w:lvl w:ilvl="1">
      <w:lvlJc w:val="left"/>
      <w:lvlText w:val="(%2)"/>
      <w:numFmt w:val="lowerLetter"/>
      <w:start w:val="21"/>
    </w:lvl>
    <w:lvl w:ilvl="2">
      <w:lvlJc w:val="left"/>
      <w:lvlText w:val="(%3)"/>
      <w:numFmt w:val="lowerRoman"/>
      <w:start w:val="1"/>
    </w:lvl>
    <w:lvl w:ilvl="3">
      <w:lvlJc w:val="left"/>
      <w:lvlText w:val="(%4)"/>
      <w:numFmt w:val="upperLetter"/>
      <w:start w:val="1"/>
    </w:lvl>
  </w:abstractNum>
  <w:abstractNum w:abstractNumId="9">
    <w:nsid w:val="1E7FF521"/>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
    <w:nsid w:val="7C3DBD3D"/>
    <w:multiLevelType w:val="hybridMultilevel"/>
    <w:lvl w:ilvl="0">
      <w:lvlJc w:val="left"/>
      <w:lvlText w:val="(%1)"/>
      <w:numFmt w:val="lowerLetter"/>
      <w:start w:val="23"/>
    </w:lvl>
  </w:abstractNum>
  <w:abstractNum w:abstractNumId="11">
    <w:nsid w:val="737B8DDC"/>
    <w:multiLevelType w:val="hybridMultilevel"/>
    <w:lvl w:ilvl="0">
      <w:lvlJc w:val="left"/>
      <w:lvlText w:val="(%1)"/>
      <w:numFmt w:val="lowerLetter"/>
      <w:start w:val="26"/>
    </w:lvl>
  </w:abstractNum>
  <w:abstractNum w:abstractNumId="12">
    <w:nsid w:val="6CEAF087"/>
    <w:multiLevelType w:val="hybridMultilevel"/>
    <w:lvl w:ilvl="0">
      <w:lvlJc w:val="left"/>
      <w:lvlText w:val="(%1)"/>
      <w:numFmt w:val="lowerLetter"/>
      <w:start w:val="27"/>
    </w:lvl>
  </w:abstractNum>
  <w:abstractNum w:abstractNumId="13">
    <w:nsid w:val="22221A70"/>
    <w:multiLevelType w:val="hybridMultilevel"/>
    <w:lvl w:ilvl="0">
      <w:lvlJc w:val="left"/>
      <w:lvlText w:val="(%1)"/>
      <w:numFmt w:val="lowerLetter"/>
      <w:start w:val="29"/>
    </w:lvl>
  </w:abstractNum>
  <w:abstractNum w:abstractNumId="14">
    <w:nsid w:val="4516DDE9"/>
    <w:multiLevelType w:val="hybridMultilevel"/>
    <w:lvl w:ilvl="0">
      <w:lvlJc w:val="left"/>
      <w:lvlText w:val="(%1)"/>
      <w:numFmt w:val="lowerLetter"/>
      <w:start w:val="33"/>
    </w:lvl>
  </w:abstractNum>
  <w:abstractNum w:abstractNumId="15">
    <w:nsid w:val="3006C83E"/>
    <w:multiLevelType w:val="hybridMultilevel"/>
    <w:lvl w:ilvl="0">
      <w:lvlJc w:val="left"/>
      <w:lvlText w:val="(%1)"/>
      <w:numFmt w:val="lowerLetter"/>
      <w:start w:val="35"/>
    </w:lvl>
  </w:abstractNum>
  <w:abstractNum w:abstractNumId="16">
    <w:nsid w:val="614FD4A1"/>
    <w:multiLevelType w:val="hybridMultilevel"/>
    <w:lvl w:ilvl="0">
      <w:lvlJc w:val="left"/>
      <w:lvlText w:val="(%1)"/>
      <w:numFmt w:val="lowerLetter"/>
      <w:start w:val="39"/>
    </w:lvl>
  </w:abstractNum>
  <w:abstractNum w:abstractNumId="17">
    <w:nsid w:val="419AC241"/>
    <w:multiLevelType w:val="hybridMultilevel"/>
    <w:lvl w:ilvl="0">
      <w:lvlJc w:val="left"/>
      <w:lvlText w:val="(%1)"/>
      <w:numFmt w:val="lowerLetter"/>
      <w:start w:val="45"/>
    </w:lvl>
  </w:abstractNum>
  <w:abstractNum w:abstractNumId="18">
    <w:nsid w:val="5577F8E1"/>
    <w:multiLevelType w:val="hybridMultilevel"/>
    <w:lvl w:ilvl="0">
      <w:lvlJc w:val="left"/>
      <w:lvlText w:val="%1."/>
      <w:numFmt w:val="decimal"/>
      <w:start w:val="2"/>
    </w:lvl>
  </w:abstractNum>
  <w:abstractNum w:abstractNumId="19">
    <w:nsid w:val="440BADFC"/>
    <w:multiLevelType w:val="hybridMultilevel"/>
    <w:lvl w:ilvl="0">
      <w:lvlJc w:val="left"/>
      <w:lvlText w:val="%1."/>
      <w:numFmt w:val="decimal"/>
      <w:start w:val="3"/>
    </w:lvl>
  </w:abstractNum>
  <w:abstractNum w:abstractNumId="20">
    <w:nsid w:val="5072367"/>
    <w:multiLevelType w:val="hybridMultilevel"/>
    <w:lvl w:ilvl="0">
      <w:lvlJc w:val="left"/>
      <w:lvlText w:val="%1."/>
      <w:numFmt w:val="decimal"/>
      <w:start w:val="4"/>
    </w:lvl>
  </w:abstractNum>
  <w:abstractNum w:abstractNumId="21">
    <w:nsid w:val="3804823E"/>
    <w:multiLevelType w:val="hybridMultilevel"/>
    <w:lvl w:ilvl="0">
      <w:lvlJc w:val="left"/>
      <w:lvlText w:val="%1."/>
      <w:numFmt w:val="decimal"/>
      <w:start w:val="5"/>
    </w:lvl>
  </w:abstractNum>
  <w:abstractNum w:abstractNumId="22">
    <w:nsid w:val="77465F01"/>
    <w:multiLevelType w:val="hybridMultilevel"/>
    <w:lvl w:ilvl="0">
      <w:lvlJc w:val="left"/>
      <w:lvlText w:val="(%1)"/>
      <w:numFmt w:val="lowerLetter"/>
      <w:start w:val="1"/>
    </w:lvl>
  </w:abstractNum>
  <w:abstractNum w:abstractNumId="23">
    <w:nsid w:val="7724C67E"/>
    <w:multiLevelType w:val="hybridMultilevel"/>
    <w:lvl w:ilvl="0">
      <w:lvlJc w:val="left"/>
      <w:lvlText w:val="(%1)"/>
      <w:numFmt w:val="lowerLetter"/>
      <w:start w:val="3"/>
    </w:lvl>
  </w:abstractNum>
  <w:abstractNum w:abstractNumId="24">
    <w:nsid w:val="5C482A97"/>
    <w:multiLevelType w:val="hybridMultilevel"/>
    <w:lvl w:ilvl="0">
      <w:lvlJc w:val="left"/>
      <w:lvlText w:val="(%1)"/>
      <w:numFmt w:val="lowerLetter"/>
      <w:start w:val="8"/>
    </w:lvl>
    <w:lvl w:ilvl="1">
      <w:lvlJc w:val="left"/>
      <w:lvlText w:val="(%2)"/>
      <w:numFmt w:val="lowerRoman"/>
      <w:start w:val="1"/>
    </w:lvl>
  </w:abstractNum>
  <w:abstractNum w:abstractNumId="25">
    <w:nsid w:val="2463B9EA"/>
    <w:multiLevelType w:val="hybridMultilevel"/>
    <w:lvl w:ilvl="0">
      <w:lvlJc w:val="left"/>
      <w:lvlText w:val="%1"/>
      <w:numFmt w:val="lowerLetter"/>
      <w:start w:val="1"/>
    </w:lvl>
    <w:lvl w:ilvl="1">
      <w:lvlJc w:val="left"/>
      <w:lvlText w:val="(%2)"/>
      <w:numFmt w:val="lowerLetter"/>
      <w:start w:val="22"/>
    </w:lvl>
  </w:abstractNum>
  <w:abstractNum w:abstractNumId="26">
    <w:nsid w:val="5E884ADC"/>
    <w:multiLevelType w:val="hybridMultilevel"/>
    <w:lvl w:ilvl="0">
      <w:lvlJc w:val="left"/>
      <w:lvlText w:val="(%1)"/>
      <w:numFmt w:val="lowerLetter"/>
      <w:start w:val="12"/>
    </w:lvl>
    <w:lvl w:ilvl="1">
      <w:lvlJc w:val="left"/>
      <w:lvlText w:val="%2"/>
      <w:numFmt w:val="lowerLetter"/>
      <w:start w:val="1"/>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1)"/>
      <w:numFmt w:val="lowerLetter"/>
      <w:start w:val="6"/>
    </w:lvl>
  </w:abstractNum>
  <w:abstractNum w:abstractNumId="29">
    <w:nsid w:val="580BD78F"/>
    <w:multiLevelType w:val="hybridMultilevel"/>
    <w:lvl w:ilvl="0">
      <w:lvlJc w:val="left"/>
      <w:lvlText w:val="(%1)"/>
      <w:numFmt w:val="lowerRoman"/>
      <w:start w:val="7"/>
    </w:lvl>
    <w:lvl w:ilvl="1">
      <w:lvlJc w:val="left"/>
      <w:lvlText w:val="%2"/>
      <w:numFmt w:val="lowerLetter"/>
      <w:start w:val="1"/>
    </w:lvl>
  </w:abstractNum>
  <w:abstractNum w:abstractNumId="30">
    <w:nsid w:val="153EA438"/>
    <w:multiLevelType w:val="hybridMultilevel"/>
    <w:lvl w:ilvl="0">
      <w:lvlJc w:val="left"/>
      <w:lvlText w:val="(%1)"/>
      <w:numFmt w:val="lowerRoman"/>
      <w:start w:val="10"/>
    </w:lvl>
    <w:lvl w:ilvl="1">
      <w:lvlJc w:val="left"/>
      <w:lvlText w:val="(%2)"/>
      <w:numFmt w:val="lowerLetter"/>
      <w:start w:val="10"/>
    </w:lvl>
  </w:abstractNum>
  <w:abstractNum w:abstractNumId="31">
    <w:nsid w:val="3855585C"/>
    <w:multiLevelType w:val="hybridMultilevel"/>
    <w:lvl w:ilvl="0">
      <w:lvlJc w:val="left"/>
      <w:lvlText w:val="(%1)"/>
      <w:numFmt w:val="lowerLetter"/>
      <w:start w:val="12"/>
    </w:lvl>
  </w:abstractNum>
  <w:abstractNum w:abstractNumId="32">
    <w:nsid w:val="70A64E2A"/>
    <w:multiLevelType w:val="hybridMultilevel"/>
    <w:lvl w:ilvl="0">
      <w:lvlJc w:val="left"/>
      <w:lvlText w:val="(%1)"/>
      <w:numFmt w:val="lowerLetter"/>
      <w:start w:val="6"/>
    </w:lvl>
  </w:abstractNum>
  <w:abstractNum w:abstractNumId="33">
    <w:nsid w:val="6A2342EC"/>
    <w:multiLevelType w:val="hybridMultilevel"/>
    <w:lvl w:ilvl="0">
      <w:lvlJc w:val="left"/>
      <w:lvlText w:val="(%1)"/>
      <w:numFmt w:val="lowerLetter"/>
      <w:start w:val="7"/>
    </w:lvl>
    <w:lvl w:ilvl="1">
      <w:lvlJc w:val="left"/>
      <w:lvlText w:val="%2."/>
      <w:numFmt w:val="decimal"/>
      <w:start w:val="7"/>
    </w:lvl>
  </w:abstractNum>
  <w:abstractNum w:abstractNumId="34">
    <w:nsid w:val="2A487CB0"/>
    <w:multiLevelType w:val="hybridMultilevel"/>
    <w:lvl w:ilvl="0">
      <w:lvlJc w:val="left"/>
      <w:lvlText w:val="(%1)"/>
      <w:numFmt w:val="lowerLetter"/>
      <w:start w:val="2"/>
    </w:lvl>
  </w:abstractNum>
  <w:abstractNum w:abstractNumId="35">
    <w:nsid w:val="1D4ED43B"/>
    <w:multiLevelType w:val="hybridMultilevel"/>
    <w:lvl w:ilvl="0">
      <w:lvlJc w:val="left"/>
      <w:lvlText w:val="(%1)"/>
      <w:numFmt w:val="lowerLetter"/>
      <w:start w:val="3"/>
    </w:lvl>
  </w:abstractNum>
  <w:abstractNum w:abstractNumId="36">
    <w:nsid w:val="725A06FB"/>
    <w:multiLevelType w:val="hybridMultilevel"/>
    <w:lvl w:ilvl="0">
      <w:lvlJc w:val="left"/>
      <w:lvlText w:val="(%1)"/>
      <w:numFmt w:val="lowerLetter"/>
      <w:start w:val="5"/>
    </w:lvl>
  </w:abstractNum>
  <w:abstractNum w:abstractNumId="37">
    <w:nsid w:val="2CD89A32"/>
    <w:multiLevelType w:val="hybridMultilevel"/>
    <w:lvl w:ilvl="0">
      <w:lvlJc w:val="left"/>
      <w:lvlText w:val="%1"/>
      <w:numFmt w:val="lowerRoman"/>
      <w:start w:val="1"/>
    </w:lvl>
    <w:lvl w:ilvl="1">
      <w:lvlJc w:val="left"/>
      <w:lvlText w:val="%2."/>
      <w:numFmt w:val="decimal"/>
      <w:start w:val="9"/>
    </w:lvl>
  </w:abstractNum>
  <w:abstractNum w:abstractNumId="38">
    <w:nsid w:val="57E4CCAF"/>
    <w:multiLevelType w:val="hybridMultilevel"/>
    <w:lvl w:ilvl="0">
      <w:lvlJc w:val="left"/>
      <w:lvlText w:val="(%1)"/>
      <w:numFmt w:val="lowerRoman"/>
      <w:start w:val="4"/>
    </w:lvl>
    <w:lvl w:ilvl="1">
      <w:lvlJc w:val="left"/>
      <w:lvlText w:val="%2."/>
      <w:numFmt w:val="decimal"/>
      <w:start w:val="10"/>
    </w:lvl>
  </w:abstractNum>
  <w:abstractNum w:abstractNumId="39">
    <w:nsid w:val="7A6D8D3C"/>
    <w:multiLevelType w:val="hybridMultilevel"/>
    <w:lvl w:ilvl="0">
      <w:lvlJc w:val="left"/>
      <w:lvlText w:val="%1."/>
      <w:numFmt w:val="decimal"/>
      <w:start w:val="11"/>
    </w:lvl>
  </w:abstractNum>
  <w:abstractNum w:abstractNumId="40">
    <w:nsid w:val="4B588F54"/>
    <w:multiLevelType w:val="hybridMultilevel"/>
    <w:lvl w:ilvl="0">
      <w:lvlJc w:val="left"/>
      <w:lvlText w:val="(%1)"/>
      <w:numFmt w:val="lowerLetter"/>
      <w:start w:val="2"/>
    </w:lvl>
  </w:abstractNum>
  <w:abstractNum w:abstractNumId="41">
    <w:nsid w:val="542289EC"/>
    <w:multiLevelType w:val="hybridMultilevel"/>
    <w:lvl w:ilvl="0">
      <w:lvlJc w:val="left"/>
      <w:lvlText w:val="%1."/>
      <w:numFmt w:val="decimal"/>
      <w:start w:val="12"/>
    </w:lvl>
  </w:abstractNum>
  <w:abstractNum w:abstractNumId="42">
    <w:nsid w:val="6DE91B18"/>
    <w:multiLevelType w:val="hybridMultilevel"/>
    <w:lvl w:ilvl="0">
      <w:lvlJc w:val="left"/>
      <w:lvlText w:val="(%1)"/>
      <w:numFmt w:val="lowerLetter"/>
      <w:start w:val="2"/>
    </w:lvl>
  </w:abstractNum>
  <w:abstractNum w:abstractNumId="43">
    <w:nsid w:val="38437FDB"/>
    <w:multiLevelType w:val="hybridMultilevel"/>
    <w:lvl w:ilvl="0">
      <w:lvlJc w:val="left"/>
      <w:lvlText w:val="%1."/>
      <w:numFmt w:val="decimal"/>
      <w:start w:val="13"/>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60"/>
    </w:lvl>
  </w:abstractNum>
  <w:abstractNum w:abstractNumId="46">
    <w:nsid w:val="684A481A"/>
    <w:multiLevelType w:val="hybridMultilevel"/>
    <w:lvl w:ilvl="0">
      <w:lvlJc w:val="left"/>
      <w:lvlText w:val="(%1)"/>
      <w:numFmt w:val="lowerRoman"/>
      <w:start w:val="2"/>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1)"/>
      <w:numFmt w:val="lowerLetter"/>
      <w:start w:val="3"/>
    </w:lvl>
  </w:abstractNum>
  <w:abstractNum w:abstractNumId="49">
    <w:nsid w:val="3DC240FB"/>
    <w:multiLevelType w:val="hybridMultilevel"/>
    <w:lvl w:ilvl="0">
      <w:lvlJc w:val="left"/>
      <w:lvlText w:val="(%1)"/>
      <w:numFmt w:val="decimal"/>
      <w:start w:val="650"/>
    </w:lvl>
  </w:abstractNum>
  <w:abstractNum w:abstractNumId="50">
    <w:nsid w:val="1BA026FA"/>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2020-08-05T15:09:28Z</dcterms:created>
  <dcterms:modified xsi:type="dcterms:W3CDTF">2020-08-05T15:09:28Z</dcterms:modified>
</cp:coreProperties>
</file>