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616585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685165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25, 2020</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VERACYTE, INC.</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3020" w:type="dxa"/>
            <w:vAlign w:val="bottom"/>
          </w:tcPr>
          <w:p>
            <w:pPr>
              <w:ind w:left="500"/>
              <w:spacing w:after="0"/>
              <w:rPr>
                <w:sz w:val="20"/>
                <w:szCs w:val="20"/>
                <w:color w:val="auto"/>
              </w:rPr>
            </w:pPr>
            <w:r>
              <w:rPr>
                <w:rFonts w:ascii="Arial" w:cs="Arial" w:eastAsia="Arial" w:hAnsi="Arial"/>
                <w:sz w:val="18"/>
                <w:szCs w:val="18"/>
                <w:b w:val="1"/>
                <w:bCs w:val="1"/>
                <w:color w:val="auto"/>
              </w:rPr>
              <w:t>DELAWARE</w:t>
            </w:r>
          </w:p>
        </w:tc>
        <w:tc>
          <w:tcPr>
            <w:tcW w:w="3740" w:type="dxa"/>
            <w:vAlign w:val="bottom"/>
          </w:tcPr>
          <w:p>
            <w:pPr>
              <w:jc w:val="right"/>
              <w:ind w:right="1390"/>
              <w:spacing w:after="0"/>
              <w:rPr>
                <w:sz w:val="20"/>
                <w:szCs w:val="20"/>
                <w:color w:val="auto"/>
              </w:rPr>
            </w:pPr>
            <w:r>
              <w:rPr>
                <w:rFonts w:ascii="Arial" w:cs="Arial" w:eastAsia="Arial" w:hAnsi="Arial"/>
                <w:sz w:val="18"/>
                <w:szCs w:val="18"/>
                <w:b w:val="1"/>
                <w:bCs w:val="1"/>
                <w:color w:val="auto"/>
              </w:rPr>
              <w:t>001-36156</w:t>
            </w:r>
          </w:p>
        </w:tc>
        <w:tc>
          <w:tcPr>
            <w:tcW w:w="3060" w:type="dxa"/>
            <w:vAlign w:val="bottom"/>
          </w:tcPr>
          <w:p>
            <w:pPr>
              <w:jc w:val="right"/>
              <w:ind w:right="550"/>
              <w:spacing w:after="0"/>
              <w:rPr>
                <w:sz w:val="20"/>
                <w:szCs w:val="20"/>
                <w:color w:val="auto"/>
              </w:rPr>
            </w:pPr>
            <w:r>
              <w:rPr>
                <w:rFonts w:ascii="Arial" w:cs="Arial" w:eastAsia="Arial" w:hAnsi="Arial"/>
                <w:sz w:val="18"/>
                <w:szCs w:val="18"/>
                <w:b w:val="1"/>
                <w:bCs w:val="1"/>
                <w:color w:val="auto"/>
              </w:rPr>
              <w:t>20-5455398</w:t>
            </w:r>
          </w:p>
        </w:tc>
      </w:tr>
      <w:tr>
        <w:trPr>
          <w:trHeight w:val="283"/>
        </w:trPr>
        <w:tc>
          <w:tcPr>
            <w:tcW w:w="3020" w:type="dxa"/>
            <w:vAlign w:val="bottom"/>
          </w:tcPr>
          <w:p>
            <w:pPr>
              <w:spacing w:after="0"/>
              <w:rPr>
                <w:sz w:val="20"/>
                <w:szCs w:val="20"/>
                <w:color w:val="auto"/>
              </w:rPr>
            </w:pPr>
            <w:r>
              <w:rPr>
                <w:rFonts w:ascii="Arial" w:cs="Arial" w:eastAsia="Arial" w:hAnsi="Arial"/>
                <w:sz w:val="18"/>
                <w:szCs w:val="18"/>
                <w:color w:val="auto"/>
              </w:rPr>
              <w:t>(State or other jurisdiction of</w:t>
            </w:r>
          </w:p>
        </w:tc>
        <w:tc>
          <w:tcPr>
            <w:tcW w:w="3740" w:type="dxa"/>
            <w:vAlign w:val="bottom"/>
          </w:tcPr>
          <w:p>
            <w:pPr>
              <w:spacing w:after="0"/>
              <w:rPr>
                <w:sz w:val="24"/>
                <w:szCs w:val="24"/>
                <w:color w:val="auto"/>
              </w:rPr>
            </w:pPr>
          </w:p>
        </w:tc>
        <w:tc>
          <w:tcPr>
            <w:tcW w:w="3060" w:type="dxa"/>
            <w:vAlign w:val="bottom"/>
          </w:tcPr>
          <w:p>
            <w:pPr>
              <w:jc w:val="center"/>
              <w:ind w:left="850"/>
              <w:spacing w:after="0"/>
              <w:rPr>
                <w:sz w:val="20"/>
                <w:szCs w:val="20"/>
                <w:color w:val="auto"/>
              </w:rPr>
            </w:pPr>
            <w:r>
              <w:rPr>
                <w:rFonts w:ascii="Arial" w:cs="Arial" w:eastAsia="Arial" w:hAnsi="Arial"/>
                <w:sz w:val="18"/>
                <w:szCs w:val="18"/>
                <w:color w:val="auto"/>
                <w:w w:val="95"/>
              </w:rPr>
              <w:t>(IRS Employer Identification</w:t>
            </w:r>
          </w:p>
        </w:tc>
      </w:tr>
      <w:tr>
        <w:trPr>
          <w:trHeight w:val="257"/>
        </w:trPr>
        <w:tc>
          <w:tcPr>
            <w:tcW w:w="3020" w:type="dxa"/>
            <w:vAlign w:val="bottom"/>
          </w:tcPr>
          <w:p>
            <w:pPr>
              <w:ind w:left="540"/>
              <w:spacing w:after="0"/>
              <w:rPr>
                <w:sz w:val="20"/>
                <w:szCs w:val="20"/>
                <w:color w:val="auto"/>
              </w:rPr>
            </w:pPr>
            <w:r>
              <w:rPr>
                <w:rFonts w:ascii="Arial" w:cs="Arial" w:eastAsia="Arial" w:hAnsi="Arial"/>
                <w:sz w:val="18"/>
                <w:szCs w:val="18"/>
                <w:color w:val="auto"/>
              </w:rPr>
              <w:t>incorporation)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60" w:type="dxa"/>
            <w:vAlign w:val="bottom"/>
          </w:tcPr>
          <w:p>
            <w:pPr>
              <w:jc w:val="center"/>
              <w:ind w:left="850"/>
              <w:spacing w:after="0"/>
              <w:rPr>
                <w:sz w:val="20"/>
                <w:szCs w:val="20"/>
                <w:color w:val="auto"/>
              </w:rPr>
            </w:pPr>
            <w:r>
              <w:rPr>
                <w:rFonts w:ascii="Arial" w:cs="Arial" w:eastAsia="Arial" w:hAnsi="Arial"/>
                <w:sz w:val="18"/>
                <w:szCs w:val="18"/>
                <w:color w:val="auto"/>
                <w:w w:val="93"/>
              </w:rPr>
              <w:t>No.)</w:t>
            </w:r>
          </w:p>
        </w:tc>
      </w:tr>
      <w:tr>
        <w:trPr>
          <w:trHeight w:val="797"/>
        </w:trPr>
        <w:tc>
          <w:tcPr>
            <w:tcW w:w="6760" w:type="dxa"/>
            <w:vAlign w:val="bottom"/>
            <w:gridSpan w:val="2"/>
          </w:tcPr>
          <w:p>
            <w:pPr>
              <w:jc w:val="center"/>
              <w:ind w:right="157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60" w:type="dxa"/>
            <w:vAlign w:val="bottom"/>
          </w:tcPr>
          <w:p>
            <w:pPr>
              <w:jc w:val="right"/>
              <w:ind w:right="710"/>
              <w:spacing w:after="0"/>
              <w:rPr>
                <w:sz w:val="20"/>
                <w:szCs w:val="20"/>
                <w:color w:val="auto"/>
              </w:rPr>
            </w:pPr>
            <w:r>
              <w:rPr>
                <w:rFonts w:ascii="Arial" w:cs="Arial" w:eastAsia="Arial" w:hAnsi="Arial"/>
                <w:sz w:val="18"/>
                <w:szCs w:val="18"/>
                <w:b w:val="1"/>
                <w:bCs w:val="1"/>
                <w:color w:val="auto"/>
              </w:rPr>
              <w:t>94080</w:t>
            </w:r>
          </w:p>
        </w:tc>
      </w:tr>
      <w:tr>
        <w:trPr>
          <w:trHeight w:val="270"/>
        </w:trPr>
        <w:tc>
          <w:tcPr>
            <w:tcW w:w="6760" w:type="dxa"/>
            <w:vAlign w:val="bottom"/>
            <w:gridSpan w:val="2"/>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60" w:type="dxa"/>
            <w:vAlign w:val="bottom"/>
          </w:tcPr>
          <w:p>
            <w:pPr>
              <w:jc w:val="center"/>
              <w:ind w:left="910"/>
              <w:spacing w:after="0"/>
              <w:rPr>
                <w:sz w:val="20"/>
                <w:szCs w:val="20"/>
                <w:color w:val="auto"/>
              </w:rPr>
            </w:pPr>
            <w:r>
              <w:rPr>
                <w:rFonts w:ascii="Arial" w:cs="Arial" w:eastAsia="Arial" w:hAnsi="Arial"/>
                <w:sz w:val="18"/>
                <w:szCs w:val="18"/>
                <w:color w:val="auto"/>
                <w:w w:val="91"/>
              </w:rPr>
              <w:t>(Zip Code)</w:t>
            </w:r>
          </w:p>
        </w:tc>
      </w:tr>
    </w:tbl>
    <w:p>
      <w:pPr>
        <w:spacing w:after="0" w:line="27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83" w:lineRule="exact"/>
        <w:rPr>
          <w:sz w:val="24"/>
          <w:szCs w:val="24"/>
          <w:color w:val="auto"/>
        </w:rPr>
      </w:pPr>
    </w:p>
    <w:p>
      <w:pPr>
        <w:ind w:left="6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84" w:lineRule="exact"/>
        <w:rPr>
          <w:sz w:val="24"/>
          <w:szCs w:val="24"/>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72" w:lineRule="exact"/>
        <w:rPr>
          <w:rFonts w:ascii="Arial" w:cs="Arial" w:eastAsia="Arial" w:hAnsi="Arial"/>
          <w:sz w:val="16"/>
          <w:szCs w:val="16"/>
          <w:color w:val="auto"/>
        </w:rPr>
      </w:pPr>
    </w:p>
    <w:p>
      <w:pPr>
        <w:ind w:left="640" w:hanging="571"/>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500"/>
        </w:trPr>
        <w:tc>
          <w:tcPr>
            <w:tcW w:w="80" w:type="dxa"/>
            <w:vAlign w:val="bottom"/>
          </w:tcPr>
          <w:p>
            <w:pPr>
              <w:spacing w:after="0"/>
              <w:rPr>
                <w:sz w:val="24"/>
                <w:szCs w:val="24"/>
                <w:color w:val="auto"/>
              </w:rPr>
            </w:pP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214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5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8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46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140" w:type="dxa"/>
            <w:vAlign w:val="bottom"/>
            <w:gridSpan w:val="2"/>
          </w:tcPr>
          <w:p>
            <w:pPr>
              <w:ind w:left="780"/>
              <w:spacing w:after="0"/>
              <w:rPr>
                <w:sz w:val="20"/>
                <w:szCs w:val="20"/>
                <w:color w:val="auto"/>
              </w:rPr>
            </w:pPr>
            <w:r>
              <w:rPr>
                <w:rFonts w:ascii="Arial" w:cs="Arial" w:eastAsia="Arial" w:hAnsi="Arial"/>
                <w:sz w:val="18"/>
                <w:szCs w:val="18"/>
                <w:color w:val="auto"/>
              </w:rPr>
              <w:t>VCYT</w:t>
            </w:r>
          </w:p>
        </w:tc>
        <w:tc>
          <w:tcPr>
            <w:tcW w:w="45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75" w:lineRule="exact"/>
        <w:rPr>
          <w:sz w:val="24"/>
          <w:szCs w:val="24"/>
          <w:color w:val="auto"/>
        </w:rPr>
      </w:pPr>
    </w:p>
    <w:p>
      <w:pPr>
        <w:ind w:left="100"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3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117" w:lineRule="exact"/>
        <w:rPr>
          <w:sz w:val="24"/>
          <w:szCs w:val="24"/>
          <w:color w:val="auto"/>
        </w:rPr>
      </w:pPr>
    </w:p>
    <w:p>
      <w:pPr>
        <w:ind w:left="160" w:right="140"/>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301625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422" w:right="299" w:bottom="1440" w:gutter="0" w:footer="0" w:header="0"/>
        </w:sectPr>
      </w:pPr>
    </w:p>
    <w:bookmarkStart w:id="1" w:name="page2"/>
    <w:bookmarkEnd w:id="1"/>
    <w:p>
      <w:pPr>
        <w:ind w:right="4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Bonus Plan</w:t>
      </w:r>
    </w:p>
    <w:p>
      <w:pPr>
        <w:spacing w:after="0" w:line="22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On February 25, 2020, the independent members of the Board, on the recommendation of the Compensation Committee, approved a corporate bonus plan for the 2020 fiscal year. Under the plan, eligible employees, including executive officers, are eligible to receive annual incentive compensation based on the level of achievement of specified corporate goals related to revenue, genomic test volume, cash flow from operations and product development. With respect to the Company’s executive officers, the bonus pool can be funded from 0% to 140% of target amounts. Actual awards under the plan could either exceed or be less than the targets established, as determined by the Compensation Committee and based on corporate and individual performance.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2, 2020</w:t>
      </w:r>
    </w:p>
    <w:p>
      <w:pPr>
        <w:spacing w:after="0" w:line="36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360" w:lineRule="exact"/>
        <w:rPr>
          <w:sz w:val="20"/>
          <w:szCs w:val="20"/>
          <w:color w:val="auto"/>
        </w:rPr>
      </w:pPr>
    </w:p>
    <w:tbl>
      <w:tblPr>
        <w:tblLayout w:type="fixed"/>
        <w:tblInd w:w="426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6240" w:type="dxa"/>
            <w:vAlign w:val="bottom"/>
          </w:tcPr>
          <w:p>
            <w:pPr>
              <w:ind w:left="20"/>
              <w:spacing w:after="0"/>
              <w:rPr>
                <w:sz w:val="20"/>
                <w:szCs w:val="20"/>
                <w:color w:val="auto"/>
              </w:rPr>
            </w:pPr>
            <w:r>
              <w:rPr>
                <w:rFonts w:ascii="Arial" w:cs="Arial" w:eastAsia="Arial" w:hAnsi="Arial"/>
                <w:sz w:val="18"/>
                <w:szCs w:val="18"/>
                <w:color w:val="auto"/>
              </w:rPr>
              <w:t>/s/ Keith Kennedy</w:t>
            </w:r>
          </w:p>
        </w:tc>
      </w:tr>
      <w:tr>
        <w:trPr>
          <w:trHeight w:val="27"/>
        </w:trPr>
        <w:tc>
          <w:tcPr>
            <w:tcW w:w="900" w:type="dxa"/>
            <w:vAlign w:val="bottom"/>
          </w:tcPr>
          <w:p>
            <w:pPr>
              <w:spacing w:after="0"/>
              <w:rPr>
                <w:sz w:val="2"/>
                <w:szCs w:val="2"/>
                <w:color w:val="auto"/>
              </w:rPr>
            </w:pPr>
          </w:p>
        </w:tc>
        <w:tc>
          <w:tcPr>
            <w:tcW w:w="6240" w:type="dxa"/>
            <w:vAlign w:val="bottom"/>
            <w:tcBorders>
              <w:bottom w:val="single" w:sz="8" w:color="auto"/>
            </w:tcBorders>
          </w:tcPr>
          <w:p>
            <w:pPr>
              <w:spacing w:after="0"/>
              <w:rPr>
                <w:sz w:val="2"/>
                <w:szCs w:val="2"/>
                <w:color w:val="auto"/>
              </w:rPr>
            </w:pPr>
          </w:p>
        </w:tc>
      </w:tr>
      <w:tr>
        <w:trPr>
          <w:trHeight w:val="237"/>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6240" w:type="dxa"/>
            <w:vAlign w:val="bottom"/>
          </w:tcPr>
          <w:p>
            <w:pPr>
              <w:ind w:left="20"/>
              <w:spacing w:after="0"/>
              <w:rPr>
                <w:sz w:val="20"/>
                <w:szCs w:val="20"/>
                <w:color w:val="auto"/>
              </w:rPr>
            </w:pPr>
            <w:r>
              <w:rPr>
                <w:rFonts w:ascii="Arial" w:cs="Arial" w:eastAsia="Arial" w:hAnsi="Arial"/>
                <w:sz w:val="18"/>
                <w:szCs w:val="18"/>
                <w:color w:val="auto"/>
              </w:rPr>
              <w:t>Keith Kennedy</w:t>
            </w: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 and Chief Operating Officer</w:t>
            </w:r>
          </w:p>
        </w:tc>
      </w:tr>
      <w:tr>
        <w:trPr>
          <w:trHeight w:val="270"/>
        </w:trPr>
        <w:tc>
          <w:tcPr>
            <w:tcW w:w="900" w:type="dxa"/>
            <w:vAlign w:val="bottom"/>
          </w:tcPr>
          <w:p>
            <w:pPr>
              <w:spacing w:after="0"/>
              <w:rPr>
                <w:sz w:val="23"/>
                <w:szCs w:val="23"/>
                <w:color w:val="auto"/>
              </w:rPr>
            </w:pPr>
          </w:p>
        </w:tc>
        <w:tc>
          <w:tcPr>
            <w:tcW w:w="62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400"/>
      </w:cols>
      <w:pgMar w:left="240" w:top="98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2020-03-02T15:06:42Z</dcterms:created>
  <dcterms:modified xsi:type="dcterms:W3CDTF">2020-03-02T15:06:42Z</dcterms:modified>
</cp:coreProperties>
</file>