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30, 2013</w:t>
      </w:r>
    </w:p>
    <w:p>
      <w:pPr>
        <w:spacing w:after="0" w:line="90" w:lineRule="exact"/>
        <w:rPr>
          <w:sz w:val="24"/>
          <w:szCs w:val="24"/>
          <w:color w:val="auto"/>
        </w:rPr>
      </w:pPr>
    </w:p>
    <w:p>
      <w:pPr>
        <w:ind w:left="94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99060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81915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260" w:type="dxa"/>
            <w:vAlign w:val="bottom"/>
          </w:tcPr>
          <w:p>
            <w:pPr>
              <w:jc w:val="right"/>
              <w:ind w:right="130"/>
              <w:spacing w:after="0"/>
              <w:rPr>
                <w:sz w:val="20"/>
                <w:szCs w:val="20"/>
                <w:color w:val="auto"/>
              </w:rPr>
            </w:pPr>
            <w:r>
              <w:rPr>
                <w:rFonts w:ascii="Arial" w:cs="Arial" w:eastAsia="Arial" w:hAnsi="Arial"/>
                <w:sz w:val="18"/>
                <w:szCs w:val="18"/>
                <w:b w:val="1"/>
                <w:bCs w:val="1"/>
                <w:color w:val="auto"/>
              </w:rPr>
              <w:t>20-5455398</w:t>
            </w:r>
          </w:p>
        </w:tc>
      </w:tr>
      <w:tr>
        <w:trPr>
          <w:trHeight w:val="216"/>
        </w:trPr>
        <w:tc>
          <w:tcPr>
            <w:tcW w:w="25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260" w:type="dxa"/>
            <w:vAlign w:val="bottom"/>
          </w:tcPr>
          <w:p>
            <w:pPr>
              <w:jc w:val="center"/>
              <w:ind w:left="3850"/>
              <w:spacing w:after="0"/>
              <w:rPr>
                <w:sz w:val="20"/>
                <w:szCs w:val="20"/>
                <w:color w:val="auto"/>
              </w:rPr>
            </w:pPr>
            <w:r>
              <w:rPr>
                <w:rFonts w:ascii="Arial" w:cs="Arial" w:eastAsia="Arial" w:hAnsi="Arial"/>
                <w:sz w:val="18"/>
                <w:szCs w:val="18"/>
                <w:color w:val="auto"/>
                <w:w w:val="93"/>
              </w:rPr>
              <w:t>(I.R.S. Employer</w:t>
            </w:r>
          </w:p>
        </w:tc>
      </w:tr>
      <w:tr>
        <w:trPr>
          <w:trHeight w:val="230"/>
        </w:trPr>
        <w:tc>
          <w:tcPr>
            <w:tcW w:w="256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260" w:type="dxa"/>
            <w:vAlign w:val="bottom"/>
          </w:tcPr>
          <w:p>
            <w:pPr>
              <w:jc w:val="center"/>
              <w:ind w:left="3830"/>
              <w:spacing w:after="0"/>
              <w:rPr>
                <w:sz w:val="20"/>
                <w:szCs w:val="20"/>
                <w:color w:val="auto"/>
              </w:rPr>
            </w:pPr>
            <w:r>
              <w:rPr>
                <w:rFonts w:ascii="Arial" w:cs="Arial" w:eastAsia="Arial" w:hAnsi="Arial"/>
                <w:sz w:val="18"/>
                <w:szCs w:val="18"/>
                <w:color w:val="auto"/>
                <w:w w:val="95"/>
              </w:rPr>
              <w:t>Identification No.)</w:t>
            </w:r>
          </w:p>
        </w:tc>
      </w:tr>
      <w:tr>
        <w:trPr>
          <w:trHeight w:val="279"/>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7000 Shoreline Court, Suite 250</w:t>
            </w:r>
          </w:p>
        </w:tc>
        <w:tc>
          <w:tcPr>
            <w:tcW w:w="5260" w:type="dxa"/>
            <w:vAlign w:val="bottom"/>
          </w:tcPr>
          <w:p>
            <w:pPr>
              <w:jc w:val="right"/>
              <w:ind w:right="350"/>
              <w:spacing w:after="0"/>
              <w:rPr>
                <w:sz w:val="20"/>
                <w:szCs w:val="20"/>
                <w:color w:val="auto"/>
              </w:rPr>
            </w:pPr>
            <w:r>
              <w:rPr>
                <w:rFonts w:ascii="Arial" w:cs="Arial" w:eastAsia="Arial" w:hAnsi="Arial"/>
                <w:sz w:val="18"/>
                <w:szCs w:val="18"/>
                <w:b w:val="1"/>
                <w:bCs w:val="1"/>
                <w:color w:val="auto"/>
              </w:rPr>
              <w:t>94080</w:t>
            </w:r>
          </w:p>
        </w:tc>
      </w:tr>
      <w:tr>
        <w:trPr>
          <w:trHeight w:val="234"/>
        </w:trPr>
        <w:tc>
          <w:tcPr>
            <w:tcW w:w="25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South San Francisco, California</w:t>
            </w:r>
          </w:p>
        </w:tc>
        <w:tc>
          <w:tcPr>
            <w:tcW w:w="5260" w:type="dxa"/>
            <w:vAlign w:val="bottom"/>
          </w:tcPr>
          <w:p>
            <w:pPr>
              <w:jc w:val="center"/>
              <w:ind w:left="3850"/>
              <w:spacing w:after="0"/>
              <w:rPr>
                <w:sz w:val="20"/>
                <w:szCs w:val="20"/>
                <w:color w:val="auto"/>
              </w:rPr>
            </w:pPr>
            <w:r>
              <w:rPr>
                <w:rFonts w:ascii="Arial" w:cs="Arial" w:eastAsia="Arial" w:hAnsi="Arial"/>
                <w:sz w:val="18"/>
                <w:szCs w:val="18"/>
                <w:color w:val="auto"/>
                <w:w w:val="94"/>
              </w:rPr>
              <w:t>(Zip Code)</w:t>
            </w:r>
          </w:p>
        </w:tc>
      </w:tr>
      <w:tr>
        <w:trPr>
          <w:trHeight w:val="279"/>
        </w:trPr>
        <w:tc>
          <w:tcPr>
            <w:tcW w:w="2560" w:type="dxa"/>
            <w:vAlign w:val="bottom"/>
          </w:tcPr>
          <w:p>
            <w:pPr>
              <w:spacing w:after="0"/>
              <w:rPr>
                <w:sz w:val="24"/>
                <w:szCs w:val="24"/>
                <w:color w:val="auto"/>
              </w:rPr>
            </w:pPr>
          </w:p>
        </w:tc>
        <w:tc>
          <w:tcPr>
            <w:tcW w:w="5260" w:type="dxa"/>
            <w:vAlign w:val="bottom"/>
          </w:tcPr>
          <w:p>
            <w:pPr>
              <w:jc w:val="center"/>
              <w:ind w:right="1890"/>
              <w:spacing w:after="0"/>
              <w:rPr>
                <w:sz w:val="20"/>
                <w:szCs w:val="20"/>
                <w:color w:val="auto"/>
              </w:rPr>
            </w:pPr>
            <w:r>
              <w:rPr>
                <w:rFonts w:ascii="Arial" w:cs="Arial" w:eastAsia="Arial" w:hAnsi="Arial"/>
                <w:sz w:val="18"/>
                <w:szCs w:val="18"/>
                <w:b w:val="1"/>
                <w:bCs w:val="1"/>
                <w:color w:val="auto"/>
                <w:w w:val="90"/>
              </w:rPr>
              <w:t>Veracyte, Inc. 2013 Stock Incentive Plan</w:t>
            </w:r>
          </w:p>
        </w:tc>
      </w:tr>
      <w:tr>
        <w:trPr>
          <w:trHeight w:val="220"/>
        </w:trPr>
        <w:tc>
          <w:tcPr>
            <w:tcW w:w="2560" w:type="dxa"/>
            <w:vAlign w:val="bottom"/>
          </w:tcPr>
          <w:p>
            <w:pPr>
              <w:spacing w:after="0"/>
              <w:rPr>
                <w:sz w:val="19"/>
                <w:szCs w:val="19"/>
                <w:color w:val="auto"/>
              </w:rPr>
            </w:pPr>
          </w:p>
        </w:tc>
        <w:tc>
          <w:tcPr>
            <w:tcW w:w="5260" w:type="dxa"/>
            <w:vAlign w:val="bottom"/>
          </w:tcPr>
          <w:p>
            <w:pPr>
              <w:jc w:val="center"/>
              <w:ind w:right="1910"/>
              <w:spacing w:after="0"/>
              <w:rPr>
                <w:sz w:val="20"/>
                <w:szCs w:val="20"/>
                <w:color w:val="auto"/>
              </w:rPr>
            </w:pPr>
            <w:r>
              <w:rPr>
                <w:rFonts w:ascii="Arial" w:cs="Arial" w:eastAsia="Arial" w:hAnsi="Arial"/>
                <w:sz w:val="18"/>
                <w:szCs w:val="18"/>
                <w:b w:val="1"/>
                <w:bCs w:val="1"/>
                <w:color w:val="auto"/>
                <w:w w:val="90"/>
              </w:rPr>
              <w:t>Veracyte, Inc. 2008 Stock Plan</w:t>
            </w:r>
          </w:p>
        </w:tc>
      </w:tr>
      <w:tr>
        <w:trPr>
          <w:trHeight w:val="230"/>
        </w:trPr>
        <w:tc>
          <w:tcPr>
            <w:tcW w:w="2560" w:type="dxa"/>
            <w:vAlign w:val="bottom"/>
          </w:tcPr>
          <w:p>
            <w:pPr>
              <w:spacing w:after="0"/>
              <w:rPr>
                <w:sz w:val="20"/>
                <w:szCs w:val="20"/>
                <w:color w:val="auto"/>
              </w:rPr>
            </w:pPr>
          </w:p>
        </w:tc>
        <w:tc>
          <w:tcPr>
            <w:tcW w:w="5260" w:type="dxa"/>
            <w:vAlign w:val="bottom"/>
          </w:tcPr>
          <w:p>
            <w:pPr>
              <w:jc w:val="center"/>
              <w:ind w:right="1910"/>
              <w:spacing w:after="0"/>
              <w:rPr>
                <w:sz w:val="20"/>
                <w:szCs w:val="20"/>
                <w:color w:val="auto"/>
              </w:rPr>
            </w:pPr>
            <w:r>
              <w:rPr>
                <w:rFonts w:ascii="Arial" w:cs="Arial" w:eastAsia="Arial" w:hAnsi="Arial"/>
                <w:sz w:val="18"/>
                <w:szCs w:val="18"/>
                <w:color w:val="auto"/>
                <w:w w:val="94"/>
              </w:rPr>
              <w:t>(Full title of the plans)</w:t>
            </w: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Bonnie H. Anderson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250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agent for service)</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58" w:lineRule="exact"/>
        <w:rPr>
          <w:sz w:val="24"/>
          <w:szCs w:val="24"/>
          <w:color w:val="auto"/>
        </w:rPr>
      </w:pPr>
    </w:p>
    <w:tbl>
      <w:tblPr>
        <w:tblLayout w:type="fixed"/>
        <w:tblInd w:w="146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5160" w:type="dxa"/>
            <w:vAlign w:val="bottom"/>
          </w:tcPr>
          <w:p>
            <w:pPr>
              <w:jc w:val="right"/>
              <w:ind w:right="3770"/>
              <w:spacing w:after="0"/>
              <w:rPr>
                <w:sz w:val="20"/>
                <w:szCs w:val="20"/>
                <w:color w:val="auto"/>
              </w:rPr>
            </w:pPr>
            <w:r>
              <w:rPr>
                <w:rFonts w:ascii="Arial" w:cs="Arial" w:eastAsia="Arial" w:hAnsi="Arial"/>
                <w:sz w:val="18"/>
                <w:szCs w:val="18"/>
                <w:b w:val="1"/>
                <w:bCs w:val="1"/>
                <w:color w:val="auto"/>
              </w:rPr>
              <w:t>Copies to:</w:t>
            </w:r>
          </w:p>
        </w:tc>
      </w:tr>
      <w:tr>
        <w:trPr>
          <w:trHeight w:val="265"/>
        </w:trPr>
        <w:tc>
          <w:tcPr>
            <w:tcW w:w="334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Stanton D. Wong</w:t>
            </w:r>
          </w:p>
        </w:tc>
        <w:tc>
          <w:tcPr>
            <w:tcW w:w="5160" w:type="dxa"/>
            <w:vAlign w:val="bottom"/>
          </w:tcPr>
          <w:p>
            <w:pPr>
              <w:jc w:val="center"/>
              <w:ind w:left="2290"/>
              <w:spacing w:after="0"/>
              <w:rPr>
                <w:sz w:val="20"/>
                <w:szCs w:val="20"/>
                <w:color w:val="auto"/>
              </w:rPr>
            </w:pPr>
            <w:r>
              <w:rPr>
                <w:rFonts w:ascii="Arial" w:cs="Arial" w:eastAsia="Arial" w:hAnsi="Arial"/>
                <w:sz w:val="18"/>
                <w:szCs w:val="18"/>
                <w:b w:val="1"/>
                <w:bCs w:val="1"/>
                <w:color w:val="auto"/>
                <w:w w:val="91"/>
              </w:rPr>
              <w:t>Shelly D. Guyer</w:t>
            </w:r>
          </w:p>
        </w:tc>
      </w:tr>
      <w:tr>
        <w:trPr>
          <w:trHeight w:val="220"/>
        </w:trPr>
        <w:tc>
          <w:tcPr>
            <w:tcW w:w="3340" w:type="dxa"/>
            <w:vAlign w:val="bottom"/>
          </w:tcPr>
          <w:p>
            <w:pPr>
              <w:jc w:val="center"/>
              <w:ind w:right="430"/>
              <w:spacing w:after="0"/>
              <w:rPr>
                <w:sz w:val="20"/>
                <w:szCs w:val="20"/>
                <w:color w:val="auto"/>
              </w:rPr>
            </w:pPr>
            <w:r>
              <w:rPr>
                <w:rFonts w:ascii="Arial" w:cs="Arial" w:eastAsia="Arial" w:hAnsi="Arial"/>
                <w:sz w:val="18"/>
                <w:szCs w:val="18"/>
                <w:b w:val="1"/>
                <w:bCs w:val="1"/>
                <w:color w:val="auto"/>
                <w:w w:val="95"/>
              </w:rPr>
              <w:t>Gabriella A. Lombardi</w:t>
            </w:r>
          </w:p>
        </w:tc>
        <w:tc>
          <w:tcPr>
            <w:tcW w:w="5160" w:type="dxa"/>
            <w:vAlign w:val="bottom"/>
          </w:tcPr>
          <w:p>
            <w:pPr>
              <w:jc w:val="center"/>
              <w:ind w:left="2290"/>
              <w:spacing w:after="0"/>
              <w:rPr>
                <w:sz w:val="20"/>
                <w:szCs w:val="20"/>
                <w:color w:val="auto"/>
              </w:rPr>
            </w:pPr>
            <w:r>
              <w:rPr>
                <w:rFonts w:ascii="Arial" w:cs="Arial" w:eastAsia="Arial" w:hAnsi="Arial"/>
                <w:sz w:val="18"/>
                <w:szCs w:val="18"/>
                <w:color w:val="auto"/>
                <w:w w:val="93"/>
              </w:rPr>
              <w:t>Chief Financial Officer</w:t>
            </w:r>
          </w:p>
        </w:tc>
      </w:tr>
      <w:tr>
        <w:trPr>
          <w:trHeight w:val="216"/>
        </w:trPr>
        <w:tc>
          <w:tcPr>
            <w:tcW w:w="3340" w:type="dxa"/>
            <w:vAlign w:val="bottom"/>
          </w:tcPr>
          <w:p>
            <w:pPr>
              <w:jc w:val="center"/>
              <w:ind w:right="450"/>
              <w:spacing w:after="0"/>
              <w:rPr>
                <w:sz w:val="20"/>
                <w:szCs w:val="20"/>
                <w:color w:val="auto"/>
              </w:rPr>
            </w:pPr>
            <w:r>
              <w:rPr>
                <w:rFonts w:ascii="Arial" w:cs="Arial" w:eastAsia="Arial" w:hAnsi="Arial"/>
                <w:sz w:val="18"/>
                <w:szCs w:val="18"/>
                <w:color w:val="auto"/>
                <w:w w:val="93"/>
              </w:rPr>
              <w:t>Pillsbury Winthrop Shaw Pittman LLP</w:t>
            </w:r>
          </w:p>
        </w:tc>
        <w:tc>
          <w:tcPr>
            <w:tcW w:w="5160" w:type="dxa"/>
            <w:vAlign w:val="bottom"/>
          </w:tcPr>
          <w:p>
            <w:pPr>
              <w:jc w:val="center"/>
              <w:ind w:left="2290"/>
              <w:spacing w:after="0"/>
              <w:rPr>
                <w:sz w:val="20"/>
                <w:szCs w:val="20"/>
                <w:color w:val="auto"/>
              </w:rPr>
            </w:pPr>
            <w:r>
              <w:rPr>
                <w:rFonts w:ascii="Arial" w:cs="Arial" w:eastAsia="Arial" w:hAnsi="Arial"/>
                <w:sz w:val="18"/>
                <w:szCs w:val="18"/>
                <w:color w:val="auto"/>
                <w:w w:val="89"/>
              </w:rPr>
              <w:t>Veracyte, Inc.</w:t>
            </w:r>
          </w:p>
        </w:tc>
      </w:tr>
      <w:tr>
        <w:trPr>
          <w:trHeight w:val="216"/>
        </w:trPr>
        <w:tc>
          <w:tcPr>
            <w:tcW w:w="3340" w:type="dxa"/>
            <w:vAlign w:val="bottom"/>
          </w:tcPr>
          <w:p>
            <w:pPr>
              <w:jc w:val="center"/>
              <w:ind w:right="430"/>
              <w:spacing w:after="0"/>
              <w:rPr>
                <w:sz w:val="20"/>
                <w:szCs w:val="20"/>
                <w:color w:val="auto"/>
              </w:rPr>
            </w:pPr>
            <w:r>
              <w:rPr>
                <w:rFonts w:ascii="Arial" w:cs="Arial" w:eastAsia="Arial" w:hAnsi="Arial"/>
                <w:sz w:val="18"/>
                <w:szCs w:val="18"/>
                <w:color w:val="auto"/>
                <w:w w:val="89"/>
              </w:rPr>
              <w:t>Four Embarcadero Center, 22nd Floor</w:t>
            </w:r>
          </w:p>
        </w:tc>
        <w:tc>
          <w:tcPr>
            <w:tcW w:w="5160" w:type="dxa"/>
            <w:vAlign w:val="bottom"/>
          </w:tcPr>
          <w:p>
            <w:pPr>
              <w:jc w:val="center"/>
              <w:ind w:left="2290"/>
              <w:spacing w:after="0"/>
              <w:rPr>
                <w:sz w:val="20"/>
                <w:szCs w:val="20"/>
                <w:color w:val="auto"/>
              </w:rPr>
            </w:pPr>
            <w:r>
              <w:rPr>
                <w:rFonts w:ascii="Arial" w:cs="Arial" w:eastAsia="Arial" w:hAnsi="Arial"/>
                <w:sz w:val="18"/>
                <w:szCs w:val="18"/>
                <w:color w:val="auto"/>
                <w:w w:val="91"/>
              </w:rPr>
              <w:t>7000 Shoreline Court, Suite 250</w:t>
            </w:r>
          </w:p>
        </w:tc>
      </w:tr>
      <w:tr>
        <w:trPr>
          <w:trHeight w:val="216"/>
        </w:trPr>
        <w:tc>
          <w:tcPr>
            <w:tcW w:w="3340" w:type="dxa"/>
            <w:vAlign w:val="bottom"/>
          </w:tcPr>
          <w:p>
            <w:pPr>
              <w:jc w:val="center"/>
              <w:ind w:right="450"/>
              <w:spacing w:after="0"/>
              <w:rPr>
                <w:sz w:val="20"/>
                <w:szCs w:val="20"/>
                <w:color w:val="auto"/>
              </w:rPr>
            </w:pPr>
            <w:r>
              <w:rPr>
                <w:rFonts w:ascii="Arial" w:cs="Arial" w:eastAsia="Arial" w:hAnsi="Arial"/>
                <w:sz w:val="18"/>
                <w:szCs w:val="18"/>
                <w:color w:val="auto"/>
                <w:w w:val="89"/>
              </w:rPr>
              <w:t>San Francisco, CA 94111</w:t>
            </w:r>
          </w:p>
        </w:tc>
        <w:tc>
          <w:tcPr>
            <w:tcW w:w="5160" w:type="dxa"/>
            <w:vAlign w:val="bottom"/>
          </w:tcPr>
          <w:p>
            <w:pPr>
              <w:jc w:val="center"/>
              <w:ind w:left="2290"/>
              <w:spacing w:after="0"/>
              <w:rPr>
                <w:sz w:val="20"/>
                <w:szCs w:val="20"/>
                <w:color w:val="auto"/>
              </w:rPr>
            </w:pPr>
            <w:r>
              <w:rPr>
                <w:rFonts w:ascii="Arial" w:cs="Arial" w:eastAsia="Arial" w:hAnsi="Arial"/>
                <w:sz w:val="18"/>
                <w:szCs w:val="18"/>
                <w:color w:val="auto"/>
                <w:w w:val="90"/>
              </w:rPr>
              <w:t>South San Francisco, California 94080</w:t>
            </w:r>
          </w:p>
        </w:tc>
      </w:tr>
      <w:tr>
        <w:trPr>
          <w:trHeight w:val="216"/>
        </w:trPr>
        <w:tc>
          <w:tcPr>
            <w:tcW w:w="3340" w:type="dxa"/>
            <w:vAlign w:val="bottom"/>
          </w:tcPr>
          <w:p>
            <w:pPr>
              <w:jc w:val="center"/>
              <w:ind w:right="450"/>
              <w:spacing w:after="0"/>
              <w:rPr>
                <w:sz w:val="20"/>
                <w:szCs w:val="20"/>
                <w:color w:val="auto"/>
              </w:rPr>
            </w:pPr>
            <w:r>
              <w:rPr>
                <w:rFonts w:ascii="Arial" w:cs="Arial" w:eastAsia="Arial" w:hAnsi="Arial"/>
                <w:sz w:val="18"/>
                <w:szCs w:val="18"/>
                <w:color w:val="auto"/>
                <w:w w:val="90"/>
              </w:rPr>
              <w:t>(415) 983-1000</w:t>
            </w:r>
          </w:p>
        </w:tc>
        <w:tc>
          <w:tcPr>
            <w:tcW w:w="5160" w:type="dxa"/>
            <w:vAlign w:val="bottom"/>
          </w:tcPr>
          <w:p>
            <w:pPr>
              <w:jc w:val="right"/>
              <w:ind w:right="710"/>
              <w:spacing w:after="0"/>
              <w:rPr>
                <w:sz w:val="20"/>
                <w:szCs w:val="20"/>
                <w:color w:val="auto"/>
              </w:rPr>
            </w:pPr>
            <w:r>
              <w:rPr>
                <w:rFonts w:ascii="Arial" w:cs="Arial" w:eastAsia="Arial" w:hAnsi="Arial"/>
                <w:sz w:val="18"/>
                <w:szCs w:val="18"/>
                <w:color w:val="auto"/>
              </w:rPr>
              <w:t>(650) 243-6300</w:t>
            </w:r>
          </w:p>
        </w:tc>
      </w:tr>
      <w:tr>
        <w:trPr>
          <w:trHeight w:val="230"/>
        </w:trPr>
        <w:tc>
          <w:tcPr>
            <w:tcW w:w="3340" w:type="dxa"/>
            <w:vAlign w:val="bottom"/>
          </w:tcPr>
          <w:p>
            <w:pPr>
              <w:jc w:val="center"/>
              <w:ind w:right="450"/>
              <w:spacing w:after="0"/>
              <w:rPr>
                <w:sz w:val="20"/>
                <w:szCs w:val="20"/>
                <w:color w:val="auto"/>
              </w:rPr>
            </w:pPr>
            <w:r>
              <w:rPr>
                <w:rFonts w:ascii="Arial" w:cs="Arial" w:eastAsia="Arial" w:hAnsi="Arial"/>
                <w:sz w:val="18"/>
                <w:szCs w:val="18"/>
                <w:color w:val="auto"/>
                <w:w w:val="92"/>
              </w:rPr>
              <w:t>(415) 983-1200 facsimile</w:t>
            </w:r>
          </w:p>
        </w:tc>
        <w:tc>
          <w:tcPr>
            <w:tcW w:w="5160" w:type="dxa"/>
            <w:vAlign w:val="bottom"/>
          </w:tcPr>
          <w:p>
            <w:pPr>
              <w:jc w:val="center"/>
              <w:ind w:left="2290"/>
              <w:spacing w:after="0"/>
              <w:rPr>
                <w:sz w:val="20"/>
                <w:szCs w:val="20"/>
                <w:color w:val="auto"/>
              </w:rPr>
            </w:pPr>
            <w:r>
              <w:rPr>
                <w:rFonts w:ascii="Arial" w:cs="Arial" w:eastAsia="Arial" w:hAnsi="Arial"/>
                <w:sz w:val="18"/>
                <w:szCs w:val="18"/>
                <w:color w:val="auto"/>
                <w:w w:val="91"/>
              </w:rPr>
              <w:t>(650) 243-6301 facsimile</w:t>
            </w:r>
          </w:p>
        </w:tc>
      </w:tr>
    </w:tbl>
    <w:p>
      <w:pPr>
        <w:spacing w:after="0" w:line="53" w:lineRule="exact"/>
        <w:rPr>
          <w:sz w:val="24"/>
          <w:szCs w:val="24"/>
          <w:color w:val="auto"/>
        </w:rPr>
      </w:pPr>
    </w:p>
    <w:p>
      <w:pPr>
        <w:ind w:right="360"/>
        <w:spacing w:after="0" w:line="30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ind w:left="640"/>
              <w:spacing w:after="0"/>
              <w:rPr>
                <w:sz w:val="20"/>
                <w:szCs w:val="20"/>
                <w:color w:val="auto"/>
              </w:rPr>
            </w:pPr>
            <w:r>
              <w:rPr>
                <w:rFonts w:ascii="Arial" w:cs="Arial" w:eastAsia="Arial" w:hAnsi="Arial"/>
                <w:sz w:val="18"/>
                <w:szCs w:val="18"/>
                <w:color w:val="auto"/>
              </w:rPr>
              <w:t>Large accelerated filer o</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color w:val="auto"/>
              </w:rPr>
              <w:t>Accelerated filer o</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w w:val="97"/>
              </w:rPr>
              <w:t>Non-accelerated filer x (Do not check if a smaller reporting company)</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w w:val="91"/>
              </w:rPr>
              <w:t>Smaller reporting company o</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CALCULATION OF REGISTRATION FEE</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4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394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Title of Securities</w:t>
            </w:r>
          </w:p>
        </w:tc>
        <w:tc>
          <w:tcPr>
            <w:tcW w:w="208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94"/>
              </w:rPr>
              <w:t>Amount To</w:t>
            </w:r>
          </w:p>
        </w:tc>
        <w:tc>
          <w:tcPr>
            <w:tcW w:w="160" w:type="dxa"/>
            <w:vAlign w:val="bottom"/>
          </w:tcPr>
          <w:p>
            <w:pPr>
              <w:spacing w:after="0"/>
              <w:rPr>
                <w:sz w:val="9"/>
                <w:szCs w:val="9"/>
                <w:color w:val="auto"/>
              </w:rPr>
            </w:pPr>
          </w:p>
        </w:tc>
        <w:tc>
          <w:tcPr>
            <w:tcW w:w="1660" w:type="dxa"/>
            <w:vAlign w:val="bottom"/>
          </w:tcPr>
          <w:p>
            <w:pPr>
              <w:jc w:val="center"/>
              <w:ind w:right="321"/>
              <w:spacing w:after="0" w:line="106" w:lineRule="exact"/>
              <w:rPr>
                <w:sz w:val="20"/>
                <w:szCs w:val="20"/>
                <w:color w:val="auto"/>
              </w:rPr>
            </w:pPr>
            <w:r>
              <w:rPr>
                <w:rFonts w:ascii="Arial" w:cs="Arial" w:eastAsia="Arial" w:hAnsi="Arial"/>
                <w:sz w:val="12"/>
                <w:szCs w:val="12"/>
                <w:b w:val="1"/>
                <w:bCs w:val="1"/>
                <w:color w:val="auto"/>
              </w:rPr>
              <w:t>Proposed</w:t>
            </w:r>
          </w:p>
        </w:tc>
        <w:tc>
          <w:tcPr>
            <w:tcW w:w="240" w:type="dxa"/>
            <w:vAlign w:val="bottom"/>
          </w:tcPr>
          <w:p>
            <w:pPr>
              <w:spacing w:after="0"/>
              <w:rPr>
                <w:sz w:val="9"/>
                <w:szCs w:val="9"/>
                <w:color w:val="auto"/>
              </w:rPr>
            </w:pPr>
          </w:p>
        </w:tc>
        <w:tc>
          <w:tcPr>
            <w:tcW w:w="1620" w:type="dxa"/>
            <w:vAlign w:val="bottom"/>
          </w:tcPr>
          <w:p>
            <w:pPr>
              <w:jc w:val="center"/>
              <w:ind w:right="201"/>
              <w:spacing w:after="0" w:line="106" w:lineRule="exact"/>
              <w:rPr>
                <w:sz w:val="20"/>
                <w:szCs w:val="20"/>
                <w:color w:val="auto"/>
              </w:rPr>
            </w:pPr>
            <w:r>
              <w:rPr>
                <w:rFonts w:ascii="Arial" w:cs="Arial" w:eastAsia="Arial" w:hAnsi="Arial"/>
                <w:sz w:val="12"/>
                <w:szCs w:val="12"/>
                <w:b w:val="1"/>
                <w:bCs w:val="1"/>
                <w:color w:val="auto"/>
              </w:rPr>
              <w:t>Proposed</w:t>
            </w:r>
          </w:p>
        </w:tc>
        <w:tc>
          <w:tcPr>
            <w:tcW w:w="340" w:type="dxa"/>
            <w:vAlign w:val="bottom"/>
          </w:tcPr>
          <w:p>
            <w:pPr>
              <w:spacing w:after="0"/>
              <w:rPr>
                <w:sz w:val="9"/>
                <w:szCs w:val="9"/>
                <w:color w:val="auto"/>
              </w:rPr>
            </w:pPr>
          </w:p>
        </w:tc>
        <w:tc>
          <w:tcPr>
            <w:tcW w:w="136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center"/>
              <w:ind w:right="341"/>
              <w:spacing w:after="0" w:line="149" w:lineRule="exact"/>
              <w:rPr>
                <w:sz w:val="20"/>
                <w:szCs w:val="20"/>
                <w:color w:val="auto"/>
              </w:rPr>
            </w:pPr>
            <w:r>
              <w:rPr>
                <w:rFonts w:ascii="Arial" w:cs="Arial" w:eastAsia="Arial" w:hAnsi="Arial"/>
                <w:sz w:val="14"/>
                <w:szCs w:val="14"/>
                <w:b w:val="1"/>
                <w:bCs w:val="1"/>
                <w:color w:val="auto"/>
                <w:w w:val="97"/>
              </w:rPr>
              <w:t>Maximum Offering</w:t>
            </w:r>
          </w:p>
        </w:tc>
        <w:tc>
          <w:tcPr>
            <w:tcW w:w="240" w:type="dxa"/>
            <w:vAlign w:val="bottom"/>
          </w:tcPr>
          <w:p>
            <w:pPr>
              <w:spacing w:after="0"/>
              <w:rPr>
                <w:sz w:val="12"/>
                <w:szCs w:val="12"/>
                <w:color w:val="auto"/>
              </w:rPr>
            </w:pPr>
          </w:p>
        </w:tc>
        <w:tc>
          <w:tcPr>
            <w:tcW w:w="162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4"/>
              </w:rPr>
              <w:t>Maximum Aggregate</w:t>
            </w:r>
          </w:p>
        </w:tc>
        <w:tc>
          <w:tcPr>
            <w:tcW w:w="3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To Be Registered</w:t>
            </w:r>
          </w:p>
        </w:tc>
        <w:tc>
          <w:tcPr>
            <w:tcW w:w="20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91"/>
              </w:rPr>
              <w:t>Be Registered(1)</w:t>
            </w: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b w:val="1"/>
                <w:bCs w:val="1"/>
                <w:color w:val="auto"/>
                <w:w w:val="92"/>
              </w:rPr>
              <w:t>Price Per Share</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4"/>
              </w:rPr>
              <w:t>Offering Price</w:t>
            </w: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w w:val="97"/>
              </w:rPr>
              <w:t>Common stock, $0.001 par value per share: To be</w:t>
            </w: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issued under the 2013 Stock Incentive Plan</w:t>
            </w:r>
          </w:p>
        </w:tc>
        <w:tc>
          <w:tcPr>
            <w:tcW w:w="20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94"/>
              </w:rPr>
              <w:t>1,786,209(2)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13.00(3)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color w:val="auto"/>
              </w:rPr>
              <w:t>23,220,717</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2,990.83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w w:val="90"/>
              </w:rPr>
              <w:t>Common stock, $0.001 par value per share: Subject to</w:t>
            </w: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outstanding options under the 2008 Stock Plan</w:t>
            </w:r>
          </w:p>
        </w:tc>
        <w:tc>
          <w:tcPr>
            <w:tcW w:w="20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2,368,797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3.07(4)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color w:val="auto"/>
              </w:rPr>
              <w:t>7,270,422</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936.43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20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4,155,006</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01"/>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color w:val="auto"/>
              </w:rPr>
              <w:t>30,491,139</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3,927.26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40" w:hanging="532"/>
        <w:spacing w:after="0" w:line="259"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of the Securities Act of 1933 (the “Securities Act”), this registration statement also covers any additional securities that may be offered or become issuable under the 2013 Stock Incentive Plan and the 2008 Stock Plan in connection with any stock split, stock dividend, recapitalization or any other similar transaction effected without receipt of consideration, which results in an increase in the number of the Registrant’s outstanding shares of Common Stock.</w:t>
      </w:r>
    </w:p>
    <w:p>
      <w:pPr>
        <w:spacing w:after="0" w:line="37" w:lineRule="exact"/>
        <w:rPr>
          <w:rFonts w:ascii="Arial" w:cs="Arial" w:eastAsia="Arial" w:hAnsi="Arial"/>
          <w:sz w:val="18"/>
          <w:szCs w:val="18"/>
          <w:color w:val="auto"/>
        </w:rPr>
      </w:pPr>
    </w:p>
    <w:p>
      <w:pPr>
        <w:ind w:left="540" w:right="120" w:hanging="532"/>
        <w:spacing w:after="0" w:line="279"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shares of common stock reserved for issuance under the 2013 Stock Incentive Plan. To the extent that any awards outstanding under the 2008 Stock Plan are subsequently forfeited or terminated for any reason before being exercised or settled, or which are subject to vesting restrictions under the 2008 Stock Plan and are subsequently forfeited, the shares of common stock reserved for issuance pursuant to such awards as of the date of this Registration Statement will become available for issuance under the 2013 Stock Incentive Plan.</w:t>
      </w:r>
    </w:p>
    <w:p>
      <w:pPr>
        <w:spacing w:after="0" w:line="22" w:lineRule="exact"/>
        <w:rPr>
          <w:rFonts w:ascii="Arial" w:cs="Arial" w:eastAsia="Arial" w:hAnsi="Arial"/>
          <w:sz w:val="17"/>
          <w:szCs w:val="17"/>
          <w:color w:val="auto"/>
        </w:rPr>
      </w:pPr>
    </w:p>
    <w:p>
      <w:pPr>
        <w:jc w:val="both"/>
        <w:ind w:left="540" w:right="260" w:hanging="532"/>
        <w:spacing w:after="0" w:line="26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Rules 457(h) and 457(c) under the Securities Act, solely for the purposes of calculating the registration fee, based on $13.00, the initial public offering price set forth on the cover page of the Registrant’s prospectus dated October 30, 2013 relating to its initial public offering.</w:t>
      </w:r>
    </w:p>
    <w:p>
      <w:pPr>
        <w:spacing w:after="0" w:line="32" w:lineRule="exact"/>
        <w:rPr>
          <w:rFonts w:ascii="Arial" w:cs="Arial" w:eastAsia="Arial" w:hAnsi="Arial"/>
          <w:sz w:val="18"/>
          <w:szCs w:val="18"/>
          <w:color w:val="auto"/>
        </w:rPr>
      </w:pPr>
    </w:p>
    <w:p>
      <w:pPr>
        <w:ind w:left="540" w:right="100" w:hanging="532"/>
        <w:spacing w:after="0" w:line="277"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Rules 457(h) under the Securities Act, solely for the purposes of calculating the registration fee, based on the weighted-average price of awards outstanding under the 2008 Stock Plan as of October 29,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100330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color w:val="auto"/>
        </w:rPr>
        <w:t>The Registration Statement shall become effective upon filing in accordance with Rule 462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261620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29" w:right="239" w:bottom="356"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29" w:lineRule="exact"/>
        <w:rPr>
          <w:sz w:val="20"/>
          <w:szCs w:val="20"/>
          <w:color w:val="auto"/>
        </w:rPr>
      </w:pPr>
    </w:p>
    <w:p>
      <w:pPr>
        <w:ind w:right="540" w:firstLine="441"/>
        <w:spacing w:after="0" w:line="259"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on Form S-8 (the “Registration Statement”) in accordance with the provisions of Rule 428 under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documents filed by the Registrant with the Securities and Exchange Commission (the “Commission”) are hereby incorporated by reference in this Registration Statement:</w:t>
      </w:r>
    </w:p>
    <w:p>
      <w:pPr>
        <w:spacing w:after="0" w:line="170" w:lineRule="exact"/>
        <w:rPr>
          <w:sz w:val="20"/>
          <w:szCs w:val="20"/>
          <w:color w:val="auto"/>
        </w:rPr>
      </w:pPr>
    </w:p>
    <w:p>
      <w:pPr>
        <w:jc w:val="both"/>
        <w:ind w:left="660" w:right="300" w:hanging="328"/>
        <w:spacing w:after="0" w:line="264" w:lineRule="auto"/>
        <w:tabs>
          <w:tab w:leader="none" w:pos="65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prospectus filed on October 30, 2013 pursuant to Rule 424(b) under the Securities Act relating to the Registration Statement on Form S-1 (File No. 333-191282), which contains audited financial statements for the Registrant’s last fiscal year for which such statements have been filed.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Registrant’s registration statement on Form 8-A, filed on October 28, 2013 pursuant to Section 12(b) of the Securities Exchange Act of 1934 (the “Exchange Act”), including any amendment or report filed for the purpose of updating such description.</w:t>
      </w:r>
    </w:p>
    <w:p>
      <w:pPr>
        <w:spacing w:after="0" w:line="181"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The Registrant has adopted provisions in the Registrant’s certificate of incorporation and bylaws that limit or eliminate the personal liability of the Registrant’s directors and executive officers to the fullest extent permitted by the DGCL, as it now exists or may in the future be amended. Consequently, a director or executive officer will not be personally liable to the Registrant or its stockholders for monetary damages or breach of fiduciary duty as a director, except for liability in limited circumstances.</w:t>
      </w:r>
    </w:p>
    <w:p>
      <w:pPr>
        <w:spacing w:after="0" w:line="187"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the Registrant’s bylaws provide that:</w:t>
      </w:r>
    </w:p>
    <w:p>
      <w:pPr>
        <w:spacing w:after="0" w:line="225" w:lineRule="exact"/>
        <w:rPr>
          <w:sz w:val="20"/>
          <w:szCs w:val="20"/>
          <w:color w:val="auto"/>
        </w:rPr>
      </w:pPr>
    </w:p>
    <w:p>
      <w:pPr>
        <w:ind w:left="780" w:right="200" w:hanging="331"/>
        <w:spacing w:after="0" w:line="277" w:lineRule="auto"/>
        <w:tabs>
          <w:tab w:leader="none" w:pos="7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 will indemnify its directors, executive officers and certain employees and agents to the fullest extent permitted by the DGCL, as it now exists or may in the future be amended; and</w:t>
      </w:r>
    </w:p>
    <w:p>
      <w:pPr>
        <w:sectPr>
          <w:pgSz w:w="11900" w:h="16838" w:orient="portrait"/>
          <w:cols w:equalWidth="0" w:num="1">
            <w:col w:w="11360"/>
          </w:cols>
          <w:pgMar w:left="240" w:top="580" w:right="299" w:bottom="166" w:gutter="0" w:footer="0" w:header="0"/>
        </w:sectPr>
      </w:pPr>
    </w:p>
    <w:bookmarkStart w:id="2" w:name="page3"/>
    <w:bookmarkEnd w:id="2"/>
    <w:p>
      <w:pPr>
        <w:ind w:left="780" w:right="420" w:hanging="331"/>
        <w:spacing w:after="0" w:line="277" w:lineRule="auto"/>
        <w:tabs>
          <w:tab w:leader="none" w:pos="7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will advance expenses to its directors, executive officers and certain employees and agents, in connection with legal proceedings relating to their service for or on behalf of the Registrant, subject to limited exceptions.</w:t>
      </w:r>
    </w:p>
    <w:p>
      <w:pPr>
        <w:spacing w:after="0" w:line="170" w:lineRule="exact"/>
        <w:rPr>
          <w:sz w:val="20"/>
          <w:szCs w:val="20"/>
          <w:color w:val="auto"/>
        </w:rPr>
      </w:pPr>
    </w:p>
    <w:p>
      <w:pPr>
        <w:ind w:right="220" w:firstLine="441"/>
        <w:spacing w:after="0" w:line="308" w:lineRule="auto"/>
        <w:rPr>
          <w:sz w:val="20"/>
          <w:szCs w:val="20"/>
          <w:color w:val="auto"/>
        </w:rPr>
      </w:pPr>
      <w:r>
        <w:rPr>
          <w:rFonts w:ascii="Arial" w:cs="Arial" w:eastAsia="Arial" w:hAnsi="Arial"/>
          <w:sz w:val="17"/>
          <w:szCs w:val="17"/>
          <w:color w:val="auto"/>
        </w:rPr>
        <w:t>The Registrant plans to enter into indemnification agreements with each of its directors and executive officers. These agreements will provide that the Registrant will indemnify each of its directors, executive officers and, at times, their affiliates, to the fullest extent permitted by the DGCL.</w:t>
      </w:r>
    </w:p>
    <w:p>
      <w:pPr>
        <w:spacing w:after="0" w:line="147"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color w:val="auto"/>
        </w:rPr>
        <w:t>The Registrant also maintains general liability insurance which covers certain liabilities of its directors and officers arising out of claims based on acts or omissions in their capacities as directors or officers, including liabilities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00" w:type="dxa"/>
            <w:vAlign w:val="bottom"/>
          </w:tcPr>
          <w:p>
            <w:pPr>
              <w:jc w:val="center"/>
              <w:ind w:right="1436"/>
              <w:spacing w:after="0"/>
              <w:rPr>
                <w:sz w:val="20"/>
                <w:szCs w:val="20"/>
                <w:color w:val="auto"/>
              </w:rPr>
            </w:pPr>
            <w:r>
              <w:rPr>
                <w:rFonts w:ascii="Arial" w:cs="Arial" w:eastAsia="Arial" w:hAnsi="Arial"/>
                <w:sz w:val="18"/>
                <w:szCs w:val="18"/>
                <w:b w:val="1"/>
                <w:bCs w:val="1"/>
                <w:color w:val="auto"/>
              </w:rPr>
              <w:t>EXHIBITS</w:t>
            </w:r>
          </w:p>
        </w:tc>
        <w:tc>
          <w:tcPr>
            <w:tcW w:w="40" w:type="dxa"/>
            <w:vAlign w:val="bottom"/>
          </w:tcPr>
          <w:p>
            <w:pPr>
              <w:spacing w:after="0"/>
              <w:rPr>
                <w:sz w:val="20"/>
                <w:szCs w:val="20"/>
                <w:color w:val="auto"/>
              </w:rPr>
            </w:pPr>
          </w:p>
        </w:tc>
      </w:tr>
      <w:tr>
        <w:trPr>
          <w:trHeight w:val="365"/>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990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344"/>
        </w:trPr>
        <w:tc>
          <w:tcPr>
            <w:tcW w:w="1280" w:type="dxa"/>
            <w:vAlign w:val="bottom"/>
          </w:tcPr>
          <w:p>
            <w:pPr>
              <w:spacing w:after="0"/>
              <w:rPr>
                <w:sz w:val="20"/>
                <w:szCs w:val="20"/>
                <w:color w:val="auto"/>
              </w:rPr>
            </w:pPr>
            <w:r>
              <w:rPr>
                <w:rFonts w:ascii="Arial" w:cs="Arial" w:eastAsia="Arial" w:hAnsi="Arial"/>
                <w:sz w:val="18"/>
                <w:szCs w:val="18"/>
                <w:color w:val="auto"/>
              </w:rPr>
              <w:t>4.1</w:t>
            </w:r>
          </w:p>
        </w:tc>
        <w:tc>
          <w:tcPr>
            <w:tcW w:w="10140" w:type="dxa"/>
            <w:vAlign w:val="bottom"/>
            <w:gridSpan w:val="2"/>
          </w:tcPr>
          <w:p>
            <w:pPr>
              <w:ind w:left="240"/>
              <w:spacing w:after="0"/>
              <w:rPr>
                <w:sz w:val="20"/>
                <w:szCs w:val="20"/>
                <w:color w:val="auto"/>
              </w:rPr>
            </w:pPr>
            <w:r>
              <w:rPr>
                <w:rFonts w:ascii="Arial" w:cs="Arial" w:eastAsia="Arial" w:hAnsi="Arial"/>
                <w:sz w:val="18"/>
                <w:szCs w:val="18"/>
                <w:color w:val="auto"/>
                <w:w w:val="96"/>
              </w:rPr>
              <w:t>Specimen common stock certificate of Registrant (incorporated herein by reference to Exhibit 4.1 to the Registrant’s Registration</w:t>
            </w:r>
          </w:p>
        </w:tc>
        <w:tc>
          <w:tcPr>
            <w:tcW w:w="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0140" w:type="dxa"/>
            <w:vAlign w:val="bottom"/>
            <w:gridSpan w:val="2"/>
          </w:tcPr>
          <w:p>
            <w:pPr>
              <w:ind w:left="240"/>
              <w:spacing w:after="0"/>
              <w:rPr>
                <w:sz w:val="20"/>
                <w:szCs w:val="20"/>
                <w:color w:val="auto"/>
              </w:rPr>
            </w:pPr>
            <w:r>
              <w:rPr>
                <w:rFonts w:ascii="Arial" w:cs="Arial" w:eastAsia="Arial" w:hAnsi="Arial"/>
                <w:sz w:val="18"/>
                <w:szCs w:val="18"/>
                <w:color w:val="auto"/>
                <w:w w:val="91"/>
              </w:rPr>
              <w:t>Statement on Form S-1 (Registration No. 333-191282), as declared effective by the Commission on October 29, 2013 (the “Registrant’s</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240"/>
              <w:spacing w:after="0"/>
              <w:rPr>
                <w:sz w:val="20"/>
                <w:szCs w:val="20"/>
                <w:color w:val="auto"/>
              </w:rPr>
            </w:pPr>
            <w:r>
              <w:rPr>
                <w:rFonts w:ascii="Arial" w:cs="Arial" w:eastAsia="Arial" w:hAnsi="Arial"/>
                <w:sz w:val="18"/>
                <w:szCs w:val="18"/>
                <w:color w:val="auto"/>
              </w:rPr>
              <w:t>Form S-1”)).</w:t>
            </w:r>
          </w:p>
        </w:tc>
        <w:tc>
          <w:tcPr>
            <w:tcW w:w="40" w:type="dxa"/>
            <w:vAlign w:val="bottom"/>
          </w:tcPr>
          <w:p>
            <w:pPr>
              <w:spacing w:after="0"/>
              <w:rPr>
                <w:sz w:val="20"/>
                <w:szCs w:val="20"/>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5.1</w:t>
            </w:r>
          </w:p>
        </w:tc>
        <w:tc>
          <w:tcPr>
            <w:tcW w:w="10140" w:type="dxa"/>
            <w:vAlign w:val="bottom"/>
            <w:gridSpan w:val="2"/>
          </w:tcPr>
          <w:p>
            <w:pPr>
              <w:ind w:left="240"/>
              <w:spacing w:after="0"/>
              <w:rPr>
                <w:sz w:val="20"/>
                <w:szCs w:val="20"/>
                <w:color w:val="auto"/>
              </w:rPr>
            </w:pPr>
            <w:r>
              <w:rPr>
                <w:rFonts w:ascii="Arial" w:cs="Arial" w:eastAsia="Arial" w:hAnsi="Arial"/>
                <w:sz w:val="18"/>
                <w:szCs w:val="18"/>
                <w:color w:val="auto"/>
              </w:rPr>
              <w:t>Opinion of Pillsbury Winthrop Shaw Pittman LLP.</w:t>
            </w: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23.1</w:t>
            </w:r>
          </w:p>
        </w:tc>
        <w:tc>
          <w:tcPr>
            <w:tcW w:w="10140" w:type="dxa"/>
            <w:vAlign w:val="bottom"/>
            <w:gridSpan w:val="2"/>
          </w:tcPr>
          <w:p>
            <w:pPr>
              <w:ind w:left="24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23.2</w:t>
            </w:r>
          </w:p>
        </w:tc>
        <w:tc>
          <w:tcPr>
            <w:tcW w:w="10140" w:type="dxa"/>
            <w:vAlign w:val="bottom"/>
            <w:gridSpan w:val="2"/>
          </w:tcPr>
          <w:p>
            <w:pPr>
              <w:ind w:left="240"/>
              <w:spacing w:after="0"/>
              <w:rPr>
                <w:sz w:val="20"/>
                <w:szCs w:val="20"/>
                <w:color w:val="auto"/>
              </w:rPr>
            </w:pPr>
            <w:r>
              <w:rPr>
                <w:rFonts w:ascii="Arial" w:cs="Arial" w:eastAsia="Arial" w:hAnsi="Arial"/>
                <w:sz w:val="18"/>
                <w:szCs w:val="18"/>
                <w:color w:val="auto"/>
              </w:rPr>
              <w:t>Consent of Pillsbury Winthrop Shaw Pittman LLP (included in Exhibit 5.1).</w:t>
            </w: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24.1</w:t>
            </w:r>
          </w:p>
        </w:tc>
        <w:tc>
          <w:tcPr>
            <w:tcW w:w="10140" w:type="dxa"/>
            <w:vAlign w:val="bottom"/>
            <w:gridSpan w:val="2"/>
          </w:tcPr>
          <w:p>
            <w:pPr>
              <w:ind w:left="240"/>
              <w:spacing w:after="0"/>
              <w:rPr>
                <w:sz w:val="20"/>
                <w:szCs w:val="20"/>
                <w:color w:val="auto"/>
              </w:rPr>
            </w:pPr>
            <w:r>
              <w:rPr>
                <w:rFonts w:ascii="Arial" w:cs="Arial" w:eastAsia="Arial" w:hAnsi="Arial"/>
                <w:sz w:val="18"/>
                <w:szCs w:val="18"/>
                <w:color w:val="auto"/>
              </w:rPr>
              <w:t>Power of Attorney (contained on signature page hereto).</w:t>
            </w: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99.1</w:t>
            </w:r>
          </w:p>
        </w:tc>
        <w:tc>
          <w:tcPr>
            <w:tcW w:w="10140" w:type="dxa"/>
            <w:vAlign w:val="bottom"/>
            <w:gridSpan w:val="2"/>
          </w:tcPr>
          <w:p>
            <w:pPr>
              <w:ind w:left="240"/>
              <w:spacing w:after="0"/>
              <w:rPr>
                <w:sz w:val="20"/>
                <w:szCs w:val="20"/>
                <w:color w:val="auto"/>
              </w:rPr>
            </w:pPr>
            <w:r>
              <w:rPr>
                <w:rFonts w:ascii="Arial" w:cs="Arial" w:eastAsia="Arial" w:hAnsi="Arial"/>
                <w:sz w:val="18"/>
                <w:szCs w:val="18"/>
                <w:color w:val="auto"/>
              </w:rPr>
              <w:t>Veracyte, Inc. 2008 Stock Plan (incorporated herein by reference to Exhibit 10.2 to the Registrant’s Form S-1).</w:t>
            </w: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99.2</w:t>
            </w:r>
          </w:p>
        </w:tc>
        <w:tc>
          <w:tcPr>
            <w:tcW w:w="10140" w:type="dxa"/>
            <w:vAlign w:val="bottom"/>
            <w:gridSpan w:val="2"/>
          </w:tcPr>
          <w:p>
            <w:pPr>
              <w:ind w:left="240"/>
              <w:spacing w:after="0"/>
              <w:rPr>
                <w:sz w:val="20"/>
                <w:szCs w:val="20"/>
                <w:color w:val="auto"/>
              </w:rPr>
            </w:pPr>
            <w:r>
              <w:rPr>
                <w:rFonts w:ascii="Arial" w:cs="Arial" w:eastAsia="Arial" w:hAnsi="Arial"/>
                <w:sz w:val="18"/>
                <w:szCs w:val="18"/>
                <w:color w:val="auto"/>
              </w:rPr>
              <w:t>Veracyte, Inc. 2013 Stock Incentive Plan (incorporated herein by reference to Exhibit 10.3 to the Registrant’s Form S-1).</w:t>
            </w: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tcPr>
          <w:p>
            <w:pPr>
              <w:jc w:val="center"/>
              <w:ind w:right="1436"/>
              <w:spacing w:after="0"/>
              <w:rPr>
                <w:sz w:val="20"/>
                <w:szCs w:val="20"/>
                <w:color w:val="auto"/>
              </w:rPr>
            </w:pPr>
            <w:r>
              <w:rPr>
                <w:rFonts w:ascii="Arial" w:cs="Arial" w:eastAsia="Arial" w:hAnsi="Arial"/>
                <w:sz w:val="18"/>
                <w:szCs w:val="18"/>
                <w:color w:val="auto"/>
                <w:w w:val="99"/>
              </w:rPr>
              <w:t>II-2</w:t>
            </w: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700" w:hanging="251"/>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25" w:lineRule="exact"/>
        <w:rPr>
          <w:sz w:val="20"/>
          <w:szCs w:val="20"/>
          <w:color w:val="auto"/>
        </w:rPr>
      </w:pPr>
    </w:p>
    <w:p>
      <w:pPr>
        <w:ind w:right="200" w:firstLine="449"/>
        <w:spacing w:after="0" w:line="293" w:lineRule="auto"/>
        <w:tabs>
          <w:tab w:leader="none" w:pos="703"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right="240" w:firstLine="449"/>
        <w:spacing w:after="0" w:line="277" w:lineRule="auto"/>
        <w:tabs>
          <w:tab w:leader="none" w:pos="7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provided, however, that paragraphs (a)(1)(i) and (a)(1)(ii) of this section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81" w:lineRule="exact"/>
        <w:rPr>
          <w:sz w:val="20"/>
          <w:szCs w:val="20"/>
          <w:color w:val="auto"/>
        </w:rPr>
      </w:pPr>
    </w:p>
    <w:p>
      <w:pPr>
        <w:ind w:right="580" w:firstLine="449"/>
        <w:spacing w:after="0" w:line="264" w:lineRule="auto"/>
        <w:tabs>
          <w:tab w:leader="none" w:pos="69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200" w:firstLine="449"/>
        <w:spacing w:after="0" w:line="277" w:lineRule="auto"/>
        <w:tabs>
          <w:tab w:leader="none" w:pos="69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right="100" w:firstLine="449"/>
        <w:spacing w:after="0" w:line="302" w:lineRule="auto"/>
        <w:tabs>
          <w:tab w:leader="none" w:pos="69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rFonts w:ascii="Arial" w:cs="Arial" w:eastAsia="Arial" w:hAnsi="Arial"/>
          <w:sz w:val="16"/>
          <w:szCs w:val="16"/>
          <w:color w:val="auto"/>
        </w:rPr>
      </w:pPr>
    </w:p>
    <w:p>
      <w:pPr>
        <w:ind w:right="200" w:firstLine="449"/>
        <w:spacing w:after="0" w:line="312" w:lineRule="auto"/>
        <w:tabs>
          <w:tab w:leader="none" w:pos="686" w:val="left"/>
        </w:tabs>
        <w:numPr>
          <w:ilvl w:val="0"/>
          <w:numId w:val="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w:t>
      </w:r>
    </w:p>
    <w:p>
      <w:pPr>
        <w:sectPr>
          <w:pgSz w:w="11900" w:h="16838" w:orient="portrait"/>
          <w:cols w:equalWidth="0" w:num="1">
            <w:col w:w="11460"/>
          </w:cols>
          <w:pgMar w:left="240" w:top="125" w:right="199" w:bottom="0" w:gutter="0" w:footer="0" w:header="0"/>
        </w:sectPr>
      </w:pPr>
    </w:p>
    <w:bookmarkStart w:id="3" w:name="page4"/>
    <w:bookmarkEnd w:id="3"/>
    <w:p>
      <w:pPr>
        <w:ind w:right="40"/>
        <w:spacing w:after="0" w:line="279" w:lineRule="auto"/>
        <w:rPr>
          <w:sz w:val="20"/>
          <w:szCs w:val="20"/>
          <w:color w:val="auto"/>
        </w:rPr>
      </w:pPr>
      <w:r>
        <w:rPr>
          <w:rFonts w:ascii="Arial" w:cs="Arial" w:eastAsia="Arial" w:hAnsi="Arial"/>
          <w:sz w:val="17"/>
          <w:szCs w:val="17"/>
          <w:color w:val="auto"/>
        </w:rPr>
        <w:t>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the 30th day of October, 2013.</w:t>
      </w:r>
    </w:p>
    <w:p>
      <w:pPr>
        <w:spacing w:after="0" w:line="18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p>
      <w:pPr>
        <w:ind w:left="5780"/>
        <w:spacing w:after="0"/>
        <w:tabs>
          <w:tab w:leader="none" w:pos="6160" w:val="left"/>
        </w:tabs>
        <w:rPr>
          <w:sz w:val="20"/>
          <w:szCs w:val="20"/>
          <w:color w:val="auto"/>
        </w:rPr>
      </w:pPr>
      <w:r>
        <w:rPr>
          <w:rFonts w:ascii="Arial" w:cs="Arial" w:eastAsia="Arial" w:hAnsi="Arial"/>
          <w:sz w:val="18"/>
          <w:szCs w:val="18"/>
          <w:color w:val="auto"/>
        </w:rPr>
        <w:t>By</w:t>
        <w:tab/>
        <w:t>/s/ Bonnie H. Anderson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Bonnie H. Anderson and Shelly D. Guyer and each of them, his or her true and lawful attorneys-in-fact and agents, each with full power of substitution and resubstitution, for him or her and in his or her name, place and stead, in any and all capacities, to sign any and all amendments, to this Registration Statement on Form S-8,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tcPr>
          <w:p>
            <w:pPr>
              <w:jc w:val="center"/>
              <w:ind w:right="1451"/>
              <w:spacing w:after="0"/>
              <w:rPr>
                <w:sz w:val="20"/>
                <w:szCs w:val="20"/>
                <w:color w:val="auto"/>
              </w:rPr>
            </w:pPr>
            <w:r>
              <w:rPr>
                <w:rFonts w:ascii="Arial" w:cs="Arial" w:eastAsia="Arial" w:hAnsi="Arial"/>
                <w:sz w:val="14"/>
                <w:szCs w:val="14"/>
                <w:b w:val="1"/>
                <w:bCs w:val="1"/>
                <w:color w:val="auto"/>
                <w:w w:val="94"/>
              </w:rPr>
              <w:t>Name</w:t>
            </w:r>
          </w:p>
        </w:tc>
        <w:tc>
          <w:tcPr>
            <w:tcW w:w="280" w:type="dxa"/>
            <w:vAlign w:val="bottom"/>
          </w:tcPr>
          <w:p>
            <w:pPr>
              <w:spacing w:after="0"/>
              <w:rPr>
                <w:sz w:val="14"/>
                <w:szCs w:val="14"/>
                <w:color w:val="auto"/>
              </w:rPr>
            </w:pPr>
          </w:p>
        </w:tc>
        <w:tc>
          <w:tcPr>
            <w:tcW w:w="442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0" w:type="dxa"/>
            <w:vAlign w:val="bottom"/>
          </w:tcPr>
          <w:p>
            <w:pPr>
              <w:spacing w:after="0"/>
              <w:rPr>
                <w:sz w:val="14"/>
                <w:szCs w:val="14"/>
                <w:color w:val="auto"/>
              </w:rPr>
            </w:pPr>
          </w:p>
        </w:tc>
      </w:tr>
      <w:tr>
        <w:trPr>
          <w:trHeight w:val="426"/>
        </w:trPr>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2"/>
          </w:tcPr>
          <w:p>
            <w:pPr>
              <w:jc w:val="center"/>
              <w:ind w:right="1211"/>
              <w:spacing w:after="0"/>
              <w:rPr>
                <w:sz w:val="20"/>
                <w:szCs w:val="20"/>
                <w:color w:val="auto"/>
              </w:rPr>
            </w:pPr>
            <w:r>
              <w:rPr>
                <w:rFonts w:ascii="Arial" w:cs="Arial" w:eastAsia="Arial" w:hAnsi="Arial"/>
                <w:sz w:val="18"/>
                <w:szCs w:val="18"/>
                <w:color w:val="auto"/>
                <w:w w:val="91"/>
              </w:rPr>
              <w:t>/s/ Bonnie H. Anderson</w:t>
            </w:r>
          </w:p>
        </w:tc>
        <w:tc>
          <w:tcPr>
            <w:tcW w:w="4980" w:type="dxa"/>
            <w:vAlign w:val="bottom"/>
            <w:gridSpan w:val="3"/>
          </w:tcPr>
          <w:p>
            <w:pPr>
              <w:ind w:left="280"/>
              <w:spacing w:after="0"/>
              <w:rPr>
                <w:sz w:val="20"/>
                <w:szCs w:val="20"/>
                <w:color w:val="auto"/>
              </w:rPr>
            </w:pPr>
            <w:r>
              <w:rPr>
                <w:rFonts w:ascii="Arial" w:cs="Arial" w:eastAsia="Arial" w:hAnsi="Arial"/>
                <w:sz w:val="18"/>
                <w:szCs w:val="18"/>
                <w:color w:val="auto"/>
              </w:rPr>
              <w:t>President and Chief Executive Officer</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October 30, 2013</w:t>
            </w:r>
          </w:p>
        </w:tc>
        <w:tc>
          <w:tcPr>
            <w:tcW w:w="40" w:type="dxa"/>
            <w:vAlign w:val="bottom"/>
          </w:tcPr>
          <w:p>
            <w:pPr>
              <w:spacing w:after="0"/>
              <w:rPr>
                <w:sz w:val="24"/>
                <w:szCs w:val="24"/>
                <w:color w:val="auto"/>
              </w:rPr>
            </w:pPr>
          </w:p>
        </w:tc>
      </w:tr>
      <w:tr>
        <w:trPr>
          <w:trHeight w:val="224"/>
        </w:trPr>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80" w:type="dxa"/>
            <w:vAlign w:val="bottom"/>
          </w:tcPr>
          <w:p>
            <w:pPr>
              <w:jc w:val="center"/>
              <w:ind w:right="1471"/>
              <w:spacing w:after="0"/>
              <w:rPr>
                <w:sz w:val="20"/>
                <w:szCs w:val="20"/>
                <w:color w:val="auto"/>
              </w:rPr>
            </w:pPr>
            <w:r>
              <w:rPr>
                <w:rFonts w:ascii="Arial" w:cs="Arial" w:eastAsia="Arial" w:hAnsi="Arial"/>
                <w:sz w:val="18"/>
                <w:szCs w:val="18"/>
                <w:color w:val="auto"/>
                <w:w w:val="93"/>
              </w:rPr>
              <w:t>Bonnie H. Anderson</w:t>
            </w:r>
          </w:p>
        </w:tc>
        <w:tc>
          <w:tcPr>
            <w:tcW w:w="4980" w:type="dxa"/>
            <w:vAlign w:val="bottom"/>
            <w:gridSpan w:val="3"/>
          </w:tcPr>
          <w:p>
            <w:pPr>
              <w:ind w:left="280"/>
              <w:spacing w:after="0"/>
              <w:rPr>
                <w:sz w:val="20"/>
                <w:szCs w:val="20"/>
                <w:color w:val="auto"/>
              </w:rPr>
            </w:pPr>
            <w:r>
              <w:rPr>
                <w:rFonts w:ascii="Arial" w:cs="Arial" w:eastAsia="Arial" w:hAnsi="Arial"/>
                <w:sz w:val="18"/>
                <w:szCs w:val="18"/>
                <w:color w:val="auto"/>
              </w:rPr>
              <w:t>(Principal Executive Officer) and Director</w:t>
            </w: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center"/>
              <w:ind w:right="1471"/>
              <w:spacing w:after="0"/>
              <w:rPr>
                <w:sz w:val="20"/>
                <w:szCs w:val="20"/>
                <w:color w:val="auto"/>
              </w:rPr>
            </w:pPr>
            <w:r>
              <w:rPr>
                <w:rFonts w:ascii="Arial" w:cs="Arial" w:eastAsia="Arial" w:hAnsi="Arial"/>
                <w:sz w:val="18"/>
                <w:szCs w:val="18"/>
                <w:color w:val="auto"/>
                <w:w w:val="91"/>
              </w:rPr>
              <w:t>/s/ Shelly D. Guyer</w:t>
            </w:r>
          </w:p>
        </w:tc>
        <w:tc>
          <w:tcPr>
            <w:tcW w:w="4980" w:type="dxa"/>
            <w:vAlign w:val="bottom"/>
            <w:gridSpan w:val="3"/>
          </w:tcPr>
          <w:p>
            <w:pPr>
              <w:ind w:left="280"/>
              <w:spacing w:after="0"/>
              <w:rPr>
                <w:sz w:val="20"/>
                <w:szCs w:val="20"/>
                <w:color w:val="auto"/>
              </w:rPr>
            </w:pPr>
            <w:r>
              <w:rPr>
                <w:rFonts w:ascii="Arial" w:cs="Arial" w:eastAsia="Arial" w:hAnsi="Arial"/>
                <w:sz w:val="18"/>
                <w:szCs w:val="18"/>
                <w:color w:val="auto"/>
              </w:rPr>
              <w:t>Chief Financial Officer (Principal Financial and Accounting</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October 30, 2013</w:t>
            </w:r>
          </w:p>
        </w:tc>
        <w:tc>
          <w:tcPr>
            <w:tcW w:w="40" w:type="dxa"/>
            <w:vAlign w:val="bottom"/>
          </w:tcPr>
          <w:p>
            <w:pPr>
              <w:spacing w:after="0"/>
              <w:rPr>
                <w:sz w:val="24"/>
                <w:szCs w:val="24"/>
                <w:color w:val="auto"/>
              </w:rPr>
            </w:pPr>
          </w:p>
        </w:tc>
      </w:tr>
      <w:tr>
        <w:trPr>
          <w:trHeight w:val="224"/>
        </w:trPr>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80" w:type="dxa"/>
            <w:vAlign w:val="bottom"/>
          </w:tcPr>
          <w:p>
            <w:pPr>
              <w:jc w:val="center"/>
              <w:ind w:right="1471"/>
              <w:spacing w:after="0"/>
              <w:rPr>
                <w:sz w:val="20"/>
                <w:szCs w:val="20"/>
                <w:color w:val="auto"/>
              </w:rPr>
            </w:pPr>
            <w:r>
              <w:rPr>
                <w:rFonts w:ascii="Arial" w:cs="Arial" w:eastAsia="Arial" w:hAnsi="Arial"/>
                <w:sz w:val="18"/>
                <w:szCs w:val="18"/>
                <w:color w:val="auto"/>
                <w:w w:val="93"/>
              </w:rPr>
              <w:t>Shelly D. Guyer</w:t>
            </w:r>
          </w:p>
        </w:tc>
        <w:tc>
          <w:tcPr>
            <w:tcW w:w="4980" w:type="dxa"/>
            <w:vAlign w:val="bottom"/>
            <w:gridSpan w:val="3"/>
          </w:tcPr>
          <w:p>
            <w:pPr>
              <w:ind w:left="280"/>
              <w:spacing w:after="0"/>
              <w:rPr>
                <w:sz w:val="20"/>
                <w:szCs w:val="20"/>
                <w:color w:val="auto"/>
              </w:rPr>
            </w:pPr>
            <w:r>
              <w:rPr>
                <w:rFonts w:ascii="Arial" w:cs="Arial" w:eastAsia="Arial" w:hAnsi="Arial"/>
                <w:sz w:val="18"/>
                <w:szCs w:val="18"/>
                <w:color w:val="auto"/>
              </w:rPr>
              <w:t>Officer)</w:t>
            </w: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center"/>
              <w:ind w:right="1471"/>
              <w:spacing w:after="0"/>
              <w:rPr>
                <w:sz w:val="20"/>
                <w:szCs w:val="20"/>
                <w:color w:val="auto"/>
              </w:rPr>
            </w:pPr>
            <w:r>
              <w:rPr>
                <w:rFonts w:ascii="Arial" w:cs="Arial" w:eastAsia="Arial" w:hAnsi="Arial"/>
                <w:sz w:val="18"/>
                <w:szCs w:val="18"/>
                <w:color w:val="auto"/>
                <w:w w:val="94"/>
              </w:rPr>
              <w:t>/s/ Brian G. Atwood</w:t>
            </w:r>
          </w:p>
        </w:tc>
        <w:tc>
          <w:tcPr>
            <w:tcW w:w="49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October 30, 2013</w:t>
            </w:r>
          </w:p>
        </w:tc>
        <w:tc>
          <w:tcPr>
            <w:tcW w:w="40" w:type="dxa"/>
            <w:vAlign w:val="bottom"/>
          </w:tcPr>
          <w:p>
            <w:pPr>
              <w:spacing w:after="0"/>
              <w:rPr>
                <w:sz w:val="24"/>
                <w:szCs w:val="24"/>
                <w:color w:val="auto"/>
              </w:rPr>
            </w:pPr>
          </w:p>
        </w:tc>
      </w:tr>
      <w:tr>
        <w:trPr>
          <w:trHeight w:val="224"/>
        </w:trPr>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80" w:type="dxa"/>
            <w:vAlign w:val="bottom"/>
          </w:tcPr>
          <w:p>
            <w:pPr>
              <w:jc w:val="center"/>
              <w:ind w:right="1471"/>
              <w:spacing w:after="0"/>
              <w:rPr>
                <w:sz w:val="20"/>
                <w:szCs w:val="20"/>
                <w:color w:val="auto"/>
              </w:rPr>
            </w:pPr>
            <w:r>
              <w:rPr>
                <w:rFonts w:ascii="Arial" w:cs="Arial" w:eastAsia="Arial" w:hAnsi="Arial"/>
                <w:sz w:val="18"/>
                <w:szCs w:val="18"/>
                <w:color w:val="auto"/>
                <w:w w:val="96"/>
              </w:rPr>
              <w:t>Brian G. Atwood</w:t>
            </w:r>
          </w:p>
        </w:tc>
        <w:tc>
          <w:tcPr>
            <w:tcW w:w="2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center"/>
              <w:ind w:right="1471"/>
              <w:spacing w:after="0"/>
              <w:rPr>
                <w:sz w:val="20"/>
                <w:szCs w:val="20"/>
                <w:color w:val="auto"/>
              </w:rPr>
            </w:pPr>
            <w:r>
              <w:rPr>
                <w:rFonts w:ascii="Arial" w:cs="Arial" w:eastAsia="Arial" w:hAnsi="Arial"/>
                <w:sz w:val="18"/>
                <w:szCs w:val="18"/>
                <w:color w:val="auto"/>
                <w:w w:val="92"/>
              </w:rPr>
              <w:t>/s/ Brook H. Byers</w:t>
            </w:r>
          </w:p>
        </w:tc>
        <w:tc>
          <w:tcPr>
            <w:tcW w:w="49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October 30, 2013</w:t>
            </w:r>
          </w:p>
        </w:tc>
        <w:tc>
          <w:tcPr>
            <w:tcW w:w="40" w:type="dxa"/>
            <w:vAlign w:val="bottom"/>
          </w:tcPr>
          <w:p>
            <w:pPr>
              <w:spacing w:after="0"/>
              <w:rPr>
                <w:sz w:val="24"/>
                <w:szCs w:val="24"/>
                <w:color w:val="auto"/>
              </w:rPr>
            </w:pPr>
          </w:p>
        </w:tc>
      </w:tr>
      <w:tr>
        <w:trPr>
          <w:trHeight w:val="224"/>
        </w:trPr>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80" w:type="dxa"/>
            <w:vAlign w:val="bottom"/>
          </w:tcPr>
          <w:p>
            <w:pPr>
              <w:jc w:val="center"/>
              <w:ind w:right="1471"/>
              <w:spacing w:after="0"/>
              <w:rPr>
                <w:sz w:val="20"/>
                <w:szCs w:val="20"/>
                <w:color w:val="auto"/>
              </w:rPr>
            </w:pPr>
            <w:r>
              <w:rPr>
                <w:rFonts w:ascii="Arial" w:cs="Arial" w:eastAsia="Arial" w:hAnsi="Arial"/>
                <w:sz w:val="18"/>
                <w:szCs w:val="18"/>
                <w:color w:val="auto"/>
                <w:w w:val="94"/>
              </w:rPr>
              <w:t>Brook H. Byers</w:t>
            </w:r>
          </w:p>
        </w:tc>
        <w:tc>
          <w:tcPr>
            <w:tcW w:w="2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9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3"/>
          </w:tcPr>
          <w:p>
            <w:pPr>
              <w:jc w:val="center"/>
              <w:ind w:right="871"/>
              <w:spacing w:after="0"/>
              <w:rPr>
                <w:sz w:val="20"/>
                <w:szCs w:val="20"/>
                <w:color w:val="auto"/>
              </w:rPr>
            </w:pPr>
            <w:r>
              <w:rPr>
                <w:rFonts w:ascii="Arial" w:cs="Arial" w:eastAsia="Arial" w:hAnsi="Arial"/>
                <w:sz w:val="18"/>
                <w:szCs w:val="18"/>
                <w:color w:val="auto"/>
                <w:w w:val="92"/>
              </w:rPr>
              <w:t>/s/ Fred E. Cohen, M.D., D. Phil</w:t>
            </w:r>
          </w:p>
        </w:tc>
        <w:tc>
          <w:tcPr>
            <w:tcW w:w="49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October 30, 2013</w:t>
            </w:r>
          </w:p>
        </w:tc>
        <w:tc>
          <w:tcPr>
            <w:tcW w:w="40" w:type="dxa"/>
            <w:vAlign w:val="bottom"/>
          </w:tcPr>
          <w:p>
            <w:pPr>
              <w:spacing w:after="0"/>
              <w:rPr>
                <w:sz w:val="24"/>
                <w:szCs w:val="24"/>
                <w:color w:val="auto"/>
              </w:rPr>
            </w:pPr>
          </w:p>
        </w:tc>
      </w:tr>
      <w:tr>
        <w:trPr>
          <w:trHeight w:val="224"/>
        </w:trPr>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40" w:type="dxa"/>
            <w:vAlign w:val="bottom"/>
            <w:gridSpan w:val="2"/>
          </w:tcPr>
          <w:p>
            <w:pPr>
              <w:jc w:val="center"/>
              <w:ind w:right="1211"/>
              <w:spacing w:after="0"/>
              <w:rPr>
                <w:sz w:val="20"/>
                <w:szCs w:val="20"/>
                <w:color w:val="auto"/>
              </w:rPr>
            </w:pPr>
            <w:r>
              <w:rPr>
                <w:rFonts w:ascii="Arial" w:cs="Arial" w:eastAsia="Arial" w:hAnsi="Arial"/>
                <w:sz w:val="18"/>
                <w:szCs w:val="18"/>
                <w:color w:val="auto"/>
                <w:w w:val="92"/>
              </w:rPr>
              <w:t>Fred E. Cohen, M.D., D.Phil.</w:t>
            </w:r>
          </w:p>
        </w:tc>
        <w:tc>
          <w:tcPr>
            <w:tcW w:w="2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center"/>
              <w:ind w:right="1471"/>
              <w:spacing w:after="0"/>
              <w:rPr>
                <w:sz w:val="20"/>
                <w:szCs w:val="20"/>
                <w:color w:val="auto"/>
              </w:rPr>
            </w:pPr>
            <w:r>
              <w:rPr>
                <w:rFonts w:ascii="Arial" w:cs="Arial" w:eastAsia="Arial" w:hAnsi="Arial"/>
                <w:sz w:val="18"/>
                <w:szCs w:val="18"/>
                <w:color w:val="auto"/>
                <w:w w:val="91"/>
              </w:rPr>
              <w:t>/s/ Samuel D. Colella</w:t>
            </w:r>
          </w:p>
        </w:tc>
        <w:tc>
          <w:tcPr>
            <w:tcW w:w="49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October 30, 2013</w:t>
            </w:r>
          </w:p>
        </w:tc>
        <w:tc>
          <w:tcPr>
            <w:tcW w:w="40" w:type="dxa"/>
            <w:vAlign w:val="bottom"/>
          </w:tcPr>
          <w:p>
            <w:pPr>
              <w:spacing w:after="0"/>
              <w:rPr>
                <w:sz w:val="24"/>
                <w:szCs w:val="24"/>
                <w:color w:val="auto"/>
              </w:rPr>
            </w:pPr>
          </w:p>
        </w:tc>
      </w:tr>
      <w:tr>
        <w:trPr>
          <w:trHeight w:val="224"/>
        </w:trPr>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80" w:type="dxa"/>
            <w:vAlign w:val="bottom"/>
          </w:tcPr>
          <w:p>
            <w:pPr>
              <w:jc w:val="center"/>
              <w:ind w:right="1471"/>
              <w:spacing w:after="0"/>
              <w:rPr>
                <w:sz w:val="20"/>
                <w:szCs w:val="20"/>
                <w:color w:val="auto"/>
              </w:rPr>
            </w:pPr>
            <w:r>
              <w:rPr>
                <w:rFonts w:ascii="Arial" w:cs="Arial" w:eastAsia="Arial" w:hAnsi="Arial"/>
                <w:sz w:val="18"/>
                <w:szCs w:val="18"/>
                <w:color w:val="auto"/>
                <w:w w:val="92"/>
              </w:rPr>
              <w:t>Samuel D. Colella</w:t>
            </w:r>
          </w:p>
        </w:tc>
        <w:tc>
          <w:tcPr>
            <w:tcW w:w="2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center"/>
              <w:ind w:right="1471"/>
              <w:spacing w:after="0"/>
              <w:rPr>
                <w:sz w:val="20"/>
                <w:szCs w:val="20"/>
                <w:color w:val="auto"/>
              </w:rPr>
            </w:pPr>
            <w:r>
              <w:rPr>
                <w:rFonts w:ascii="Arial" w:cs="Arial" w:eastAsia="Arial" w:hAnsi="Arial"/>
                <w:sz w:val="18"/>
                <w:szCs w:val="18"/>
                <w:color w:val="auto"/>
                <w:w w:val="91"/>
              </w:rPr>
              <w:t>/s/ Karin Eastham</w:t>
            </w:r>
          </w:p>
        </w:tc>
        <w:tc>
          <w:tcPr>
            <w:tcW w:w="49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October 30, 2013</w:t>
            </w:r>
          </w:p>
        </w:tc>
        <w:tc>
          <w:tcPr>
            <w:tcW w:w="40" w:type="dxa"/>
            <w:vAlign w:val="bottom"/>
          </w:tcPr>
          <w:p>
            <w:pPr>
              <w:spacing w:after="0"/>
              <w:rPr>
                <w:sz w:val="24"/>
                <w:szCs w:val="24"/>
                <w:color w:val="auto"/>
              </w:rPr>
            </w:pPr>
          </w:p>
        </w:tc>
      </w:tr>
      <w:tr>
        <w:trPr>
          <w:trHeight w:val="224"/>
        </w:trPr>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80" w:type="dxa"/>
            <w:vAlign w:val="bottom"/>
          </w:tcPr>
          <w:p>
            <w:pPr>
              <w:jc w:val="center"/>
              <w:ind w:right="1471"/>
              <w:spacing w:after="0"/>
              <w:rPr>
                <w:sz w:val="20"/>
                <w:szCs w:val="20"/>
                <w:color w:val="auto"/>
              </w:rPr>
            </w:pPr>
            <w:r>
              <w:rPr>
                <w:rFonts w:ascii="Arial" w:cs="Arial" w:eastAsia="Arial" w:hAnsi="Arial"/>
                <w:sz w:val="18"/>
                <w:szCs w:val="18"/>
                <w:color w:val="auto"/>
                <w:w w:val="89"/>
              </w:rPr>
              <w:t>Karin Eastham</w:t>
            </w:r>
          </w:p>
        </w:tc>
        <w:tc>
          <w:tcPr>
            <w:tcW w:w="2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center"/>
              <w:ind w:right="1471"/>
              <w:spacing w:after="0"/>
              <w:rPr>
                <w:sz w:val="20"/>
                <w:szCs w:val="20"/>
                <w:color w:val="auto"/>
              </w:rPr>
            </w:pPr>
            <w:r>
              <w:rPr>
                <w:rFonts w:ascii="Arial" w:cs="Arial" w:eastAsia="Arial" w:hAnsi="Arial"/>
                <w:sz w:val="18"/>
                <w:szCs w:val="18"/>
                <w:color w:val="auto"/>
                <w:w w:val="86"/>
              </w:rPr>
              <w:t>/s/ Evan Jones</w:t>
            </w:r>
          </w:p>
        </w:tc>
        <w:tc>
          <w:tcPr>
            <w:tcW w:w="49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October 30, 2013</w:t>
            </w:r>
          </w:p>
        </w:tc>
        <w:tc>
          <w:tcPr>
            <w:tcW w:w="40" w:type="dxa"/>
            <w:vAlign w:val="bottom"/>
          </w:tcPr>
          <w:p>
            <w:pPr>
              <w:spacing w:after="0"/>
              <w:rPr>
                <w:sz w:val="24"/>
                <w:szCs w:val="24"/>
                <w:color w:val="auto"/>
              </w:rPr>
            </w:pPr>
          </w:p>
        </w:tc>
      </w:tr>
      <w:tr>
        <w:trPr>
          <w:trHeight w:val="224"/>
        </w:trPr>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80" w:type="dxa"/>
            <w:vAlign w:val="bottom"/>
          </w:tcPr>
          <w:p>
            <w:pPr>
              <w:jc w:val="center"/>
              <w:ind w:right="1471"/>
              <w:spacing w:after="0"/>
              <w:rPr>
                <w:sz w:val="20"/>
                <w:szCs w:val="20"/>
                <w:color w:val="auto"/>
              </w:rPr>
            </w:pPr>
            <w:r>
              <w:rPr>
                <w:rFonts w:ascii="Arial" w:cs="Arial" w:eastAsia="Arial" w:hAnsi="Arial"/>
                <w:sz w:val="18"/>
                <w:szCs w:val="18"/>
                <w:color w:val="auto"/>
                <w:w w:val="87"/>
              </w:rPr>
              <w:t>Evan Jones</w:t>
            </w:r>
          </w:p>
        </w:tc>
        <w:tc>
          <w:tcPr>
            <w:tcW w:w="2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center"/>
              <w:ind w:right="1471"/>
              <w:spacing w:after="0"/>
              <w:rPr>
                <w:sz w:val="20"/>
                <w:szCs w:val="20"/>
                <w:color w:val="auto"/>
              </w:rPr>
            </w:pPr>
            <w:r>
              <w:rPr>
                <w:rFonts w:ascii="Arial" w:cs="Arial" w:eastAsia="Arial" w:hAnsi="Arial"/>
                <w:sz w:val="18"/>
                <w:szCs w:val="18"/>
                <w:color w:val="auto"/>
                <w:w w:val="88"/>
              </w:rPr>
              <w:t>/s/ Jesse I. Treu, Ph.D.</w:t>
            </w:r>
          </w:p>
        </w:tc>
        <w:tc>
          <w:tcPr>
            <w:tcW w:w="49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October 30, 2013</w:t>
            </w:r>
          </w:p>
        </w:tc>
        <w:tc>
          <w:tcPr>
            <w:tcW w:w="40" w:type="dxa"/>
            <w:vAlign w:val="bottom"/>
          </w:tcPr>
          <w:p>
            <w:pPr>
              <w:spacing w:after="0"/>
              <w:rPr>
                <w:sz w:val="24"/>
                <w:szCs w:val="24"/>
                <w:color w:val="auto"/>
              </w:rPr>
            </w:pPr>
          </w:p>
        </w:tc>
      </w:tr>
      <w:tr>
        <w:trPr>
          <w:trHeight w:val="224"/>
        </w:trPr>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80" w:type="dxa"/>
            <w:vAlign w:val="bottom"/>
          </w:tcPr>
          <w:p>
            <w:pPr>
              <w:jc w:val="center"/>
              <w:ind w:right="1451"/>
              <w:spacing w:after="0"/>
              <w:rPr>
                <w:sz w:val="20"/>
                <w:szCs w:val="20"/>
                <w:color w:val="auto"/>
              </w:rPr>
            </w:pPr>
            <w:r>
              <w:rPr>
                <w:rFonts w:ascii="Arial" w:cs="Arial" w:eastAsia="Arial" w:hAnsi="Arial"/>
                <w:sz w:val="18"/>
                <w:szCs w:val="18"/>
                <w:color w:val="auto"/>
                <w:w w:val="87"/>
              </w:rPr>
              <w:t>Jesse I. Treu, Ph.D.</w:t>
            </w:r>
          </w:p>
        </w:tc>
        <w:tc>
          <w:tcPr>
            <w:tcW w:w="2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00" w:type="dxa"/>
            <w:vAlign w:val="bottom"/>
            <w:gridSpan w:val="2"/>
          </w:tcPr>
          <w:p>
            <w:pPr>
              <w:jc w:val="center"/>
              <w:ind w:right="3320"/>
              <w:spacing w:after="0"/>
              <w:rPr>
                <w:sz w:val="20"/>
                <w:szCs w:val="20"/>
                <w:color w:val="auto"/>
              </w:rPr>
            </w:pPr>
            <w:r>
              <w:rPr>
                <w:rFonts w:ascii="Arial" w:cs="Arial" w:eastAsia="Arial" w:hAnsi="Arial"/>
                <w:sz w:val="18"/>
                <w:szCs w:val="18"/>
                <w:color w:val="auto"/>
                <w:w w:val="99"/>
              </w:rPr>
              <w:t>II-4</w:t>
            </w: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180" w:type="dxa"/>
            <w:vAlign w:val="bottom"/>
            <w:tcBorders>
              <w:bottom w:val="single" w:sz="8" w:color="010101"/>
            </w:tcBorders>
          </w:tcPr>
          <w:p>
            <w:pPr>
              <w:spacing w:after="0"/>
              <w:rPr>
                <w:sz w:val="11"/>
                <w:szCs w:val="11"/>
                <w:color w:val="auto"/>
              </w:rPr>
            </w:pPr>
          </w:p>
        </w:tc>
        <w:tc>
          <w:tcPr>
            <w:tcW w:w="4980" w:type="dxa"/>
            <w:vAlign w:val="bottom"/>
            <w:tcBorders>
              <w:bottom w:val="single" w:sz="8" w:color="010101"/>
            </w:tcBorders>
            <w:gridSpan w:val="3"/>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980" w:type="dxa"/>
            <w:vAlign w:val="bottom"/>
            <w:gridSpan w:val="3"/>
          </w:tcPr>
          <w:p>
            <w:pPr>
              <w:jc w:val="center"/>
              <w:ind w:right="3020"/>
              <w:spacing w:after="0"/>
              <w:rPr>
                <w:sz w:val="20"/>
                <w:szCs w:val="20"/>
                <w:color w:val="auto"/>
              </w:rPr>
            </w:pPr>
            <w:r>
              <w:rPr>
                <w:rFonts w:ascii="Arial" w:cs="Arial" w:eastAsia="Arial" w:hAnsi="Arial"/>
                <w:sz w:val="18"/>
                <w:szCs w:val="18"/>
                <w:b w:val="1"/>
                <w:bCs w:val="1"/>
                <w:color w:val="auto"/>
              </w:rPr>
              <w:t>INDEX TO EXHIBITS</w:t>
            </w: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ind w:left="1120"/>
              <w:spacing w:after="0"/>
              <w:rPr>
                <w:sz w:val="20"/>
                <w:szCs w:val="20"/>
                <w:color w:val="auto"/>
              </w:rPr>
            </w:pPr>
            <w:r>
              <w:rPr>
                <w:rFonts w:ascii="Arial" w:cs="Arial" w:eastAsia="Arial" w:hAnsi="Arial"/>
                <w:sz w:val="14"/>
                <w:szCs w:val="14"/>
                <w:b w:val="1"/>
                <w:bCs w:val="1"/>
                <w:color w:val="auto"/>
              </w:rPr>
              <w:t>Description</w:t>
            </w:r>
          </w:p>
        </w:tc>
        <w:tc>
          <w:tcPr>
            <w:tcW w:w="1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44"/>
        </w:trPr>
        <w:tc>
          <w:tcPr>
            <w:tcW w:w="96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60" w:type="dxa"/>
            <w:vAlign w:val="bottom"/>
            <w:gridSpan w:val="5"/>
          </w:tcPr>
          <w:p>
            <w:pPr>
              <w:spacing w:after="0"/>
              <w:rPr>
                <w:sz w:val="20"/>
                <w:szCs w:val="20"/>
                <w:color w:val="auto"/>
              </w:rPr>
            </w:pPr>
            <w:r>
              <w:rPr>
                <w:rFonts w:ascii="Arial" w:cs="Arial" w:eastAsia="Arial" w:hAnsi="Arial"/>
                <w:sz w:val="18"/>
                <w:szCs w:val="18"/>
                <w:color w:val="auto"/>
                <w:w w:val="96"/>
              </w:rPr>
              <w:t>Specimen common stock certificate of Registrant (incorporated herein by reference to Exhibit 4.1 to the Registrant’s Registration</w:t>
            </w:r>
          </w:p>
        </w:tc>
        <w:tc>
          <w:tcPr>
            <w:tcW w:w="4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60" w:type="dxa"/>
            <w:vAlign w:val="bottom"/>
            <w:gridSpan w:val="5"/>
          </w:tcPr>
          <w:p>
            <w:pPr>
              <w:spacing w:after="0"/>
              <w:rPr>
                <w:sz w:val="20"/>
                <w:szCs w:val="20"/>
                <w:color w:val="auto"/>
              </w:rPr>
            </w:pPr>
            <w:r>
              <w:rPr>
                <w:rFonts w:ascii="Arial" w:cs="Arial" w:eastAsia="Arial" w:hAnsi="Arial"/>
                <w:sz w:val="18"/>
                <w:szCs w:val="18"/>
                <w:color w:val="auto"/>
                <w:w w:val="91"/>
              </w:rPr>
              <w:t>Statement on Form S-1 (Registration No. 333-191282), as declared effective by the Commission on October 29, 2013 (the “Registrant’s</w:t>
            </w:r>
          </w:p>
        </w:tc>
        <w:tc>
          <w:tcPr>
            <w:tcW w:w="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Form S-1”)).</w:t>
            </w:r>
          </w:p>
        </w:tc>
        <w:tc>
          <w:tcPr>
            <w:tcW w:w="2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-1270635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-1270635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5.1</w:t>
            </w:r>
          </w:p>
        </w:tc>
        <w:tc>
          <w:tcPr>
            <w:tcW w:w="10520" w:type="dxa"/>
            <w:vAlign w:val="bottom"/>
            <w:gridSpan w:val="2"/>
          </w:tcPr>
          <w:p>
            <w:pPr>
              <w:ind w:left="620"/>
              <w:spacing w:after="0"/>
              <w:rPr>
                <w:sz w:val="20"/>
                <w:szCs w:val="20"/>
                <w:color w:val="auto"/>
              </w:rPr>
            </w:pPr>
            <w:r>
              <w:rPr>
                <w:rFonts w:ascii="Arial" w:cs="Arial" w:eastAsia="Arial" w:hAnsi="Arial"/>
                <w:sz w:val="18"/>
                <w:szCs w:val="18"/>
                <w:color w:val="auto"/>
              </w:rPr>
              <w:t>Opinion of Pillsbury Winthrop Shaw Pittman LLP.</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23.1</w:t>
            </w:r>
          </w:p>
        </w:tc>
        <w:tc>
          <w:tcPr>
            <w:tcW w:w="10520" w:type="dxa"/>
            <w:vAlign w:val="bottom"/>
            <w:gridSpan w:val="2"/>
          </w:tcPr>
          <w:p>
            <w:pPr>
              <w:ind w:left="62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23.2</w:t>
            </w:r>
          </w:p>
        </w:tc>
        <w:tc>
          <w:tcPr>
            <w:tcW w:w="10520" w:type="dxa"/>
            <w:vAlign w:val="bottom"/>
            <w:gridSpan w:val="2"/>
          </w:tcPr>
          <w:p>
            <w:pPr>
              <w:ind w:left="620"/>
              <w:spacing w:after="0"/>
              <w:rPr>
                <w:sz w:val="20"/>
                <w:szCs w:val="20"/>
                <w:color w:val="auto"/>
              </w:rPr>
            </w:pPr>
            <w:r>
              <w:rPr>
                <w:rFonts w:ascii="Arial" w:cs="Arial" w:eastAsia="Arial" w:hAnsi="Arial"/>
                <w:sz w:val="18"/>
                <w:szCs w:val="18"/>
                <w:color w:val="auto"/>
              </w:rPr>
              <w:t>Consent of Pillsbury Winthrop Shaw Pittman LLP (included in Exhibit 5.1).</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24.1</w:t>
            </w:r>
          </w:p>
        </w:tc>
        <w:tc>
          <w:tcPr>
            <w:tcW w:w="10520" w:type="dxa"/>
            <w:vAlign w:val="bottom"/>
            <w:gridSpan w:val="2"/>
          </w:tcPr>
          <w:p>
            <w:pPr>
              <w:ind w:left="620"/>
              <w:spacing w:after="0"/>
              <w:rPr>
                <w:sz w:val="20"/>
                <w:szCs w:val="20"/>
                <w:color w:val="auto"/>
              </w:rPr>
            </w:pPr>
            <w:r>
              <w:rPr>
                <w:rFonts w:ascii="Arial" w:cs="Arial" w:eastAsia="Arial" w:hAnsi="Arial"/>
                <w:sz w:val="18"/>
                <w:szCs w:val="18"/>
                <w:color w:val="auto"/>
              </w:rPr>
              <w:t>Power of Attorney (contained on signature page hereto).</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99.1</w:t>
            </w:r>
          </w:p>
        </w:tc>
        <w:tc>
          <w:tcPr>
            <w:tcW w:w="2040" w:type="dxa"/>
            <w:vAlign w:val="bottom"/>
          </w:tcPr>
          <w:p>
            <w:pPr>
              <w:ind w:left="620"/>
              <w:spacing w:after="0"/>
              <w:rPr>
                <w:sz w:val="20"/>
                <w:szCs w:val="20"/>
                <w:color w:val="auto"/>
              </w:rPr>
            </w:pPr>
            <w:r>
              <w:rPr>
                <w:rFonts w:ascii="Arial" w:cs="Arial" w:eastAsia="Arial" w:hAnsi="Arial"/>
                <w:sz w:val="18"/>
                <w:szCs w:val="18"/>
                <w:color w:val="auto"/>
                <w:w w:val="90"/>
              </w:rPr>
              <w:t>Veracyte, Inc. 2008</w:t>
            </w:r>
          </w:p>
        </w:tc>
        <w:tc>
          <w:tcPr>
            <w:tcW w:w="8480" w:type="dxa"/>
            <w:vAlign w:val="bottom"/>
          </w:tcPr>
          <w:p>
            <w:pPr>
              <w:ind w:left="20"/>
              <w:spacing w:after="0"/>
              <w:rPr>
                <w:sz w:val="20"/>
                <w:szCs w:val="20"/>
                <w:color w:val="auto"/>
              </w:rPr>
            </w:pPr>
            <w:r>
              <w:rPr>
                <w:rFonts w:ascii="Arial" w:cs="Arial" w:eastAsia="Arial" w:hAnsi="Arial"/>
                <w:sz w:val="18"/>
                <w:szCs w:val="18"/>
                <w:color w:val="auto"/>
              </w:rPr>
              <w:t>Stock Plan (incorporated herein by reference to Exhibit 10.2 to the Registrant’s Form S-1).</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99.2</w:t>
            </w:r>
          </w:p>
        </w:tc>
        <w:tc>
          <w:tcPr>
            <w:tcW w:w="2040" w:type="dxa"/>
            <w:vAlign w:val="bottom"/>
          </w:tcPr>
          <w:p>
            <w:pPr>
              <w:ind w:left="620"/>
              <w:spacing w:after="0"/>
              <w:rPr>
                <w:sz w:val="20"/>
                <w:szCs w:val="20"/>
                <w:color w:val="auto"/>
              </w:rPr>
            </w:pPr>
            <w:r>
              <w:rPr>
                <w:rFonts w:ascii="Arial" w:cs="Arial" w:eastAsia="Arial" w:hAnsi="Arial"/>
                <w:sz w:val="18"/>
                <w:szCs w:val="18"/>
                <w:color w:val="auto"/>
                <w:w w:val="90"/>
              </w:rPr>
              <w:t>Veracyte, Inc. 2013</w:t>
            </w:r>
          </w:p>
        </w:tc>
        <w:tc>
          <w:tcPr>
            <w:tcW w:w="8480" w:type="dxa"/>
            <w:vAlign w:val="bottom"/>
          </w:tcPr>
          <w:p>
            <w:pPr>
              <w:ind w:left="20"/>
              <w:spacing w:after="0"/>
              <w:rPr>
                <w:sz w:val="20"/>
                <w:szCs w:val="20"/>
                <w:color w:val="auto"/>
              </w:rPr>
            </w:pPr>
            <w:r>
              <w:rPr>
                <w:rFonts w:ascii="Arial" w:cs="Arial" w:eastAsia="Arial" w:hAnsi="Arial"/>
                <w:sz w:val="18"/>
                <w:szCs w:val="18"/>
                <w:color w:val="auto"/>
              </w:rPr>
              <w:t>Stock Incentive Plan (incorporated herein by reference to Exhibit 10.3 to the Registrant’s Form S-1).</w:t>
            </w:r>
          </w:p>
        </w:tc>
      </w:tr>
      <w:tr>
        <w:trPr>
          <w:trHeight w:val="348"/>
        </w:trPr>
        <w:tc>
          <w:tcPr>
            <w:tcW w:w="940" w:type="dxa"/>
            <w:vAlign w:val="bottom"/>
            <w:tcBorders>
              <w:bottom w:val="single" w:sz="8" w:color="010101"/>
            </w:tcBorders>
          </w:tcPr>
          <w:p>
            <w:pPr>
              <w:spacing w:after="0"/>
              <w:rPr>
                <w:sz w:val="24"/>
                <w:szCs w:val="24"/>
                <w:color w:val="auto"/>
              </w:rPr>
            </w:pPr>
          </w:p>
        </w:tc>
        <w:tc>
          <w:tcPr>
            <w:tcW w:w="2040" w:type="dxa"/>
            <w:vAlign w:val="bottom"/>
            <w:tcBorders>
              <w:bottom w:val="single" w:sz="8" w:color="010101"/>
            </w:tcBorders>
          </w:tcPr>
          <w:p>
            <w:pPr>
              <w:spacing w:after="0"/>
              <w:rPr>
                <w:sz w:val="24"/>
                <w:szCs w:val="24"/>
                <w:color w:val="auto"/>
              </w:rPr>
            </w:pPr>
          </w:p>
        </w:tc>
        <w:tc>
          <w:tcPr>
            <w:tcW w:w="84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 Embarcadero Center, 22nd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Francisco, CA 94111-5998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are acting as counsel for Veracyte, Inc., a Delaware corporation (the “Company”), in connection with the Registration Statement on Form S-8 (the “Registration Statement”) relating to the registration under the Securities Act of 1933 (the “Act”) of 7,155,006 shares of the Company’s common stock, par value $0.001 per share (the “Shares”), issuable pursuant to the Company’s 2008 Stock Plan and 2013 Stock Incentive Plan (the “Plans”).</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reviewed and are familiar with such corporate proceedings and other matters as we have deemed necessary for the opinions expressed in this letter. Based upon the foregoing, we are of the opinion that the Shares have been duly authorized and, when issued and sold in accordance with the Plans, will be validly issued, fully paid and nonassessable. The opinions set forth in this letter are limited to the General Corporation Law of the State of Delaware, as in effect on the date hereof.</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In giving this consent, we do not thereby admit that we are within the category of persons whose consent is required under Section 7 of the Act or the rules and regulations of the Securities and Exchange Commission promulgated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hereby consent to the incorporation by reference in this Registration Statement on Form S-8 of Veracyte, Inc. of our report dated August 12, 2013, except for the effects of the reverse stock split described in Note 1 to the financial statements, as to which the date is October 9, 2013, relating to the financial statements of Veracyte, Inc., which appears in Veracyte Inc.’s Amendment No. 4 to Registration Statement on Form S-1 (No. 333-191282).</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2019-12-07T15:20:45Z</dcterms:created>
  <dcterms:modified xsi:type="dcterms:W3CDTF">2019-12-07T15:20:45Z</dcterms:modified>
</cp:coreProperties>
</file>