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8"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_____________________</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SCHEDULE 13G</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(Rule 13d-102)</w:t>
      </w:r>
    </w:p>
    <w:p>
      <w:pPr>
        <w:spacing w:after="0" w:line="234" w:lineRule="exact"/>
        <w:rPr>
          <w:sz w:val="24"/>
          <w:szCs w:val="24"/>
          <w:color w:val="auto"/>
        </w:rPr>
      </w:pPr>
    </w:p>
    <w:p>
      <w:pPr>
        <w:jc w:val="center"/>
        <w:ind w:left="540" w:right="2720"/>
        <w:spacing w:after="0" w:line="249"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3)</w:t>
      </w:r>
      <w:r>
        <w:rPr>
          <w:rFonts w:ascii="Arial" w:cs="Arial" w:eastAsia="Arial" w:hAnsi="Arial"/>
          <w:sz w:val="29"/>
          <w:szCs w:val="29"/>
          <w:color w:val="auto"/>
          <w:vertAlign w:val="superscript"/>
        </w:rPr>
        <w:t>1</w:t>
      </w:r>
    </w:p>
    <w:p>
      <w:pPr>
        <w:spacing w:after="0" w:line="36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92337F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49" w:lineRule="exact"/>
        <w:rPr>
          <w:sz w:val="24"/>
          <w:szCs w:val="24"/>
          <w:color w:val="auto"/>
        </w:rPr>
      </w:pPr>
    </w:p>
    <w:p>
      <w:pPr>
        <w:ind w:left="840" w:hanging="196"/>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13d-1(b)</w:t>
      </w:r>
    </w:p>
    <w:p>
      <w:pPr>
        <w:spacing w:after="0" w:line="22" w:lineRule="exact"/>
        <w:rPr>
          <w:rFonts w:ascii="Arial" w:cs="Arial" w:eastAsia="Arial" w:hAnsi="Arial"/>
          <w:sz w:val="18"/>
          <w:szCs w:val="18"/>
          <w:color w:val="auto"/>
        </w:rPr>
      </w:pPr>
    </w:p>
    <w:p>
      <w:pPr>
        <w:jc w:val="both"/>
        <w:ind w:left="640" w:right="9220" w:firstLine="4"/>
        <w:spacing w:after="0" w:line="319" w:lineRule="auto"/>
        <w:tabs>
          <w:tab w:leader="none" w:pos="834" w:val="left"/>
        </w:tabs>
        <w:numPr>
          <w:ilvl w:val="0"/>
          <w:numId w:val="1"/>
        </w:numPr>
        <w:rPr>
          <w:rFonts w:ascii="Arial" w:cs="Arial" w:eastAsia="Arial" w:hAnsi="Arial"/>
          <w:sz w:val="16"/>
          <w:szCs w:val="16"/>
          <w:color w:val="auto"/>
        </w:rPr>
      </w:pPr>
      <w:r>
        <w:rPr>
          <w:rFonts w:ascii="Arial" w:cs="Arial" w:eastAsia="Arial" w:hAnsi="Arial"/>
          <w:sz w:val="16"/>
          <w:szCs w:val="16"/>
          <w:color w:val="auto"/>
        </w:rPr>
        <w:t>] Rule 13d-1(c) [X] Rule 13d-1(d)</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9" w:lineRule="exact"/>
        <w:rPr>
          <w:sz w:val="24"/>
          <w:szCs w:val="24"/>
          <w:color w:val="auto"/>
        </w:rPr>
      </w:pPr>
    </w:p>
    <w:p>
      <w:pPr>
        <w:ind w:firstLine="644"/>
        <w:spacing w:after="0" w:line="222"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 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227" w:right="560" w:bottom="1440" w:gutter="0" w:footer="0" w:header="0"/>
        </w:sectPr>
      </w:pPr>
    </w:p>
    <w:bookmarkStart w:id="1" w:name="page2"/>
    <w:bookmarkEnd w:id="1"/>
    <w:p>
      <w:pPr>
        <w:spacing w:after="0"/>
        <w:rPr>
          <w:sz w:val="20"/>
          <w:szCs w:val="20"/>
          <w:color w:val="auto"/>
        </w:rPr>
      </w:pPr>
      <w:r>
        <w:rPr>
          <w:rFonts w:ascii="Arial" w:cs="Arial" w:eastAsia="Arial" w:hAnsi="Arial"/>
          <w:sz w:val="21"/>
          <w:szCs w:val="21"/>
          <w:color w:val="auto"/>
        </w:rPr>
        <w:t xml:space="preserve">CUSIP No. </w:t>
      </w:r>
      <w:r>
        <w:rPr>
          <w:rFonts w:ascii="Arial" w:cs="Arial" w:eastAsia="Arial" w:hAnsi="Arial"/>
          <w:sz w:val="17"/>
          <w:szCs w:val="17"/>
          <w:color w:val="auto"/>
        </w:rPr>
        <w:t>92337F 10 7</w:t>
      </w:r>
    </w:p>
    <w:p>
      <w:pPr>
        <w:spacing w:after="0" w:line="200" w:lineRule="exact"/>
        <w:rPr>
          <w:sz w:val="20"/>
          <w:szCs w:val="20"/>
          <w:color w:val="auto"/>
        </w:rPr>
      </w:pPr>
    </w:p>
    <w:p>
      <w:pPr>
        <w:spacing w:after="0" w:line="290" w:lineRule="exact"/>
        <w:rPr>
          <w:sz w:val="20"/>
          <w:szCs w:val="20"/>
          <w:color w:val="auto"/>
        </w:rPr>
      </w:pPr>
    </w:p>
    <w:p>
      <w:pPr>
        <w:ind w:left="1200" w:hanging="1155"/>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200" w:right="5020"/>
        <w:spacing w:after="0" w:line="504" w:lineRule="auto"/>
        <w:rPr>
          <w:rFonts w:ascii="Arial" w:cs="Arial" w:eastAsia="Arial" w:hAnsi="Arial"/>
          <w:sz w:val="18"/>
          <w:szCs w:val="18"/>
          <w:color w:val="auto"/>
        </w:rPr>
      </w:pPr>
      <w:r>
        <w:rPr>
          <w:rFonts w:ascii="Arial" w:cs="Arial" w:eastAsia="Arial" w:hAnsi="Arial"/>
          <w:sz w:val="18"/>
          <w:szCs w:val="18"/>
          <w:color w:val="auto"/>
        </w:rPr>
        <w:t>I.R.S. Identification No. of Above Person (Entities Only) (Voluntary) Domain Partners VIII, L.P.</w:t>
      </w:r>
    </w:p>
    <w:p>
      <w:pPr>
        <w:spacing w:after="0" w:line="1" w:lineRule="exact"/>
        <w:rPr>
          <w:rFonts w:ascii="Arial" w:cs="Arial" w:eastAsia="Arial" w:hAnsi="Arial"/>
          <w:sz w:val="18"/>
          <w:szCs w:val="18"/>
          <w:color w:val="auto"/>
        </w:rPr>
      </w:pPr>
    </w:p>
    <w:p>
      <w:pPr>
        <w:ind w:left="1200" w:hanging="1111"/>
        <w:spacing w:after="0"/>
        <w:tabs>
          <w:tab w:leader="none" w:pos="1200" w:val="left"/>
        </w:tabs>
        <w:numPr>
          <w:ilvl w:val="1"/>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70866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pacing w:after="0" w:line="2" w:lineRule="exact"/>
        <w:rPr>
          <w:sz w:val="20"/>
          <w:szCs w:val="20"/>
          <w:color w:val="auto"/>
        </w:rPr>
      </w:pPr>
    </w:p>
    <w:p>
      <w:pPr>
        <w:ind w:left="1200"/>
        <w:spacing w:after="0"/>
        <w:tabs>
          <w:tab w:leader="none" w:pos="2060" w:val="left"/>
        </w:tabs>
        <w:rPr>
          <w:sz w:val="20"/>
          <w:szCs w:val="20"/>
          <w:color w:val="auto"/>
        </w:rPr>
      </w:pPr>
      <w:r>
        <w:rPr>
          <w:rFonts w:ascii="Arial" w:cs="Arial" w:eastAsia="Arial" w:hAnsi="Arial"/>
          <w:sz w:val="18"/>
          <w:szCs w:val="18"/>
          <w:color w:val="auto"/>
        </w:rPr>
        <w:t>(a) [X]</w:t>
      </w:r>
      <w:r>
        <w:rPr>
          <w:sz w:val="20"/>
          <w:szCs w:val="20"/>
          <w:color w:val="auto"/>
        </w:rPr>
        <w:tab/>
      </w:r>
      <w:r>
        <w:rPr>
          <w:rFonts w:ascii="Arial" w:cs="Arial" w:eastAsia="Arial" w:hAnsi="Arial"/>
          <w:sz w:val="18"/>
          <w:szCs w:val="18"/>
          <w:color w:val="auto"/>
        </w:rPr>
        <w:t>(b)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0866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pacing w:after="0" w:line="214" w:lineRule="exact"/>
        <w:rPr>
          <w:sz w:val="20"/>
          <w:szCs w:val="20"/>
          <w:color w:val="auto"/>
        </w:rPr>
      </w:pPr>
    </w:p>
    <w:p>
      <w:pPr>
        <w:ind w:left="1200" w:hanging="1111"/>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3" w:lineRule="exact"/>
        <w:rPr>
          <w:rFonts w:ascii="Arial" w:cs="Arial" w:eastAsia="Arial" w:hAnsi="Arial"/>
          <w:sz w:val="18"/>
          <w:szCs w:val="18"/>
          <w:color w:val="auto"/>
        </w:rPr>
      </w:pPr>
    </w:p>
    <w:p>
      <w:pPr>
        <w:ind w:left="1200" w:right="6320" w:hanging="1111"/>
        <w:spacing w:after="0" w:line="506"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-561340</wp:posOffset>
            </wp:positionV>
            <wp:extent cx="70866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6"/>
        </w:trPr>
        <w:tc>
          <w:tcPr>
            <w:tcW w:w="26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jc w:val="right"/>
              <w:ind w:right="836"/>
              <w:spacing w:after="0"/>
              <w:rPr>
                <w:sz w:val="20"/>
                <w:szCs w:val="20"/>
                <w:color w:val="auto"/>
              </w:rPr>
            </w:pPr>
            <w:r>
              <w:rPr>
                <w:rFonts w:ascii="Arial" w:cs="Arial" w:eastAsia="Arial" w:hAnsi="Arial"/>
                <w:sz w:val="18"/>
                <w:szCs w:val="18"/>
                <w:color w:val="auto"/>
              </w:rPr>
              <w:t>5.</w:t>
            </w:r>
          </w:p>
        </w:tc>
        <w:tc>
          <w:tcPr>
            <w:tcW w:w="696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5"/>
        </w:trPr>
        <w:tc>
          <w:tcPr>
            <w:tcW w:w="2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960" w:type="dxa"/>
            <w:vAlign w:val="bottom"/>
          </w:tcPr>
          <w:p>
            <w:pPr>
              <w:ind w:left="920"/>
              <w:spacing w:after="0"/>
              <w:rPr>
                <w:sz w:val="20"/>
                <w:szCs w:val="20"/>
                <w:color w:val="auto"/>
              </w:rPr>
            </w:pPr>
            <w:r>
              <w:rPr>
                <w:rFonts w:ascii="Arial" w:cs="Arial" w:eastAsia="Arial" w:hAnsi="Arial"/>
                <w:sz w:val="18"/>
                <w:szCs w:val="18"/>
                <w:color w:val="auto"/>
              </w:rPr>
              <w:t>2,266,994 shares of Common Stock *</w:t>
            </w:r>
          </w:p>
        </w:tc>
        <w:tc>
          <w:tcPr>
            <w:tcW w:w="0" w:type="dxa"/>
            <w:vAlign w:val="bottom"/>
          </w:tcPr>
          <w:p>
            <w:pPr>
              <w:spacing w:after="0"/>
              <w:rPr>
                <w:sz w:val="1"/>
                <w:szCs w:val="1"/>
                <w:color w:val="auto"/>
              </w:rPr>
            </w:pPr>
          </w:p>
        </w:tc>
      </w:tr>
      <w:tr>
        <w:trPr>
          <w:trHeight w:val="221"/>
        </w:trPr>
        <w:tc>
          <w:tcPr>
            <w:tcW w:w="2680" w:type="dxa"/>
            <w:vAlign w:val="bottom"/>
            <w:vMerge w:val="restart"/>
          </w:tcPr>
          <w:p>
            <w:pPr>
              <w:jc w:val="center"/>
              <w:ind w:left="391"/>
              <w:spacing w:after="0"/>
              <w:rPr>
                <w:sz w:val="20"/>
                <w:szCs w:val="20"/>
                <w:color w:val="auto"/>
              </w:rPr>
            </w:pPr>
            <w:r>
              <w:rPr>
                <w:rFonts w:ascii="Arial" w:cs="Arial" w:eastAsia="Arial" w:hAnsi="Arial"/>
                <w:sz w:val="18"/>
                <w:szCs w:val="18"/>
                <w:color w:val="auto"/>
                <w:w w:val="96"/>
              </w:rPr>
              <w:t>NUMBER OF</w:t>
            </w:r>
          </w:p>
        </w:tc>
        <w:tc>
          <w:tcPr>
            <w:tcW w:w="1520" w:type="dxa"/>
            <w:vAlign w:val="bottom"/>
            <w:gridSpan w:val="2"/>
          </w:tcPr>
          <w:p>
            <w:pPr>
              <w:spacing w:after="0"/>
              <w:rPr>
                <w:sz w:val="19"/>
                <w:szCs w:val="19"/>
                <w:color w:val="auto"/>
              </w:rPr>
            </w:pPr>
          </w:p>
        </w:tc>
        <w:tc>
          <w:tcPr>
            <w:tcW w:w="6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68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Borders>
              <w:top w:val="single" w:sz="8" w:color="auto"/>
            </w:tcBorders>
          </w:tcPr>
          <w:p>
            <w:pPr>
              <w:jc w:val="right"/>
              <w:ind w:right="836"/>
              <w:spacing w:after="0"/>
              <w:rPr>
                <w:sz w:val="20"/>
                <w:szCs w:val="20"/>
                <w:color w:val="auto"/>
              </w:rPr>
            </w:pPr>
            <w:r>
              <w:rPr>
                <w:rFonts w:ascii="Arial" w:cs="Arial" w:eastAsia="Arial" w:hAnsi="Arial"/>
                <w:sz w:val="17"/>
                <w:szCs w:val="17"/>
                <w:color w:val="auto"/>
                <w:w w:val="70"/>
              </w:rPr>
              <w:t>6.</w:t>
            </w:r>
          </w:p>
        </w:tc>
        <w:tc>
          <w:tcPr>
            <w:tcW w:w="696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2680" w:type="dxa"/>
            <w:vAlign w:val="bottom"/>
          </w:tcPr>
          <w:p>
            <w:pPr>
              <w:jc w:val="center"/>
              <w:ind w:left="391"/>
              <w:spacing w:after="0"/>
              <w:rPr>
                <w:sz w:val="20"/>
                <w:szCs w:val="20"/>
                <w:color w:val="auto"/>
              </w:rPr>
            </w:pPr>
            <w:r>
              <w:rPr>
                <w:rFonts w:ascii="Arial" w:cs="Arial" w:eastAsia="Arial" w:hAnsi="Arial"/>
                <w:sz w:val="18"/>
                <w:szCs w:val="18"/>
                <w:color w:val="auto"/>
                <w:w w:val="91"/>
              </w:rPr>
              <w:t>SHARES</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960" w:type="dxa"/>
            <w:vAlign w:val="bottom"/>
            <w:vMerge w:val="restart"/>
          </w:tcPr>
          <w:p>
            <w:pPr>
              <w:ind w:left="9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2680" w:type="dxa"/>
            <w:vAlign w:val="bottom"/>
          </w:tcPr>
          <w:p>
            <w:pPr>
              <w:jc w:val="center"/>
              <w:ind w:left="371"/>
              <w:spacing w:after="0"/>
              <w:rPr>
                <w:sz w:val="20"/>
                <w:szCs w:val="20"/>
                <w:color w:val="auto"/>
              </w:rPr>
            </w:pPr>
            <w:r>
              <w:rPr>
                <w:rFonts w:ascii="Arial" w:cs="Arial" w:eastAsia="Arial" w:hAnsi="Arial"/>
                <w:sz w:val="18"/>
                <w:szCs w:val="18"/>
                <w:color w:val="auto"/>
                <w:w w:val="99"/>
              </w:rPr>
              <w:t>BENEFICIALLY</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80" w:type="dxa"/>
            <w:vAlign w:val="bottom"/>
          </w:tcPr>
          <w:p>
            <w:pPr>
              <w:jc w:val="center"/>
              <w:ind w:left="391"/>
              <w:spacing w:after="0"/>
              <w:rPr>
                <w:sz w:val="20"/>
                <w:szCs w:val="20"/>
                <w:color w:val="auto"/>
              </w:rPr>
            </w:pPr>
            <w:r>
              <w:rPr>
                <w:rFonts w:ascii="Arial" w:cs="Arial" w:eastAsia="Arial" w:hAnsi="Arial"/>
                <w:sz w:val="18"/>
                <w:szCs w:val="18"/>
                <w:color w:val="auto"/>
                <w:w w:val="97"/>
              </w:rPr>
              <w:t>OWNED BY</w:t>
            </w:r>
          </w:p>
        </w:tc>
        <w:tc>
          <w:tcPr>
            <w:tcW w:w="4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680" w:type="dxa"/>
            <w:vAlign w:val="bottom"/>
          </w:tcPr>
          <w:p>
            <w:pPr>
              <w:jc w:val="center"/>
              <w:ind w:left="391"/>
              <w:spacing w:after="0" w:line="187" w:lineRule="exact"/>
              <w:rPr>
                <w:sz w:val="20"/>
                <w:szCs w:val="20"/>
                <w:color w:val="auto"/>
              </w:rPr>
            </w:pPr>
            <w:r>
              <w:rPr>
                <w:rFonts w:ascii="Arial" w:cs="Arial" w:eastAsia="Arial" w:hAnsi="Arial"/>
                <w:sz w:val="18"/>
                <w:szCs w:val="18"/>
                <w:color w:val="auto"/>
                <w:w w:val="95"/>
              </w:rPr>
              <w:t>EACH</w:t>
            </w:r>
          </w:p>
        </w:tc>
        <w:tc>
          <w:tcPr>
            <w:tcW w:w="480" w:type="dxa"/>
            <w:vAlign w:val="bottom"/>
          </w:tcPr>
          <w:p>
            <w:pPr>
              <w:spacing w:after="0"/>
              <w:rPr>
                <w:sz w:val="16"/>
                <w:szCs w:val="16"/>
                <w:color w:val="auto"/>
              </w:rPr>
            </w:pPr>
          </w:p>
        </w:tc>
        <w:tc>
          <w:tcPr>
            <w:tcW w:w="1040" w:type="dxa"/>
            <w:vAlign w:val="bottom"/>
          </w:tcPr>
          <w:p>
            <w:pPr>
              <w:jc w:val="right"/>
              <w:ind w:right="836"/>
              <w:spacing w:after="0" w:line="187" w:lineRule="exact"/>
              <w:rPr>
                <w:sz w:val="20"/>
                <w:szCs w:val="20"/>
                <w:color w:val="auto"/>
              </w:rPr>
            </w:pPr>
            <w:r>
              <w:rPr>
                <w:rFonts w:ascii="Arial" w:cs="Arial" w:eastAsia="Arial" w:hAnsi="Arial"/>
                <w:sz w:val="17"/>
                <w:szCs w:val="17"/>
                <w:color w:val="auto"/>
                <w:w w:val="70"/>
              </w:rPr>
              <w:t>7.</w:t>
            </w:r>
          </w:p>
        </w:tc>
        <w:tc>
          <w:tcPr>
            <w:tcW w:w="6960" w:type="dxa"/>
            <w:vAlign w:val="bottom"/>
          </w:tcPr>
          <w:p>
            <w:pPr>
              <w:ind w:left="920"/>
              <w:spacing w:after="0" w:line="187"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2680" w:type="dxa"/>
            <w:vAlign w:val="bottom"/>
          </w:tcPr>
          <w:p>
            <w:pPr>
              <w:jc w:val="center"/>
              <w:ind w:left="391"/>
              <w:spacing w:after="0"/>
              <w:rPr>
                <w:sz w:val="20"/>
                <w:szCs w:val="20"/>
                <w:color w:val="auto"/>
              </w:rPr>
            </w:pPr>
            <w:r>
              <w:rPr>
                <w:rFonts w:ascii="Arial" w:cs="Arial" w:eastAsia="Arial" w:hAnsi="Arial"/>
                <w:sz w:val="18"/>
                <w:szCs w:val="18"/>
                <w:color w:val="auto"/>
                <w:w w:val="93"/>
              </w:rPr>
              <w:t>REPORTING</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ind w:left="391"/>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960" w:type="dxa"/>
            <w:vAlign w:val="bottom"/>
          </w:tcPr>
          <w:p>
            <w:pPr>
              <w:ind w:left="920"/>
              <w:spacing w:after="0"/>
              <w:rPr>
                <w:sz w:val="20"/>
                <w:szCs w:val="20"/>
                <w:color w:val="auto"/>
              </w:rPr>
            </w:pPr>
            <w:r>
              <w:rPr>
                <w:rFonts w:ascii="Arial" w:cs="Arial" w:eastAsia="Arial" w:hAnsi="Arial"/>
                <w:sz w:val="18"/>
                <w:szCs w:val="18"/>
                <w:color w:val="auto"/>
              </w:rPr>
              <w:t>2,266,994 shares of Common Stock *</w:t>
            </w:r>
          </w:p>
        </w:tc>
        <w:tc>
          <w:tcPr>
            <w:tcW w:w="0" w:type="dxa"/>
            <w:vAlign w:val="bottom"/>
          </w:tcPr>
          <w:p>
            <w:pPr>
              <w:spacing w:after="0"/>
              <w:rPr>
                <w:sz w:val="1"/>
                <w:szCs w:val="1"/>
                <w:color w:val="auto"/>
              </w:rPr>
            </w:pPr>
          </w:p>
        </w:tc>
      </w:tr>
      <w:tr>
        <w:trPr>
          <w:trHeight w:val="249"/>
        </w:trPr>
        <w:tc>
          <w:tcPr>
            <w:tcW w:w="2680" w:type="dxa"/>
            <w:vAlign w:val="bottom"/>
          </w:tcPr>
          <w:p>
            <w:pPr>
              <w:jc w:val="center"/>
              <w:ind w:left="371"/>
              <w:spacing w:after="0"/>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836"/>
              <w:spacing w:after="0"/>
              <w:rPr>
                <w:sz w:val="20"/>
                <w:szCs w:val="20"/>
                <w:color w:val="auto"/>
              </w:rPr>
            </w:pPr>
            <w:r>
              <w:rPr>
                <w:rFonts w:ascii="Arial" w:cs="Arial" w:eastAsia="Arial" w:hAnsi="Arial"/>
                <w:sz w:val="17"/>
                <w:szCs w:val="17"/>
                <w:color w:val="auto"/>
                <w:w w:val="70"/>
              </w:rPr>
              <w:t>8.</w:t>
            </w:r>
          </w:p>
        </w:tc>
        <w:tc>
          <w:tcPr>
            <w:tcW w:w="6960" w:type="dxa"/>
            <w:vAlign w:val="bottom"/>
          </w:tcPr>
          <w:p>
            <w:pPr>
              <w:ind w:left="9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5"/>
        </w:trPr>
        <w:tc>
          <w:tcPr>
            <w:tcW w:w="2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960" w:type="dxa"/>
            <w:vAlign w:val="bottom"/>
          </w:tcPr>
          <w:p>
            <w:pPr>
              <w:ind w:left="9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200" w:right="3460" w:hanging="1111"/>
        <w:spacing w:after="0" w:line="513" w:lineRule="auto"/>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2,266,994 shares of Common Stock *</w:t>
      </w:r>
    </w:p>
    <w:p>
      <w:pPr>
        <w:ind w:left="1200" w:hanging="1200"/>
        <w:spacing w:after="0"/>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  ]</w:t>
      </w:r>
    </w:p>
    <w:p>
      <w:pPr>
        <w:spacing w:after="0" w:line="200" w:lineRule="exact"/>
        <w:rPr>
          <w:rFonts w:ascii="Arial" w:cs="Arial" w:eastAsia="Arial" w:hAnsi="Arial"/>
          <w:sz w:val="18"/>
          <w:szCs w:val="18"/>
          <w:color w:val="auto"/>
        </w:rPr>
      </w:pPr>
    </w:p>
    <w:p>
      <w:pPr>
        <w:spacing w:after="0" w:line="263" w:lineRule="exact"/>
        <w:rPr>
          <w:rFonts w:ascii="Arial" w:cs="Arial" w:eastAsia="Arial" w:hAnsi="Arial"/>
          <w:sz w:val="18"/>
          <w:szCs w:val="18"/>
          <w:color w:val="auto"/>
        </w:rPr>
      </w:pPr>
    </w:p>
    <w:p>
      <w:pPr>
        <w:ind w:left="1200" w:hanging="1200"/>
        <w:spacing w:after="0"/>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2"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5.6% **</w:t>
      </w:r>
    </w:p>
    <w:p>
      <w:pPr>
        <w:spacing w:after="0" w:line="249" w:lineRule="exact"/>
        <w:rPr>
          <w:rFonts w:ascii="Arial" w:cs="Arial" w:eastAsia="Arial" w:hAnsi="Arial"/>
          <w:sz w:val="18"/>
          <w:szCs w:val="18"/>
          <w:color w:val="auto"/>
        </w:rPr>
      </w:pPr>
    </w:p>
    <w:p>
      <w:pPr>
        <w:ind w:left="1200" w:right="7480" w:hanging="1200"/>
        <w:spacing w:after="0" w:line="523" w:lineRule="auto"/>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2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As of December 31, 2018.</w:t>
      </w:r>
    </w:p>
    <w:p>
      <w:pPr>
        <w:spacing w:after="0" w:line="22" w:lineRule="exact"/>
        <w:rPr>
          <w:rFonts w:ascii="Arial" w:cs="Arial" w:eastAsia="Arial" w:hAnsi="Arial"/>
          <w:sz w:val="18"/>
          <w:szCs w:val="18"/>
          <w:color w:val="auto"/>
        </w:rPr>
      </w:pPr>
    </w:p>
    <w:p>
      <w:pPr>
        <w:ind w:right="760"/>
        <w:spacing w:after="0" w:line="257" w:lineRule="auto"/>
        <w:tabs>
          <w:tab w:leader="none" w:pos="223"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40,538,779 shares of Common Stock outstanding as of October 25, 2018, as reported in the Issuer’s Form 10-Q for the period ended September 30, 2018 filed with the Securities and Exchange Commission on October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-2138045</wp:posOffset>
            </wp:positionV>
            <wp:extent cx="70866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660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-1711960</wp:posOffset>
            </wp:positionV>
            <wp:extent cx="70866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-1149985</wp:posOffset>
            </wp:positionV>
            <wp:extent cx="70866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-588010</wp:posOffset>
            </wp:positionV>
            <wp:extent cx="70866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461" w:right="5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08660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461" w:right="560" w:bottom="1440" w:gutter="0" w:footer="0" w:header="0"/>
          <w:type w:val="continuous"/>
        </w:sectPr>
      </w:pPr>
    </w:p>
    <w:bookmarkStart w:id="2" w:name="page3"/>
    <w:bookmarkEnd w:id="2"/>
    <w:p>
      <w:pPr>
        <w:spacing w:after="0"/>
        <w:rPr>
          <w:sz w:val="20"/>
          <w:szCs w:val="20"/>
          <w:color w:val="auto"/>
        </w:rPr>
      </w:pPr>
      <w:r>
        <w:rPr>
          <w:rFonts w:ascii="Arial" w:cs="Arial" w:eastAsia="Arial" w:hAnsi="Arial"/>
          <w:sz w:val="21"/>
          <w:szCs w:val="21"/>
          <w:color w:val="auto"/>
        </w:rPr>
        <w:t xml:space="preserve">CUSIP No. </w:t>
      </w:r>
      <w:r>
        <w:rPr>
          <w:rFonts w:ascii="Arial" w:cs="Arial" w:eastAsia="Arial" w:hAnsi="Arial"/>
          <w:sz w:val="17"/>
          <w:szCs w:val="17"/>
          <w:color w:val="auto"/>
        </w:rPr>
        <w:t>92337F 10 7</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0" w:hanging="1155"/>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200" w:right="5020"/>
        <w:spacing w:after="0" w:line="504" w:lineRule="auto"/>
        <w:rPr>
          <w:rFonts w:ascii="Arial" w:cs="Arial" w:eastAsia="Arial" w:hAnsi="Arial"/>
          <w:sz w:val="18"/>
          <w:szCs w:val="18"/>
          <w:color w:val="auto"/>
        </w:rPr>
      </w:pPr>
      <w:r>
        <w:rPr>
          <w:rFonts w:ascii="Arial" w:cs="Arial" w:eastAsia="Arial" w:hAnsi="Arial"/>
          <w:sz w:val="18"/>
          <w:szCs w:val="18"/>
          <w:color w:val="auto"/>
        </w:rPr>
        <w:t>I.R.S. Identification No. of Above Person (Entities Only) (Voluntary) DP VIII Associates, L.P.</w:t>
      </w:r>
    </w:p>
    <w:p>
      <w:pPr>
        <w:spacing w:after="0" w:line="1" w:lineRule="exact"/>
        <w:rPr>
          <w:rFonts w:ascii="Arial" w:cs="Arial" w:eastAsia="Arial" w:hAnsi="Arial"/>
          <w:sz w:val="18"/>
          <w:szCs w:val="18"/>
          <w:color w:val="auto"/>
        </w:rPr>
      </w:pPr>
    </w:p>
    <w:p>
      <w:pPr>
        <w:ind w:left="1200" w:hanging="1111"/>
        <w:spacing w:after="0"/>
        <w:tabs>
          <w:tab w:leader="none" w:pos="12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70866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pacing w:after="0" w:line="2" w:lineRule="exact"/>
        <w:rPr>
          <w:sz w:val="20"/>
          <w:szCs w:val="20"/>
          <w:color w:val="auto"/>
        </w:rPr>
      </w:pPr>
    </w:p>
    <w:p>
      <w:pPr>
        <w:ind w:left="1200"/>
        <w:spacing w:after="0"/>
        <w:tabs>
          <w:tab w:leader="none" w:pos="2060" w:val="left"/>
        </w:tabs>
        <w:rPr>
          <w:sz w:val="20"/>
          <w:szCs w:val="20"/>
          <w:color w:val="auto"/>
        </w:rPr>
      </w:pPr>
      <w:r>
        <w:rPr>
          <w:rFonts w:ascii="Arial" w:cs="Arial" w:eastAsia="Arial" w:hAnsi="Arial"/>
          <w:sz w:val="18"/>
          <w:szCs w:val="18"/>
          <w:color w:val="auto"/>
        </w:rPr>
        <w:t>(a) [X]</w:t>
      </w:r>
      <w:r>
        <w:rPr>
          <w:sz w:val="20"/>
          <w:szCs w:val="20"/>
          <w:color w:val="auto"/>
        </w:rPr>
        <w:tab/>
      </w:r>
      <w:r>
        <w:rPr>
          <w:rFonts w:ascii="Arial" w:cs="Arial" w:eastAsia="Arial" w:hAnsi="Arial"/>
          <w:sz w:val="18"/>
          <w:szCs w:val="18"/>
          <w:color w:val="auto"/>
        </w:rPr>
        <w:t>(b)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0866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pacing w:after="0" w:line="214" w:lineRule="exact"/>
        <w:rPr>
          <w:sz w:val="20"/>
          <w:szCs w:val="20"/>
          <w:color w:val="auto"/>
        </w:rPr>
      </w:pPr>
    </w:p>
    <w:p>
      <w:pPr>
        <w:ind w:left="1200" w:hanging="1111"/>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3" w:lineRule="exact"/>
        <w:rPr>
          <w:rFonts w:ascii="Arial" w:cs="Arial" w:eastAsia="Arial" w:hAnsi="Arial"/>
          <w:sz w:val="18"/>
          <w:szCs w:val="18"/>
          <w:color w:val="auto"/>
        </w:rPr>
      </w:pPr>
    </w:p>
    <w:p>
      <w:pPr>
        <w:ind w:left="1200" w:right="6320" w:hanging="1111"/>
        <w:spacing w:after="0" w:line="506"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-561340</wp:posOffset>
            </wp:positionV>
            <wp:extent cx="70866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6"/>
        </w:trPr>
        <w:tc>
          <w:tcPr>
            <w:tcW w:w="26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jc w:val="right"/>
              <w:ind w:right="836"/>
              <w:spacing w:after="0"/>
              <w:rPr>
                <w:sz w:val="20"/>
                <w:szCs w:val="20"/>
                <w:color w:val="auto"/>
              </w:rPr>
            </w:pPr>
            <w:r>
              <w:rPr>
                <w:rFonts w:ascii="Arial" w:cs="Arial" w:eastAsia="Arial" w:hAnsi="Arial"/>
                <w:sz w:val="18"/>
                <w:szCs w:val="18"/>
                <w:color w:val="auto"/>
              </w:rPr>
              <w:t>5.</w:t>
            </w:r>
          </w:p>
        </w:tc>
        <w:tc>
          <w:tcPr>
            <w:tcW w:w="696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5"/>
        </w:trPr>
        <w:tc>
          <w:tcPr>
            <w:tcW w:w="2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960" w:type="dxa"/>
            <w:vAlign w:val="bottom"/>
          </w:tcPr>
          <w:p>
            <w:pPr>
              <w:ind w:left="920"/>
              <w:spacing w:after="0"/>
              <w:rPr>
                <w:sz w:val="20"/>
                <w:szCs w:val="20"/>
                <w:color w:val="auto"/>
              </w:rPr>
            </w:pPr>
            <w:r>
              <w:rPr>
                <w:rFonts w:ascii="Arial" w:cs="Arial" w:eastAsia="Arial" w:hAnsi="Arial"/>
                <w:sz w:val="18"/>
                <w:szCs w:val="18"/>
                <w:color w:val="auto"/>
              </w:rPr>
              <w:t>16,804 shares of Common Stock *</w:t>
            </w:r>
          </w:p>
        </w:tc>
        <w:tc>
          <w:tcPr>
            <w:tcW w:w="0" w:type="dxa"/>
            <w:vAlign w:val="bottom"/>
          </w:tcPr>
          <w:p>
            <w:pPr>
              <w:spacing w:after="0"/>
              <w:rPr>
                <w:sz w:val="1"/>
                <w:szCs w:val="1"/>
                <w:color w:val="auto"/>
              </w:rPr>
            </w:pPr>
          </w:p>
        </w:tc>
      </w:tr>
      <w:tr>
        <w:trPr>
          <w:trHeight w:val="221"/>
        </w:trPr>
        <w:tc>
          <w:tcPr>
            <w:tcW w:w="2680" w:type="dxa"/>
            <w:vAlign w:val="bottom"/>
            <w:vMerge w:val="restart"/>
          </w:tcPr>
          <w:p>
            <w:pPr>
              <w:jc w:val="center"/>
              <w:ind w:left="391"/>
              <w:spacing w:after="0"/>
              <w:rPr>
                <w:sz w:val="20"/>
                <w:szCs w:val="20"/>
                <w:color w:val="auto"/>
              </w:rPr>
            </w:pPr>
            <w:r>
              <w:rPr>
                <w:rFonts w:ascii="Arial" w:cs="Arial" w:eastAsia="Arial" w:hAnsi="Arial"/>
                <w:sz w:val="18"/>
                <w:szCs w:val="18"/>
                <w:color w:val="auto"/>
                <w:w w:val="96"/>
              </w:rPr>
              <w:t>NUMBER OF</w:t>
            </w:r>
          </w:p>
        </w:tc>
        <w:tc>
          <w:tcPr>
            <w:tcW w:w="1520" w:type="dxa"/>
            <w:vAlign w:val="bottom"/>
            <w:gridSpan w:val="2"/>
          </w:tcPr>
          <w:p>
            <w:pPr>
              <w:spacing w:after="0"/>
              <w:rPr>
                <w:sz w:val="19"/>
                <w:szCs w:val="19"/>
                <w:color w:val="auto"/>
              </w:rPr>
            </w:pPr>
          </w:p>
        </w:tc>
        <w:tc>
          <w:tcPr>
            <w:tcW w:w="6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68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Borders>
              <w:top w:val="single" w:sz="8" w:color="auto"/>
            </w:tcBorders>
          </w:tcPr>
          <w:p>
            <w:pPr>
              <w:jc w:val="right"/>
              <w:ind w:right="836"/>
              <w:spacing w:after="0"/>
              <w:rPr>
                <w:sz w:val="20"/>
                <w:szCs w:val="20"/>
                <w:color w:val="auto"/>
              </w:rPr>
            </w:pPr>
            <w:r>
              <w:rPr>
                <w:rFonts w:ascii="Arial" w:cs="Arial" w:eastAsia="Arial" w:hAnsi="Arial"/>
                <w:sz w:val="17"/>
                <w:szCs w:val="17"/>
                <w:color w:val="auto"/>
                <w:w w:val="70"/>
              </w:rPr>
              <w:t>6.</w:t>
            </w:r>
          </w:p>
        </w:tc>
        <w:tc>
          <w:tcPr>
            <w:tcW w:w="696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2680" w:type="dxa"/>
            <w:vAlign w:val="bottom"/>
          </w:tcPr>
          <w:p>
            <w:pPr>
              <w:jc w:val="center"/>
              <w:ind w:left="391"/>
              <w:spacing w:after="0"/>
              <w:rPr>
                <w:sz w:val="20"/>
                <w:szCs w:val="20"/>
                <w:color w:val="auto"/>
              </w:rPr>
            </w:pPr>
            <w:r>
              <w:rPr>
                <w:rFonts w:ascii="Arial" w:cs="Arial" w:eastAsia="Arial" w:hAnsi="Arial"/>
                <w:sz w:val="18"/>
                <w:szCs w:val="18"/>
                <w:color w:val="auto"/>
                <w:w w:val="91"/>
              </w:rPr>
              <w:t>SHARES</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960" w:type="dxa"/>
            <w:vAlign w:val="bottom"/>
            <w:vMerge w:val="restart"/>
          </w:tcPr>
          <w:p>
            <w:pPr>
              <w:ind w:left="9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2680" w:type="dxa"/>
            <w:vAlign w:val="bottom"/>
          </w:tcPr>
          <w:p>
            <w:pPr>
              <w:jc w:val="center"/>
              <w:ind w:left="371"/>
              <w:spacing w:after="0"/>
              <w:rPr>
                <w:sz w:val="20"/>
                <w:szCs w:val="20"/>
                <w:color w:val="auto"/>
              </w:rPr>
            </w:pPr>
            <w:r>
              <w:rPr>
                <w:rFonts w:ascii="Arial" w:cs="Arial" w:eastAsia="Arial" w:hAnsi="Arial"/>
                <w:sz w:val="18"/>
                <w:szCs w:val="18"/>
                <w:color w:val="auto"/>
                <w:w w:val="99"/>
              </w:rPr>
              <w:t>BENEFICIALLY</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80" w:type="dxa"/>
            <w:vAlign w:val="bottom"/>
          </w:tcPr>
          <w:p>
            <w:pPr>
              <w:jc w:val="center"/>
              <w:ind w:left="391"/>
              <w:spacing w:after="0"/>
              <w:rPr>
                <w:sz w:val="20"/>
                <w:szCs w:val="20"/>
                <w:color w:val="auto"/>
              </w:rPr>
            </w:pPr>
            <w:r>
              <w:rPr>
                <w:rFonts w:ascii="Arial" w:cs="Arial" w:eastAsia="Arial" w:hAnsi="Arial"/>
                <w:sz w:val="18"/>
                <w:szCs w:val="18"/>
                <w:color w:val="auto"/>
                <w:w w:val="97"/>
              </w:rPr>
              <w:t>OWNED BY</w:t>
            </w:r>
          </w:p>
        </w:tc>
        <w:tc>
          <w:tcPr>
            <w:tcW w:w="4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680" w:type="dxa"/>
            <w:vAlign w:val="bottom"/>
          </w:tcPr>
          <w:p>
            <w:pPr>
              <w:jc w:val="center"/>
              <w:ind w:left="391"/>
              <w:spacing w:after="0" w:line="187" w:lineRule="exact"/>
              <w:rPr>
                <w:sz w:val="20"/>
                <w:szCs w:val="20"/>
                <w:color w:val="auto"/>
              </w:rPr>
            </w:pPr>
            <w:r>
              <w:rPr>
                <w:rFonts w:ascii="Arial" w:cs="Arial" w:eastAsia="Arial" w:hAnsi="Arial"/>
                <w:sz w:val="18"/>
                <w:szCs w:val="18"/>
                <w:color w:val="auto"/>
                <w:w w:val="95"/>
              </w:rPr>
              <w:t>EACH</w:t>
            </w:r>
          </w:p>
        </w:tc>
        <w:tc>
          <w:tcPr>
            <w:tcW w:w="480" w:type="dxa"/>
            <w:vAlign w:val="bottom"/>
          </w:tcPr>
          <w:p>
            <w:pPr>
              <w:spacing w:after="0"/>
              <w:rPr>
                <w:sz w:val="16"/>
                <w:szCs w:val="16"/>
                <w:color w:val="auto"/>
              </w:rPr>
            </w:pPr>
          </w:p>
        </w:tc>
        <w:tc>
          <w:tcPr>
            <w:tcW w:w="1040" w:type="dxa"/>
            <w:vAlign w:val="bottom"/>
          </w:tcPr>
          <w:p>
            <w:pPr>
              <w:jc w:val="right"/>
              <w:ind w:right="836"/>
              <w:spacing w:after="0" w:line="187" w:lineRule="exact"/>
              <w:rPr>
                <w:sz w:val="20"/>
                <w:szCs w:val="20"/>
                <w:color w:val="auto"/>
              </w:rPr>
            </w:pPr>
            <w:r>
              <w:rPr>
                <w:rFonts w:ascii="Arial" w:cs="Arial" w:eastAsia="Arial" w:hAnsi="Arial"/>
                <w:sz w:val="17"/>
                <w:szCs w:val="17"/>
                <w:color w:val="auto"/>
                <w:w w:val="70"/>
              </w:rPr>
              <w:t>7.</w:t>
            </w:r>
          </w:p>
        </w:tc>
        <w:tc>
          <w:tcPr>
            <w:tcW w:w="6960" w:type="dxa"/>
            <w:vAlign w:val="bottom"/>
          </w:tcPr>
          <w:p>
            <w:pPr>
              <w:ind w:left="920"/>
              <w:spacing w:after="0" w:line="187"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2680" w:type="dxa"/>
            <w:vAlign w:val="bottom"/>
          </w:tcPr>
          <w:p>
            <w:pPr>
              <w:jc w:val="center"/>
              <w:ind w:left="391"/>
              <w:spacing w:after="0"/>
              <w:rPr>
                <w:sz w:val="20"/>
                <w:szCs w:val="20"/>
                <w:color w:val="auto"/>
              </w:rPr>
            </w:pPr>
            <w:r>
              <w:rPr>
                <w:rFonts w:ascii="Arial" w:cs="Arial" w:eastAsia="Arial" w:hAnsi="Arial"/>
                <w:sz w:val="18"/>
                <w:szCs w:val="18"/>
                <w:color w:val="auto"/>
                <w:w w:val="93"/>
              </w:rPr>
              <w:t>REPORTING</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80" w:type="dxa"/>
            <w:vAlign w:val="bottom"/>
          </w:tcPr>
          <w:p>
            <w:pPr>
              <w:jc w:val="center"/>
              <w:ind w:left="391"/>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960" w:type="dxa"/>
            <w:vAlign w:val="bottom"/>
          </w:tcPr>
          <w:p>
            <w:pPr>
              <w:ind w:left="920"/>
              <w:spacing w:after="0"/>
              <w:rPr>
                <w:sz w:val="20"/>
                <w:szCs w:val="20"/>
                <w:color w:val="auto"/>
              </w:rPr>
            </w:pPr>
            <w:r>
              <w:rPr>
                <w:rFonts w:ascii="Arial" w:cs="Arial" w:eastAsia="Arial" w:hAnsi="Arial"/>
                <w:sz w:val="18"/>
                <w:szCs w:val="18"/>
                <w:color w:val="auto"/>
              </w:rPr>
              <w:t>16,804 shares of Common Stock *</w:t>
            </w:r>
          </w:p>
        </w:tc>
        <w:tc>
          <w:tcPr>
            <w:tcW w:w="0" w:type="dxa"/>
            <w:vAlign w:val="bottom"/>
          </w:tcPr>
          <w:p>
            <w:pPr>
              <w:spacing w:after="0"/>
              <w:rPr>
                <w:sz w:val="1"/>
                <w:szCs w:val="1"/>
                <w:color w:val="auto"/>
              </w:rPr>
            </w:pPr>
          </w:p>
        </w:tc>
      </w:tr>
      <w:tr>
        <w:trPr>
          <w:trHeight w:val="249"/>
        </w:trPr>
        <w:tc>
          <w:tcPr>
            <w:tcW w:w="2680" w:type="dxa"/>
            <w:vAlign w:val="bottom"/>
          </w:tcPr>
          <w:p>
            <w:pPr>
              <w:jc w:val="center"/>
              <w:ind w:left="371"/>
              <w:spacing w:after="0"/>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836"/>
              <w:spacing w:after="0"/>
              <w:rPr>
                <w:sz w:val="20"/>
                <w:szCs w:val="20"/>
                <w:color w:val="auto"/>
              </w:rPr>
            </w:pPr>
            <w:r>
              <w:rPr>
                <w:rFonts w:ascii="Arial" w:cs="Arial" w:eastAsia="Arial" w:hAnsi="Arial"/>
                <w:sz w:val="17"/>
                <w:szCs w:val="17"/>
                <w:color w:val="auto"/>
                <w:w w:val="70"/>
              </w:rPr>
              <w:t>8.</w:t>
            </w:r>
          </w:p>
        </w:tc>
        <w:tc>
          <w:tcPr>
            <w:tcW w:w="6960" w:type="dxa"/>
            <w:vAlign w:val="bottom"/>
          </w:tcPr>
          <w:p>
            <w:pPr>
              <w:ind w:left="9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5"/>
        </w:trPr>
        <w:tc>
          <w:tcPr>
            <w:tcW w:w="2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960" w:type="dxa"/>
            <w:vAlign w:val="bottom"/>
          </w:tcPr>
          <w:p>
            <w:pPr>
              <w:ind w:left="9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200" w:right="3460" w:hanging="1111"/>
        <w:spacing w:after="0" w:line="513" w:lineRule="auto"/>
        <w:tabs>
          <w:tab w:leader="none" w:pos="12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16,804 shares of Common Stock *</w:t>
      </w:r>
    </w:p>
    <w:p>
      <w:pPr>
        <w:ind w:left="1200" w:hanging="1200"/>
        <w:spacing w:after="0"/>
        <w:tabs>
          <w:tab w:leader="none" w:pos="12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  ]</w:t>
      </w:r>
    </w:p>
    <w:p>
      <w:pPr>
        <w:spacing w:after="0" w:line="200" w:lineRule="exact"/>
        <w:rPr>
          <w:rFonts w:ascii="Arial" w:cs="Arial" w:eastAsia="Arial" w:hAnsi="Arial"/>
          <w:sz w:val="18"/>
          <w:szCs w:val="18"/>
          <w:color w:val="auto"/>
        </w:rPr>
      </w:pPr>
    </w:p>
    <w:p>
      <w:pPr>
        <w:spacing w:after="0" w:line="263" w:lineRule="exact"/>
        <w:rPr>
          <w:rFonts w:ascii="Arial" w:cs="Arial" w:eastAsia="Arial" w:hAnsi="Arial"/>
          <w:sz w:val="18"/>
          <w:szCs w:val="18"/>
          <w:color w:val="auto"/>
        </w:rPr>
      </w:pPr>
    </w:p>
    <w:p>
      <w:pPr>
        <w:ind w:left="1200" w:right="4940" w:hanging="1200"/>
        <w:spacing w:after="0" w:line="513" w:lineRule="auto"/>
        <w:tabs>
          <w:tab w:leader="none" w:pos="12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Less than 0.1% **</w:t>
      </w:r>
    </w:p>
    <w:p>
      <w:pPr>
        <w:ind w:left="1200" w:right="7480" w:hanging="1200"/>
        <w:spacing w:after="0" w:line="523" w:lineRule="auto"/>
        <w:tabs>
          <w:tab w:leader="none" w:pos="12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2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As of December 31, 2018.</w:t>
      </w:r>
    </w:p>
    <w:p>
      <w:pPr>
        <w:spacing w:after="0" w:line="22" w:lineRule="exact"/>
        <w:rPr>
          <w:rFonts w:ascii="Arial" w:cs="Arial" w:eastAsia="Arial" w:hAnsi="Arial"/>
          <w:sz w:val="18"/>
          <w:szCs w:val="18"/>
          <w:color w:val="auto"/>
        </w:rPr>
      </w:pPr>
    </w:p>
    <w:p>
      <w:pPr>
        <w:ind w:right="760"/>
        <w:spacing w:after="0" w:line="257" w:lineRule="auto"/>
        <w:tabs>
          <w:tab w:leader="none" w:pos="223"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40,538,779 shares of Common Stock outstanding as of October 25, 2018, as reported in the Issuer’s Form 10-Q for the period ended September 30, 2018 filed with the Securities and Exchange Commission on October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-2138045</wp:posOffset>
            </wp:positionV>
            <wp:extent cx="708660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660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-1711960</wp:posOffset>
            </wp:positionV>
            <wp:extent cx="708660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-1149985</wp:posOffset>
            </wp:positionV>
            <wp:extent cx="708660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660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-588010</wp:posOffset>
            </wp:positionV>
            <wp:extent cx="708660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434" w:right="5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08660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434" w:right="560" w:bottom="1440" w:gutter="0" w:footer="0" w:header="0"/>
          <w:type w:val="continuous"/>
        </w:sectPr>
      </w:pPr>
    </w:p>
    <w:bookmarkStart w:id="3" w:name="page4"/>
    <w:bookmarkEnd w:id="3"/>
    <w:p>
      <w:pPr>
        <w:spacing w:after="0"/>
        <w:rPr>
          <w:sz w:val="20"/>
          <w:szCs w:val="20"/>
          <w:color w:val="auto"/>
        </w:rPr>
      </w:pPr>
      <w:r>
        <w:rPr>
          <w:rFonts w:ascii="Arial" w:cs="Arial" w:eastAsia="Arial" w:hAnsi="Arial"/>
          <w:sz w:val="21"/>
          <w:szCs w:val="21"/>
          <w:color w:val="auto"/>
        </w:rPr>
        <w:t xml:space="preserve">CUSIP No. </w:t>
      </w:r>
      <w:r>
        <w:rPr>
          <w:rFonts w:ascii="Arial" w:cs="Arial" w:eastAsia="Arial" w:hAnsi="Arial"/>
          <w:sz w:val="17"/>
          <w:szCs w:val="17"/>
          <w:color w:val="auto"/>
        </w:rPr>
        <w:t>92337F 10 7</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No. 2 to Schedule 13G</w:t>
      </w:r>
    </w:p>
    <w:p>
      <w:pPr>
        <w:spacing w:after="0" w:line="24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Reference is hereby made to the statement on Schedule 13G relating to the Common Stock of the Issuer filed with the Securities and Exchange Commission by the Reporting Persons on February 6, 2014, Amendment No. 1 thereto filed on February 5, 2015 and Amendment No. 2 thereto filed on January 8, 2018 (as so amended, the “Schedule 13G”). Terms defined in the Schedule 13G are used herein as so defined.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of the Schedule 13G are hereby amended and restated as follows: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 Address of Principal Business Office: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202 Carnegie Center, Suite 104, Princeton, NJ 08540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Ownership.</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through (c):</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the cover pages to this Amendment No. 2 to Schedule 13G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649" w:right="56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92337F 10 7</w:t>
      </w: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5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After reasonable inquiry and to the best of their knowledge and belief, the undersigned hereby certify that the information set forth in this statement is true, complete and correct.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11, 2019</w:t>
      </w:r>
    </w:p>
    <w:p>
      <w:pPr>
        <w:spacing w:after="0" w:line="200" w:lineRule="exact"/>
        <w:rPr>
          <w:sz w:val="20"/>
          <w:szCs w:val="20"/>
          <w:color w:val="auto"/>
        </w:rPr>
      </w:pPr>
    </w:p>
    <w:p>
      <w:pPr>
        <w:spacing w:after="0" w:line="29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DOMAIN PARTNERS VIII, L.P.</w:t>
      </w:r>
    </w:p>
    <w:p>
      <w:pPr>
        <w:spacing w:after="0" w:line="222" w:lineRule="exact"/>
        <w:rPr>
          <w:sz w:val="20"/>
          <w:szCs w:val="20"/>
          <w:color w:val="auto"/>
        </w:rPr>
      </w:pPr>
    </w:p>
    <w:p>
      <w:pPr>
        <w:ind w:left="5200"/>
        <w:spacing w:after="0"/>
        <w:tabs>
          <w:tab w:leader="none" w:pos="5620" w:val="left"/>
        </w:tabs>
        <w:rPr>
          <w:sz w:val="20"/>
          <w:szCs w:val="20"/>
          <w:color w:val="auto"/>
        </w:rPr>
      </w:pPr>
      <w:r>
        <w:rPr>
          <w:rFonts w:ascii="Arial" w:cs="Arial" w:eastAsia="Arial" w:hAnsi="Arial"/>
          <w:sz w:val="18"/>
          <w:szCs w:val="18"/>
          <w:color w:val="auto"/>
        </w:rPr>
        <w:t>By:</w:t>
        <w:tab/>
        <w:t>One Palmer Square Associates VIII, L.L.C.,</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General Partner</w:t>
      </w:r>
    </w:p>
    <w:p>
      <w:pPr>
        <w:spacing w:after="0" w:line="208" w:lineRule="exact"/>
        <w:rPr>
          <w:sz w:val="20"/>
          <w:szCs w:val="20"/>
          <w:color w:val="auto"/>
        </w:rPr>
      </w:pPr>
    </w:p>
    <w:p>
      <w:pPr>
        <w:ind w:left="5200"/>
        <w:spacing w:after="0"/>
        <w:tabs>
          <w:tab w:leader="none" w:pos="5620" w:val="left"/>
        </w:tabs>
        <w:rPr>
          <w:sz w:val="20"/>
          <w:szCs w:val="20"/>
          <w:color w:val="auto"/>
        </w:rPr>
      </w:pPr>
      <w:r>
        <w:rPr>
          <w:rFonts w:ascii="Arial" w:cs="Arial" w:eastAsia="Arial" w:hAnsi="Arial"/>
          <w:sz w:val="18"/>
          <w:szCs w:val="18"/>
          <w:color w:val="auto"/>
        </w:rPr>
        <w:t>By:</w:t>
        <w:tab/>
        <w:t>/s/ Lisa A. Kraeutler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13970</wp:posOffset>
            </wp:positionV>
            <wp:extent cx="219773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97735" cy="17145"/>
                    </a:xfrm>
                    <a:prstGeom prst="rect">
                      <a:avLst/>
                    </a:prstGeom>
                    <a:noFill/>
                  </pic:spPr>
                </pic:pic>
              </a:graphicData>
            </a:graphic>
          </wp:anchor>
        </w:drawing>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DP VIII ASSOCIATES, L.P.</w:t>
      </w:r>
    </w:p>
    <w:p>
      <w:pPr>
        <w:spacing w:after="0" w:line="222" w:lineRule="exact"/>
        <w:rPr>
          <w:sz w:val="20"/>
          <w:szCs w:val="20"/>
          <w:color w:val="auto"/>
        </w:rPr>
      </w:pPr>
    </w:p>
    <w:p>
      <w:pPr>
        <w:ind w:left="5200"/>
        <w:spacing w:after="0"/>
        <w:tabs>
          <w:tab w:leader="none" w:pos="5620" w:val="left"/>
        </w:tabs>
        <w:rPr>
          <w:sz w:val="20"/>
          <w:szCs w:val="20"/>
          <w:color w:val="auto"/>
        </w:rPr>
      </w:pPr>
      <w:r>
        <w:rPr>
          <w:rFonts w:ascii="Arial" w:cs="Arial" w:eastAsia="Arial" w:hAnsi="Arial"/>
          <w:sz w:val="18"/>
          <w:szCs w:val="18"/>
          <w:color w:val="auto"/>
        </w:rPr>
        <w:t>By:</w:t>
        <w:tab/>
        <w:t>One Palmer Square Associates VIII, L.L.C.,</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General Partner</w:t>
      </w:r>
    </w:p>
    <w:p>
      <w:pPr>
        <w:spacing w:after="0" w:line="208" w:lineRule="exact"/>
        <w:rPr>
          <w:sz w:val="20"/>
          <w:szCs w:val="20"/>
          <w:color w:val="auto"/>
        </w:rPr>
      </w:pPr>
    </w:p>
    <w:p>
      <w:pPr>
        <w:ind w:left="5200"/>
        <w:spacing w:after="0"/>
        <w:tabs>
          <w:tab w:leader="none" w:pos="5620" w:val="left"/>
        </w:tabs>
        <w:rPr>
          <w:sz w:val="20"/>
          <w:szCs w:val="20"/>
          <w:color w:val="auto"/>
        </w:rPr>
      </w:pPr>
      <w:r>
        <w:rPr>
          <w:rFonts w:ascii="Arial" w:cs="Arial" w:eastAsia="Arial" w:hAnsi="Arial"/>
          <w:sz w:val="18"/>
          <w:szCs w:val="18"/>
          <w:color w:val="auto"/>
        </w:rPr>
        <w:t>By:</w:t>
        <w:tab/>
        <w:t>/s/ Lisa A. Kraeutler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13970</wp:posOffset>
            </wp:positionV>
            <wp:extent cx="219773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97735" cy="17145"/>
                    </a:xfrm>
                    <a:prstGeom prst="rect">
                      <a:avLst/>
                    </a:prstGeom>
                    <a:noFill/>
                  </pic:spPr>
                </pic:pic>
              </a:graphicData>
            </a:graphic>
          </wp:anchor>
        </w:drawing>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08660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00"/>
          </w:cols>
          <w:pgMar w:left="520" w:top="414" w:right="620" w:bottom="1440" w:gutter="0" w:footer="0" w:header="0"/>
        </w:sectPr>
      </w:pPr>
    </w:p>
    <w:bookmarkStart w:id="5" w:name="page6"/>
    <w:bookmarkEnd w:id="5"/>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
      <w:numFmt w:val="bullet"/>
      <w:start w:val="1"/>
    </w:lvl>
    <w:lvl w:ilvl="1">
      <w:lvlJc w:val="left"/>
      <w:lvlText w:val="%2."/>
      <w:numFmt w:val="decimal"/>
      <w:start w:val="9"/>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1"/>
    </w:lvl>
    <w:lvl w:ilvl="1">
      <w:lvlJc w:val="left"/>
      <w:lvlText w:val="%2."/>
      <w:numFmt w:val="decimal"/>
      <w:start w:val="2"/>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
      <w:numFmt w:val="bullet"/>
      <w:start w:val="1"/>
    </w:lvl>
    <w:lvl w:ilvl="1">
      <w:lvlJc w:val="left"/>
      <w:lvlText w:val="%2."/>
      <w:numFmt w:val="decimal"/>
      <w:start w:val="9"/>
    </w:lvl>
  </w:abstractNum>
  <w:abstractNum w:abstractNumId="8">
    <w:nsid w:val="5BD062C2"/>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2019-12-15T13:00:07Z</dcterms:created>
  <dcterms:modified xsi:type="dcterms:W3CDTF">2019-12-15T13:00:07Z</dcterms:modified>
</cp:coreProperties>
</file>