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Cohen Fred 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0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10/29/2013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8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10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4"/>
              </w:rPr>
              <w:t>301 COMMERCE STREET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w w:val="99"/>
              </w:rPr>
              <w:t>SUITE 3300</w:t>
            </w:r>
          </w:p>
        </w:tc>
        <w:tc>
          <w:tcPr>
            <w:tcW w:w="10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FORT</w:t>
            </w:r>
          </w:p>
        </w:tc>
        <w:tc>
          <w:tcPr>
            <w:tcW w:w="1080" w:type="dxa"/>
            <w:vAlign w:val="bottom"/>
            <w:vMerge w:val="restart"/>
          </w:tcPr>
          <w:p>
            <w:pPr>
              <w:ind w:left="100"/>
              <w:spacing w:after="0"/>
              <w:rPr>
                <w:sz w:val="20"/>
                <w:szCs w:val="20"/>
                <w:color w:val="auto"/>
              </w:rPr>
            </w:pPr>
            <w:r>
              <w:rPr>
                <w:rFonts w:ascii="Arial" w:cs="Arial" w:eastAsia="Arial" w:hAnsi="Arial"/>
                <w:sz w:val="18"/>
                <w:szCs w:val="18"/>
                <w:color w:val="0000FF"/>
              </w:rPr>
              <w:t>TX</w:t>
            </w:r>
          </w:p>
        </w:tc>
        <w:tc>
          <w:tcPr>
            <w:tcW w:w="1140" w:type="dxa"/>
            <w:vAlign w:val="bottom"/>
            <w:vMerge w:val="restart"/>
          </w:tcPr>
          <w:p>
            <w:pPr>
              <w:ind w:left="100"/>
              <w:spacing w:after="0"/>
              <w:rPr>
                <w:sz w:val="20"/>
                <w:szCs w:val="20"/>
                <w:color w:val="auto"/>
              </w:rPr>
            </w:pPr>
            <w:r>
              <w:rPr>
                <w:rFonts w:ascii="Arial" w:cs="Arial" w:eastAsia="Arial" w:hAnsi="Arial"/>
                <w:sz w:val="18"/>
                <w:szCs w:val="18"/>
                <w:color w:val="0000FF"/>
              </w:rPr>
              <w:t>76102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20" w:type="dxa"/>
            <w:vAlign w:val="bottom"/>
            <w:vMerge w:val="restart"/>
          </w:tcPr>
          <w:p>
            <w:pPr>
              <w:ind w:left="20"/>
              <w:spacing w:after="0"/>
              <w:rPr>
                <w:sz w:val="20"/>
                <w:szCs w:val="20"/>
                <w:color w:val="auto"/>
              </w:rPr>
            </w:pPr>
            <w:r>
              <w:rPr>
                <w:rFonts w:ascii="Arial" w:cs="Arial" w:eastAsia="Arial" w:hAnsi="Arial"/>
                <w:sz w:val="18"/>
                <w:szCs w:val="18"/>
                <w:color w:val="0000FF"/>
              </w:rPr>
              <w:t>WORTH</w:t>
            </w:r>
          </w:p>
        </w:tc>
        <w:tc>
          <w:tcPr>
            <w:tcW w:w="108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10/29/2013</w:t>
      </w:r>
    </w:p>
    <w:p>
      <w:pPr>
        <w:spacing w:after="0" w:line="367" w:lineRule="exact"/>
        <w:rPr>
          <w:sz w:val="24"/>
          <w:szCs w:val="2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3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4"/>
              </w:rPr>
              <w:t>No securities beneficially owned</w:t>
            </w:r>
            <w:r>
              <w:rPr>
                <w:rFonts w:ascii="Arial" w:cs="Arial" w:eastAsia="Arial" w:hAnsi="Arial"/>
                <w:sz w:val="22"/>
                <w:szCs w:val="22"/>
                <w:color w:val="008000"/>
                <w:w w:val="94"/>
                <w:vertAlign w:val="superscript"/>
              </w:rPr>
              <w:t>(1)(2)(3)</w:t>
            </w:r>
          </w:p>
        </w:tc>
        <w:tc>
          <w:tcPr>
            <w:tcW w:w="5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Borders>
              <w:bottom w:val="single" w:sz="8" w:color="2C2C2C"/>
            </w:tcBorders>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840" w:type="dxa"/>
            <w:vAlign w:val="bottom"/>
            <w:gridSpan w:val="6"/>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3"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Dr. Fred E. Cohen is a TPG Partner. TPG is affiliated with TPG Biotechnology Partners II, L.P. ("TPG Biotech II"), which holds shares of Series A Convertible Preferred Stock, Series B Convertible Preferred Stock and Series C Convertible Preferred Stock of Veracyte, Inc. (the "Issuer"). The shares of preferred stock of each series are convertible into shares of Common Stock, par value $0.001 per share, of the Issuer.</w:t>
      </w:r>
    </w:p>
    <w:p>
      <w:pPr>
        <w:spacing w:after="0" w:line="30" w:lineRule="exact"/>
        <w:rPr>
          <w:rFonts w:ascii="Arial" w:cs="Arial" w:eastAsia="Arial" w:hAnsi="Arial"/>
          <w:sz w:val="14"/>
          <w:szCs w:val="14"/>
          <w:color w:val="008000"/>
        </w:rPr>
      </w:pPr>
    </w:p>
    <w:p>
      <w:pPr>
        <w:jc w:val="both"/>
        <w:ind w:left="40" w:right="180" w:firstLine="9"/>
        <w:spacing w:after="0" w:line="233"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Dr. Cohen disclaims beneficial ownership of all of the securities that are or may be beneficially owned by TPG Biotech II or any of its affiliates. Pursuant to Rule 16a-1(a)(4) under the Securities Exchange Act of 1934, as amended (the "Exchange Act"), this filing shall not be deemed an admission that Dr. Cohen is, for purposes of Section 16 of the Exchange Act or otherwise, the beneficial owner of any equity securities of the Issuer for purposes of Section 16 of the Exchange Act or otherwise.</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Ronald Cami is signing on behalf of Dr. Cohen pursuant to the authorization and designation letter dated July 1, 2013 (the "Authorization and Designation Letter"). This Form 3 is being amended to attach as an exhibit the Authorization and Designation Letter, which was omitted from Dr. Cohen's original Form 3.</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4"/>
              </w:rPr>
              <w:t>/s/ Ronald Cami on behalf of</w:t>
            </w: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4"/>
              </w:rPr>
              <w:t>11/06/2013</w:t>
            </w:r>
          </w:p>
        </w:tc>
        <w:tc>
          <w:tcPr>
            <w:tcW w:w="0" w:type="dxa"/>
            <w:vAlign w:val="bottom"/>
          </w:tcPr>
          <w:p>
            <w:pPr>
              <w:spacing w:after="0"/>
              <w:rPr>
                <w:sz w:val="1"/>
                <w:szCs w:val="1"/>
                <w:color w:val="auto"/>
              </w:rPr>
            </w:pPr>
          </w:p>
        </w:tc>
      </w:tr>
      <w:tr>
        <w:trPr>
          <w:trHeight w:val="88"/>
        </w:trPr>
        <w:tc>
          <w:tcPr>
            <w:tcW w:w="15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7"/>
              </w:rPr>
              <w:t>Dr. Fred E. Cohen (3)</w:t>
            </w:r>
          </w:p>
        </w:tc>
        <w:tc>
          <w:tcPr>
            <w:tcW w:w="5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4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[TPG Letterhead]</w:t>
      </w: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July 1, 2013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0"/>
          <w:szCs w:val="20"/>
          <w:color w:val="auto"/>
        </w:rPr>
      </w:pPr>
    </w:p>
    <w:p>
      <w:pPr>
        <w:jc w:val="both"/>
        <w:ind w:firstLine="810"/>
        <w:spacing w:after="0" w:line="264" w:lineRule="auto"/>
        <w:rPr>
          <w:sz w:val="20"/>
          <w:szCs w:val="20"/>
          <w:color w:val="auto"/>
        </w:rPr>
      </w:pPr>
      <w:r>
        <w:rPr>
          <w:rFonts w:ascii="Arial" w:cs="Arial" w:eastAsia="Arial" w:hAnsi="Arial"/>
          <w:sz w:val="18"/>
          <w:szCs w:val="18"/>
          <w:color w:val="auto"/>
        </w:rPr>
        <w:t>This letter confirms that Ronald Cami, John E. Viola and David Reintjes are authorized and designated to sign all securities related filing with the Securities and Exchange Commission, including Form ID Acknowledgments, on my behalf. This authorization and designation shall be valid for three years from the date of this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Fred Cohen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Fred Cohen</w:t>
      </w:r>
    </w:p>
    <w:sectPr>
      <w:pgSz w:w="11900" w:h="16838" w:orient="portrait"/>
      <w:cols w:equalWidth="0" w:num="1">
        <w:col w:w="11360"/>
      </w:cols>
      <w:pgMar w:left="240" w:top="11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39358"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2019-12-16T08:31:05Z</dcterms:created>
  <dcterms:modified xsi:type="dcterms:W3CDTF">2019-12-16T08:31:05Z</dcterms:modified>
</cp:coreProperties>
</file>