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06/02/2024</w:t>
            </w:r>
          </w:p>
        </w:tc>
        <w:tc>
          <w:tcPr>
            <w:tcW w:w="208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40" w:type="dxa"/>
            <w:vAlign w:val="bottom"/>
            <w:gridSpan w:val="3"/>
            <w:vMerge w:val="continue"/>
          </w:tcPr>
          <w:p>
            <w:pPr>
              <w:spacing w:after="0"/>
              <w:rPr>
                <w:sz w:val="11"/>
                <w:szCs w:val="11"/>
                <w:color w:val="auto"/>
              </w:rPr>
            </w:pPr>
          </w:p>
        </w:tc>
        <w:tc>
          <w:tcPr>
            <w:tcW w:w="208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5,746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323,994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1,483, 1,791 and 2,472 shares of common stock to satisfy the reporting person's tax withholding obligations in connection with the vesting of 2,926, 3,533 and 4,877 Restricted Stock Units granted on June 1, 2021, March 3,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979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2024-06-04T15:55:41Z</dcterms:created>
  <dcterms:modified xsi:type="dcterms:W3CDTF">2024-06-04T15:55:41Z</dcterms:modified>
</cp:coreProperties>
</file>