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19,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3860" w:type="dxa"/>
            <w:vAlign w:val="bottom"/>
          </w:tcPr>
          <w:p>
            <w:pPr>
              <w:jc w:val="center"/>
              <w:ind w:left="175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3860" w:type="dxa"/>
            <w:vAlign w:val="bottom"/>
          </w:tcPr>
          <w:p>
            <w:pPr>
              <w:jc w:val="center"/>
              <w:ind w:left="175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738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r>
      <w:tr>
        <w:trPr>
          <w:trHeight w:val="230"/>
        </w:trPr>
        <w:tc>
          <w:tcPr>
            <w:tcW w:w="1980" w:type="dxa"/>
            <w:vAlign w:val="bottom"/>
          </w:tcPr>
          <w:p>
            <w:pPr>
              <w:spacing w:after="0"/>
              <w:rPr>
                <w:sz w:val="20"/>
                <w:szCs w:val="20"/>
                <w:color w:val="auto"/>
              </w:rPr>
            </w:pPr>
          </w:p>
        </w:tc>
        <w:tc>
          <w:tcPr>
            <w:tcW w:w="3860" w:type="dxa"/>
            <w:vAlign w:val="bottom"/>
          </w:tcPr>
          <w:p>
            <w:pPr>
              <w:ind w:left="96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On March 19, 2015, Veracyte, Inc. issued a press release announcing its financial results for the quarter and the year ended December 31, 2014.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00" w:type="dxa"/>
            <w:vAlign w:val="bottom"/>
            <w:gridSpan w:val="3"/>
          </w:tcPr>
          <w:p>
            <w:pPr>
              <w:jc w:val="right"/>
              <w:ind w:right="7368"/>
              <w:spacing w:after="0"/>
              <w:rPr>
                <w:sz w:val="20"/>
                <w:szCs w:val="20"/>
                <w:color w:val="auto"/>
              </w:rPr>
            </w:pPr>
            <w:r>
              <w:rPr>
                <w:rFonts w:ascii="Arial" w:cs="Arial" w:eastAsia="Arial" w:hAnsi="Arial"/>
                <w:sz w:val="18"/>
                <w:szCs w:val="18"/>
                <w:b w:val="1"/>
                <w:bCs w:val="1"/>
                <w:color w:val="auto"/>
                <w:w w:val="95"/>
              </w:rPr>
              <w:t>Financial Statements and Exhibits.</w:t>
            </w:r>
          </w:p>
        </w:tc>
        <w:tc>
          <w:tcPr>
            <w:tcW w:w="40" w:type="dxa"/>
            <w:vAlign w:val="bottom"/>
          </w:tcPr>
          <w:p>
            <w:pPr>
              <w:spacing w:after="0"/>
              <w:rPr>
                <w:sz w:val="20"/>
                <w:szCs w:val="20"/>
                <w:color w:val="auto"/>
              </w:rPr>
            </w:pPr>
          </w:p>
        </w:tc>
      </w:tr>
      <w:tr>
        <w:trPr>
          <w:trHeight w:val="432"/>
        </w:trPr>
        <w:tc>
          <w:tcPr>
            <w:tcW w:w="1120" w:type="dxa"/>
            <w:vAlign w:val="bottom"/>
          </w:tcPr>
          <w:p>
            <w:pPr>
              <w:ind w:left="60"/>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tcBorders>
              <w:bottom w:val="single" w:sz="8" w:color="auto"/>
            </w:tcBorders>
          </w:tcPr>
          <w:p>
            <w:pPr>
              <w:jc w:val="right"/>
              <w:ind w:right="44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100" w:type="dxa"/>
            <w:vAlign w:val="bottom"/>
            <w:gridSpan w:val="2"/>
          </w:tcPr>
          <w:p>
            <w:pPr>
              <w:jc w:val="right"/>
              <w:ind w:right="5268"/>
              <w:spacing w:after="0"/>
              <w:rPr>
                <w:sz w:val="20"/>
                <w:szCs w:val="20"/>
                <w:color w:val="auto"/>
              </w:rPr>
            </w:pPr>
            <w:r>
              <w:rPr>
                <w:rFonts w:ascii="Arial" w:cs="Arial" w:eastAsia="Arial" w:hAnsi="Arial"/>
                <w:sz w:val="18"/>
                <w:szCs w:val="18"/>
                <w:color w:val="auto"/>
                <w:w w:val="96"/>
              </w:rPr>
              <w:t>Press release issued by Veracyte, Inc. dated March 19, 2015.</w:t>
            </w:r>
          </w:p>
        </w:tc>
        <w:tc>
          <w:tcPr>
            <w:tcW w:w="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030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March 19, 2015</w:t>
      </w:r>
    </w:p>
    <w:p>
      <w:pPr>
        <w:sectPr>
          <w:pgSz w:w="11900" w:h="16838" w:orient="portrait"/>
          <w:cols w:equalWidth="0" w:num="1">
            <w:col w:w="11460"/>
          </w:cols>
          <w:pgMar w:left="240" w:top="544" w:right="199" w:bottom="0" w:gutter="0" w:footer="0" w:header="0"/>
        </w:sectPr>
      </w:pPr>
    </w:p>
    <w:bookmarkStart w:id="1" w:name="page2"/>
    <w:bookmarkEnd w:id="1"/>
    <w:p>
      <w:pPr>
        <w:ind w:left="57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tcPr>
          <w:p>
            <w:pPr>
              <w:jc w:val="center"/>
              <w:ind w:right="1619"/>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r>
      <w:tr>
        <w:trPr>
          <w:trHeight w:val="365"/>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970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400"/>
              <w:spacing w:after="0"/>
              <w:rPr>
                <w:sz w:val="20"/>
                <w:szCs w:val="20"/>
                <w:color w:val="auto"/>
              </w:rPr>
            </w:pPr>
            <w:r>
              <w:rPr>
                <w:rFonts w:ascii="Arial" w:cs="Arial" w:eastAsia="Arial" w:hAnsi="Arial"/>
                <w:sz w:val="18"/>
                <w:szCs w:val="18"/>
                <w:color w:val="auto"/>
              </w:rPr>
              <w:t>Press Release issued by Veracyte, Inc. dated March 19, 2015.</w:t>
            </w:r>
          </w:p>
        </w:tc>
        <w:tc>
          <w:tcPr>
            <w:tcW w:w="4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1010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Fourth Quarter and Full-Year 2014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2015 Financial Outlook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75% Growth in Full-Year 2014 Revenue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45% Increase in Volume for Afirma® Gene Expression Classifier (GEC) for Full-Year 2014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Increased Covered Lives for Afirma to 145 Million, In-Network Contracted Lives to 100 Million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Percepta™ Lung Cancer Test to Launch by Mid-2015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Conference Call Today at 5:00 p.m. ET —</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South San Francisco, Calif. — March 19, 2015 — Veracyte, Inc. (Nasdaq: VCYT) today reported financial results and business progress for the quarter and full year ended December 31, 2014, and provided financial guidance for 2015.</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executed on our strategy to drive robust growth of our Afirma business in 2014 and witnessed a 75% year-over-year increase in revenue. Our success was driven in part by continued penetration into the endocrinology physician office market, as well as our early success with institutional accounts,” said Bonnie H. Anderson, Veracyte’s president and chief executive officer. “With our expanded sales force and growing payer coverage policies and contracts in place, we look forward to further capturing the market for Afirma in 2015. We are also excited to accelerate our entry into pulmonology with the launch by mid-2015 of our Percepta Bronchial Genomic Classifier to improve lung cancer diagnosis.”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2014 Financial Results</w:t>
      </w:r>
    </w:p>
    <w:p>
      <w:pPr>
        <w:spacing w:after="0" w:line="229" w:lineRule="exact"/>
        <w:rPr>
          <w:sz w:val="20"/>
          <w:szCs w:val="20"/>
          <w:color w:val="auto"/>
        </w:rPr>
      </w:pPr>
    </w:p>
    <w:p>
      <w:pPr>
        <w:ind w:left="980" w:right="180" w:hanging="648"/>
        <w:spacing w:after="0" w:line="258"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$12.2 million for the fourth quarter of 2014, an increase of 78% compared to $6.8 million in the fourth quarter of 2013. Full-year 2014 revenue was $38.2 million, an increase of 75% compared to full-year 2013 revenue of $21.9 million.</w:t>
      </w:r>
    </w:p>
    <w:p>
      <w:pPr>
        <w:spacing w:after="0" w:line="1" w:lineRule="exact"/>
        <w:rPr>
          <w:rFonts w:ascii="Arial" w:cs="Arial" w:eastAsia="Arial" w:hAnsi="Arial"/>
          <w:sz w:val="18"/>
          <w:szCs w:val="18"/>
          <w:color w:val="auto"/>
        </w:rPr>
      </w:pPr>
    </w:p>
    <w:p>
      <w:pPr>
        <w:ind w:left="980" w:right="28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18,236 thyroid nodule FNA samples during the fourth quarter of 2014, compared to 14,059 FNA samples during the same period in 2013, an increase of 30%. Total FNAs for 2014 were 65,848, compared to 49,670 total FNAs received in 2013, an increase of 33%.</w:t>
      </w:r>
    </w:p>
    <w:p>
      <w:pPr>
        <w:spacing w:after="0" w:line="1" w:lineRule="exact"/>
        <w:rPr>
          <w:rFonts w:ascii="Arial" w:cs="Arial" w:eastAsia="Arial" w:hAnsi="Arial"/>
          <w:sz w:val="18"/>
          <w:szCs w:val="18"/>
          <w:color w:val="auto"/>
        </w:rPr>
      </w:pPr>
    </w:p>
    <w:p>
      <w:pPr>
        <w:ind w:left="980" w:right="80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performed 4,071 Afirma GEC tests during the fourth quarter of 2014, a year-over-year increase of 42%. Total GEC tests performed during 2014 were 14,061, a year-over-year increase of 45%.</w:t>
      </w:r>
    </w:p>
    <w:p>
      <w:pPr>
        <w:ind w:left="980" w:right="4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for the fourth quarter of 2014 was $20.3 million, compared to $12.6 million for the same period in 2013. Cost of revenue was $4.9 million for the fourth quarter of 2014, compared to $3.5 million for the same period in 2013. Operating expense for the full year of 2014 was $67.2 million, compared to operating expense of $45.1 million for the full year of 2013. Cost of revenue was $16.6 million for the full year of 2014, compared to $12.6 million for the full year of 2013.</w:t>
      </w:r>
    </w:p>
    <w:p>
      <w:pPr>
        <w:spacing w:after="0" w:line="1" w:lineRule="exact"/>
        <w:rPr>
          <w:rFonts w:ascii="Arial" w:cs="Arial" w:eastAsia="Arial" w:hAnsi="Arial"/>
          <w:sz w:val="18"/>
          <w:szCs w:val="18"/>
          <w:color w:val="auto"/>
        </w:rPr>
      </w:pPr>
    </w:p>
    <w:p>
      <w:pPr>
        <w:ind w:left="980" w:right="64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fourth quarter of 2014 was $8.1 million, or $0.36 per common share, compared to a net loss of $5.9 million, or $0.42 per common share, for the same period in 2013.</w:t>
      </w:r>
    </w:p>
    <w:p>
      <w:pPr>
        <w:ind w:left="980" w:right="14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full-year 2014 was $29.4 million, or $1.36 per common share, compared to a net loss of $25.6 million, or $6.15 per common share, for 2013.</w:t>
      </w: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December 31, 2014, totaled $35.0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and Recent Business Highlights</w:t>
      </w:r>
    </w:p>
    <w:p>
      <w:pPr>
        <w:spacing w:after="0" w:line="229" w:lineRule="exact"/>
        <w:rPr>
          <w:sz w:val="20"/>
          <w:szCs w:val="20"/>
          <w:color w:val="auto"/>
        </w:rPr>
      </w:pPr>
    </w:p>
    <w:p>
      <w:pPr>
        <w:ind w:left="980" w:right="240" w:hanging="648"/>
        <w:spacing w:after="0" w:line="274"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by 30 million the number of covered lives for Afirma — expanding to 145 million today from 115 million at the beginning of 2014, with additional coverage decisions from more than a dozen new payers, including eight Blue Cross and Blue Shield plans.</w:t>
      </w:r>
    </w:p>
    <w:p>
      <w:pPr>
        <w:ind w:left="980" w:right="26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in-network contracts with UnitedHealthcare, Cigna and other payers, bringing the total number of lives under contract to nearly 100 million.</w:t>
      </w:r>
    </w:p>
    <w:p>
      <w:pPr>
        <w:ind w:left="980" w:right="2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our co-promotion agreement with Genzyme, enabling us to triple the size of our Afirma sales team from eight to 26, while maintaining full engagement of the Genzyme sales team.</w:t>
      </w:r>
    </w:p>
    <w:p>
      <w:pPr>
        <w:ind w:left="980" w:right="4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strengthened the clinical evidence supporting Afirma with the publication of data demonstrating the analytical and clinical validity of the Afirma BRAF Malignancy Classifier.</w:t>
      </w: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Allegro Diagnostics Corp. and accelerated the introduction of Percepta, our lung cancer test to launch by mid-2015.</w:t>
      </w:r>
    </w:p>
    <w:p>
      <w:pPr>
        <w:spacing w:after="0" w:line="9" w:lineRule="exact"/>
        <w:rPr>
          <w:rFonts w:ascii="Arial" w:cs="Arial" w:eastAsia="Arial" w:hAnsi="Arial"/>
          <w:sz w:val="18"/>
          <w:szCs w:val="18"/>
          <w:color w:val="auto"/>
        </w:rPr>
      </w:pPr>
    </w:p>
    <w:p>
      <w:pPr>
        <w:ind w:left="980" w:right="20" w:hanging="648"/>
        <w:spacing w:after="0" w:line="290"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Appointed two new Board members, John L. Bishop and Robert S. Epstein, M.D., M.S., who bring significant experience in growing life science companies and in navigating the complex reimbursement landscape and evidence development for molecular diagnostics.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Financial Outlook</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Veracyte’s guidance for 2015 is to achieve Afirma GEC test volume in the range of 19,000 to 21,000, and annual 2015 revenue of $48 million to $53 million. Veracyte is modifying the metrics used to evaluate annual business performance to focus on the company’s primary growth driver, which is the number of Afirma GEC tests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Veracyte will host a conference call and webcast today at 5:00 p.m. Eastern Time to discuss the company’s financial results and provide a general business update. The webcast and subsequent replay may be accessed by visiting Veracyte’s website at http://investor.veracyte.com. Please connect to the company’s website at least 15 minutes prior to the webcast to ensure adequate time for any necessary software download. Alternatively, please call (855) 541-0980 (U.S.) or (970) 315-0440 (international) to listen to the conference call. The conference ID number for the call is 3080146. Please dial in approximately 10 minutes prior to the call. The webcast will be available on the company’s website approximately two hours following completion of the call for 14 days.</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 Thyroid FNA Analysis, centers on the proprietary Afirma Gene Expression Classifier (GEC) to resolve ambiguity in diagnosis and is becoming a new standard of care in thyroid nodule assessment. Since launching its Afirma solution in 2011, Veracyte estimates it has helped approximately 15,000 patients with thyroid nodules avoid unnecessary surgery, reducing healthcare costs by millions of dollars. Afirma is recommended in leading practice guidelines and is covered for 145 million lives in the United States, including through Medicare and many commercial insurance plans. Veracyte intends to expand its molecular cytology franchise to other clinical areas, beginning with difficult-to-diagnose lung diseases. The company expects to launch the Percepta™ Bronchial Genomic Classifier, a test to resolve preoperative ambiguity in lung nodules that are suspicious for cancer, by mid-2015. Veracyte is also developing a second product in pulmonology, targeting interstitial lung diseases, including idiopathic pulmonary fibrosis. For more information, please visit www.veracyte.com.</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our planned entry into the pulmonology market, our expectations regarding full-year 2015 guidance,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introduce and achieve adoption of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September 30, 2014. These forward-looking statements speak only as of the date hereof and Veracyte specifically disclaims any obligation to update these forward-looking statements</w:t>
      </w:r>
      <w:r>
        <w:rPr>
          <w:rFonts w:ascii="Arial" w:cs="Arial" w:eastAsia="Arial" w:hAnsi="Arial"/>
          <w:sz w:val="17"/>
          <w:szCs w:val="17"/>
          <w:i w:val="1"/>
          <w:iCs w:val="1"/>
          <w:color w:val="auto"/>
        </w:rPr>
        <w:t>.</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center"/>
              <w:ind w:left="434"/>
              <w:spacing w:after="0" w:line="142" w:lineRule="exact"/>
              <w:rPr>
                <w:sz w:val="20"/>
                <w:szCs w:val="20"/>
                <w:color w:val="auto"/>
              </w:rPr>
            </w:pPr>
            <w:r>
              <w:rPr>
                <w:rFonts w:ascii="Arial" w:cs="Arial" w:eastAsia="Arial" w:hAnsi="Arial"/>
                <w:sz w:val="14"/>
                <w:szCs w:val="14"/>
                <w:b w:val="1"/>
                <w:bCs w:val="1"/>
                <w:color w:val="auto"/>
                <w:w w:val="95"/>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12,199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38,190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9,804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21,932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18,854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(8,059)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(29,006)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30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22,508,250</w:t>
            </w:r>
          </w:p>
        </w:tc>
        <w:tc>
          <w:tcPr>
            <w:tcW w:w="5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0"/>
              </w:rPr>
              <w:t>13,944,239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21,639,374</w:t>
            </w:r>
          </w:p>
        </w:tc>
        <w:tc>
          <w:tcPr>
            <w:tcW w:w="4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4,158,664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4"/>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94"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3,050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1,218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4,161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1,057</w:t>
            </w: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7,397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Long-term debt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4,923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20" w:firstLine="8"/>
        <w:spacing w:after="0" w:line="2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consolidated balance sheet at December 31, 2013 has been derived from the audited financial statements at that date included in the Company’s Form 10-K filed with the Securities and Exchange Commission dated March 20,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2019-12-08T19:02:09Z</dcterms:created>
  <dcterms:modified xsi:type="dcterms:W3CDTF">2019-12-08T19:02:09Z</dcterms:modified>
</cp:coreProperties>
</file>