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(Rule 13d-102)</w:t>
      </w:r>
    </w:p>
    <w:p>
      <w:pPr>
        <w:spacing w:after="0" w:line="238" w:lineRule="exact"/>
        <w:rPr>
          <w:sz w:val="24"/>
          <w:szCs w:val="24"/>
          <w:color w:val="auto"/>
        </w:rPr>
      </w:pPr>
    </w:p>
    <w:p>
      <w:pPr>
        <w:jc w:val="center"/>
        <w:ind w:left="440" w:right="2660"/>
        <w:spacing w:after="0" w:line="251"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(Amendment No. 2)</w:t>
      </w:r>
      <w:r>
        <w:rPr>
          <w:rFonts w:ascii="Arial" w:cs="Arial" w:eastAsia="Arial" w:hAnsi="Arial"/>
          <w:sz w:val="30"/>
          <w:szCs w:val="30"/>
          <w:color w:val="auto"/>
          <w:vertAlign w:val="superscript"/>
        </w:rPr>
        <w:t>1</w:t>
      </w:r>
    </w:p>
    <w:p>
      <w:pPr>
        <w:spacing w:after="0" w:line="32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92337F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760" w:hanging="10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3" w:lineRule="exact"/>
        <w:rPr>
          <w:rFonts w:ascii="Arial" w:cs="Arial" w:eastAsia="Arial" w:hAnsi="Arial"/>
          <w:sz w:val="18"/>
          <w:szCs w:val="18"/>
          <w:color w:val="auto"/>
        </w:rPr>
      </w:pPr>
    </w:p>
    <w:p>
      <w:pPr>
        <w:jc w:val="center"/>
        <w:ind w:left="660" w:right="9280" w:hanging="4"/>
        <w:spacing w:after="0" w:line="290" w:lineRule="auto"/>
        <w:tabs>
          <w:tab w:leader="none" w:pos="765"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13d-1(c) [X] Rule 13d-1(d)</w:t>
      </w:r>
    </w:p>
    <w:p>
      <w:pPr>
        <w:spacing w:after="0" w:line="181"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31" w:lineRule="exact"/>
        <w:rPr>
          <w:sz w:val="24"/>
          <w:szCs w:val="24"/>
          <w:color w:val="auto"/>
        </w:rPr>
      </w:pPr>
    </w:p>
    <w:p>
      <w:pPr>
        <w:ind w:firstLine="648"/>
        <w:spacing w:after="0" w:line="22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1039495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47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92337F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Domain Partners VIII, L.P.</w:t>
      </w:r>
    </w:p>
    <w:p>
      <w:pPr>
        <w:spacing w:after="0" w:line="22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 (Voluntary)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87"/>
              </w:rPr>
              <w:t>2)</w:t>
            </w:r>
          </w:p>
        </w:tc>
        <w:tc>
          <w:tcPr>
            <w:tcW w:w="72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Check the Appropriate Box if a Member of a Group</w:t>
            </w:r>
          </w:p>
        </w:tc>
        <w:tc>
          <w:tcPr>
            <w:tcW w:w="3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[X]</w:t>
            </w:r>
          </w:p>
        </w:tc>
      </w:tr>
      <w:tr>
        <w:trPr>
          <w:trHeight w:val="230"/>
        </w:trPr>
        <w:tc>
          <w:tcPr>
            <w:tcW w:w="6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(b)</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140" w:hanging="1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40" w:right="7660" w:hanging="1132"/>
        <w:spacing w:after="0" w:line="509"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7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74"/>
              </w:rPr>
              <w:t>5)</w:t>
            </w:r>
          </w:p>
        </w:tc>
        <w:tc>
          <w:tcPr>
            <w:tcW w:w="398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Sole Voting Power</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2,763,294 shares of</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Common Stock *</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380" w:type="dxa"/>
            <w:vAlign w:val="bottom"/>
          </w:tcPr>
          <w:p>
            <w:pPr>
              <w:jc w:val="right"/>
              <w:ind w:right="1150"/>
              <w:spacing w:after="0"/>
              <w:rPr>
                <w:sz w:val="20"/>
                <w:szCs w:val="20"/>
                <w:color w:val="auto"/>
              </w:rPr>
            </w:pPr>
            <w:r>
              <w:rPr>
                <w:rFonts w:ascii="Arial" w:cs="Arial" w:eastAsia="Arial" w:hAnsi="Arial"/>
                <w:sz w:val="18"/>
                <w:szCs w:val="18"/>
                <w:color w:val="auto"/>
                <w:w w:val="74"/>
              </w:rPr>
              <w:t>6)</w:t>
            </w:r>
          </w:p>
        </w:tc>
        <w:tc>
          <w:tcPr>
            <w:tcW w:w="3980" w:type="dxa"/>
            <w:vAlign w:val="bottom"/>
          </w:tcPr>
          <w:p>
            <w:pPr>
              <w:ind w:left="1240"/>
              <w:spacing w:after="0"/>
              <w:rPr>
                <w:sz w:val="20"/>
                <w:szCs w:val="20"/>
                <w:color w:val="auto"/>
              </w:rPr>
            </w:pPr>
            <w:r>
              <w:rPr>
                <w:rFonts w:ascii="Arial" w:cs="Arial" w:eastAsia="Arial" w:hAnsi="Arial"/>
                <w:sz w:val="18"/>
                <w:szCs w:val="18"/>
                <w:color w:val="auto"/>
              </w:rPr>
              <w:t>Shared Voting Power</w:t>
            </w:r>
          </w:p>
        </w:tc>
        <w:tc>
          <w:tcPr>
            <w:tcW w:w="22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Number of Shares</w:t>
            </w:r>
          </w:p>
        </w:tc>
        <w:tc>
          <w:tcPr>
            <w:tcW w:w="1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1"/>
              </w:rPr>
              <w:t>Beneficially Owned by Each Reporting Person</w:t>
            </w:r>
          </w:p>
        </w:tc>
        <w:tc>
          <w:tcPr>
            <w:tcW w:w="138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780" w:type="dxa"/>
            <w:vAlign w:val="bottom"/>
            <w:vMerge w:val="continue"/>
          </w:tcPr>
          <w:p>
            <w:pPr>
              <w:spacing w:after="0"/>
              <w:rPr>
                <w:sz w:val="6"/>
                <w:szCs w:val="6"/>
                <w:color w:val="auto"/>
              </w:rPr>
            </w:pPr>
          </w:p>
        </w:tc>
        <w:tc>
          <w:tcPr>
            <w:tcW w:w="1380" w:type="dxa"/>
            <w:vAlign w:val="bottom"/>
            <w:vMerge w:val="restart"/>
          </w:tcPr>
          <w:p>
            <w:pPr>
              <w:jc w:val="right"/>
              <w:ind w:right="1150"/>
              <w:spacing w:after="0" w:line="201" w:lineRule="exact"/>
              <w:rPr>
                <w:sz w:val="20"/>
                <w:szCs w:val="20"/>
                <w:color w:val="auto"/>
              </w:rPr>
            </w:pPr>
            <w:r>
              <w:rPr>
                <w:rFonts w:ascii="Arial" w:cs="Arial" w:eastAsia="Arial" w:hAnsi="Arial"/>
                <w:sz w:val="18"/>
                <w:szCs w:val="18"/>
                <w:color w:val="auto"/>
                <w:w w:val="74"/>
              </w:rPr>
              <w:t>7)</w:t>
            </w:r>
          </w:p>
        </w:tc>
        <w:tc>
          <w:tcPr>
            <w:tcW w:w="3980" w:type="dxa"/>
            <w:vAlign w:val="bottom"/>
            <w:vMerge w:val="restart"/>
          </w:tcPr>
          <w:p>
            <w:pPr>
              <w:ind w:left="1240"/>
              <w:spacing w:after="0" w:line="201" w:lineRule="exact"/>
              <w:rPr>
                <w:sz w:val="20"/>
                <w:szCs w:val="20"/>
                <w:color w:val="auto"/>
              </w:rPr>
            </w:pPr>
            <w:r>
              <w:rPr>
                <w:rFonts w:ascii="Arial" w:cs="Arial" w:eastAsia="Arial" w:hAnsi="Arial"/>
                <w:sz w:val="18"/>
                <w:szCs w:val="18"/>
                <w:color w:val="auto"/>
              </w:rPr>
              <w:t>Sole Dispositive Power</w:t>
            </w:r>
          </w:p>
        </w:tc>
        <w:tc>
          <w:tcPr>
            <w:tcW w:w="228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2,763,294 shares of</w:t>
            </w:r>
          </w:p>
        </w:tc>
        <w:tc>
          <w:tcPr>
            <w:tcW w:w="0" w:type="dxa"/>
            <w:vAlign w:val="bottom"/>
          </w:tcPr>
          <w:p>
            <w:pPr>
              <w:spacing w:after="0"/>
              <w:rPr>
                <w:sz w:val="1"/>
                <w:szCs w:val="1"/>
                <w:color w:val="auto"/>
              </w:rPr>
            </w:pPr>
          </w:p>
        </w:tc>
      </w:tr>
      <w:tr>
        <w:trPr>
          <w:trHeight w:val="122"/>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1380" w:type="dxa"/>
            <w:vAlign w:val="bottom"/>
            <w:vMerge w:val="continue"/>
          </w:tcPr>
          <w:p>
            <w:pPr>
              <w:spacing w:after="0"/>
              <w:rPr>
                <w:sz w:val="10"/>
                <w:szCs w:val="10"/>
                <w:color w:val="auto"/>
              </w:rPr>
            </w:pPr>
          </w:p>
        </w:tc>
        <w:tc>
          <w:tcPr>
            <w:tcW w:w="398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Common Stock *</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380" w:type="dxa"/>
            <w:vAlign w:val="bottom"/>
          </w:tcPr>
          <w:p>
            <w:pPr>
              <w:jc w:val="right"/>
              <w:ind w:right="1150"/>
              <w:spacing w:after="0"/>
              <w:rPr>
                <w:sz w:val="20"/>
                <w:szCs w:val="20"/>
                <w:color w:val="auto"/>
              </w:rPr>
            </w:pPr>
            <w:r>
              <w:rPr>
                <w:rFonts w:ascii="Arial" w:cs="Arial" w:eastAsia="Arial" w:hAnsi="Arial"/>
                <w:sz w:val="18"/>
                <w:szCs w:val="18"/>
                <w:color w:val="auto"/>
                <w:w w:val="74"/>
              </w:rPr>
              <w:t>8)</w:t>
            </w:r>
          </w:p>
        </w:tc>
        <w:tc>
          <w:tcPr>
            <w:tcW w:w="3980" w:type="dxa"/>
            <w:vAlign w:val="bottom"/>
          </w:tcPr>
          <w:p>
            <w:pPr>
              <w:ind w:left="1240"/>
              <w:spacing w:after="0"/>
              <w:rPr>
                <w:sz w:val="20"/>
                <w:szCs w:val="20"/>
                <w:color w:val="auto"/>
              </w:rPr>
            </w:pPr>
            <w:r>
              <w:rPr>
                <w:rFonts w:ascii="Arial" w:cs="Arial" w:eastAsia="Arial" w:hAnsi="Arial"/>
                <w:sz w:val="18"/>
                <w:szCs w:val="18"/>
                <w:color w:val="auto"/>
              </w:rPr>
              <w:t>Shared Dispositive Power</w:t>
            </w:r>
          </w:p>
        </w:tc>
        <w:tc>
          <w:tcPr>
            <w:tcW w:w="22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40" w:right="5480" w:hanging="1132"/>
        <w:spacing w:after="0" w:line="50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2,763,294 shares of Common Stock *</w:t>
      </w:r>
    </w:p>
    <w:tbl>
      <w:tblPr>
        <w:tblLayout w:type="fixed"/>
        <w:tblInd w:w="0" w:type="dxa"/>
        <w:tblCellMar>
          <w:top w:w="0" w:type="dxa"/>
          <w:left w:w="0" w:type="dxa"/>
          <w:bottom w:w="0" w:type="dxa"/>
          <w:right w:w="0" w:type="dxa"/>
        </w:tblCellMar>
      </w:tblPr>
      <w:tr>
        <w:trPr>
          <w:trHeight w:val="238"/>
        </w:trPr>
        <w:tc>
          <w:tcPr>
            <w:tcW w:w="7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84"/>
              </w:rPr>
              <w:t>10)</w:t>
            </w:r>
          </w:p>
        </w:tc>
        <w:tc>
          <w:tcPr>
            <w:tcW w:w="56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93"/>
              </w:rPr>
              <w:t>Check if the Aggregate Amount in Row (9) Excludes Certain Shares [</w:t>
            </w:r>
          </w:p>
        </w:tc>
        <w:tc>
          <w:tcPr>
            <w:tcW w:w="5120" w:type="dxa"/>
            <w:vAlign w:val="bottom"/>
            <w:tcBorders>
              <w:top w:val="single" w:sz="8" w:color="auto"/>
            </w:tcBorders>
          </w:tcPr>
          <w:p>
            <w:pPr>
              <w:jc w:val="right"/>
              <w:ind w:right="49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25"/>
        </w:trPr>
        <w:tc>
          <w:tcPr>
            <w:tcW w:w="7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140" w:type="dxa"/>
            <w:vAlign w:val="bottom"/>
            <w:gridSpan w:val="2"/>
          </w:tcPr>
          <w:p>
            <w:pPr>
              <w:spacing w:after="0"/>
              <w:rPr>
                <w:sz w:val="24"/>
                <w:szCs w:val="24"/>
                <w:color w:val="auto"/>
              </w:rPr>
            </w:pPr>
          </w:p>
        </w:tc>
      </w:tr>
      <w:tr>
        <w:trPr>
          <w:trHeight w:val="230"/>
        </w:trPr>
        <w:tc>
          <w:tcPr>
            <w:tcW w:w="7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84"/>
              </w:rPr>
              <w:t>11)</w:t>
            </w:r>
          </w:p>
        </w:tc>
        <w:tc>
          <w:tcPr>
            <w:tcW w:w="56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5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20"/>
                <w:szCs w:val="20"/>
                <w:color w:val="auto"/>
              </w:rPr>
            </w:pPr>
          </w:p>
        </w:tc>
      </w:tr>
      <w:tr>
        <w:trPr>
          <w:trHeight w:val="425"/>
        </w:trPr>
        <w:tc>
          <w:tcPr>
            <w:tcW w:w="7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spacing w:after="0"/>
              <w:rPr>
                <w:sz w:val="24"/>
                <w:szCs w:val="24"/>
                <w:color w:val="auto"/>
              </w:rPr>
            </w:pPr>
          </w:p>
        </w:tc>
      </w:tr>
      <w:tr>
        <w:trPr>
          <w:trHeight w:val="23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4"/>
              </w:rPr>
              <w:t>12)</w:t>
            </w:r>
          </w:p>
        </w:tc>
        <w:tc>
          <w:tcPr>
            <w:tcW w:w="5600" w:type="dxa"/>
            <w:vAlign w:val="bottom"/>
          </w:tcPr>
          <w:p>
            <w:pPr>
              <w:ind w:left="440"/>
              <w:spacing w:after="0"/>
              <w:rPr>
                <w:sz w:val="20"/>
                <w:szCs w:val="20"/>
                <w:color w:val="auto"/>
              </w:rPr>
            </w:pPr>
            <w:r>
              <w:rPr>
                <w:rFonts w:ascii="Arial" w:cs="Arial" w:eastAsia="Arial" w:hAnsi="Arial"/>
                <w:sz w:val="18"/>
                <w:szCs w:val="18"/>
                <w:color w:val="auto"/>
              </w:rPr>
              <w:t>Type of Reporting Person</w:t>
            </w:r>
          </w:p>
        </w:tc>
        <w:tc>
          <w:tcPr>
            <w:tcW w:w="5140" w:type="dxa"/>
            <w:vAlign w:val="bottom"/>
            <w:gridSpan w:val="2"/>
          </w:tcPr>
          <w:p>
            <w:pPr>
              <w:jc w:val="right"/>
              <w:ind w:right="20"/>
              <w:spacing w:after="0"/>
              <w:rPr>
                <w:sz w:val="20"/>
                <w:szCs w:val="20"/>
                <w:color w:val="auto"/>
              </w:rPr>
            </w:pPr>
            <w:r>
              <w:rPr>
                <w:rFonts w:ascii="Arial" w:cs="Arial" w:eastAsia="Arial" w:hAnsi="Arial"/>
                <w:sz w:val="18"/>
                <w:szCs w:val="18"/>
                <w:color w:val="auto"/>
              </w:rPr>
              <w:t>PN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As of December 31, 2017</w:t>
      </w:r>
    </w:p>
    <w:p>
      <w:pPr>
        <w:spacing w:after="0" w:line="23" w:lineRule="exact"/>
        <w:rPr>
          <w:sz w:val="20"/>
          <w:szCs w:val="20"/>
          <w:color w:val="auto"/>
        </w:rPr>
      </w:pPr>
    </w:p>
    <w:p>
      <w:pPr>
        <w:ind w:right="60" w:firstLine="8"/>
        <w:spacing w:after="0" w:line="261"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34,039,843 shares of Common Stock outstanding as of November 2, 2017, as reported in the Issuer's Form 10-Q for the period ended September 30, 2017 filed with the Securities and Exchange Commission on November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92337F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40" w:hanging="1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DP VIII Associates, L.P.</w:t>
      </w:r>
    </w:p>
    <w:p>
      <w:pPr>
        <w:spacing w:after="0" w:line="22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 (Voluntary)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87"/>
              </w:rPr>
              <w:t>2)</w:t>
            </w:r>
          </w:p>
        </w:tc>
        <w:tc>
          <w:tcPr>
            <w:tcW w:w="72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Check the Appropriate Box if a Member of a Group</w:t>
            </w:r>
          </w:p>
        </w:tc>
        <w:tc>
          <w:tcPr>
            <w:tcW w:w="3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[X]</w:t>
            </w:r>
          </w:p>
        </w:tc>
      </w:tr>
      <w:tr>
        <w:trPr>
          <w:trHeight w:val="230"/>
        </w:trPr>
        <w:tc>
          <w:tcPr>
            <w:tcW w:w="6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(b)</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140" w:hanging="1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40" w:right="7660" w:hanging="1132"/>
        <w:spacing w:after="0" w:line="52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74"/>
              </w:rPr>
              <w:t>5)</w:t>
            </w:r>
          </w:p>
        </w:tc>
        <w:tc>
          <w:tcPr>
            <w:tcW w:w="406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Sole Voting Power</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20,504 shares of</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Common Stock *</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380" w:type="dxa"/>
            <w:vAlign w:val="bottom"/>
          </w:tcPr>
          <w:p>
            <w:pPr>
              <w:jc w:val="right"/>
              <w:ind w:right="1150"/>
              <w:spacing w:after="0"/>
              <w:rPr>
                <w:sz w:val="20"/>
                <w:szCs w:val="20"/>
                <w:color w:val="auto"/>
              </w:rPr>
            </w:pPr>
            <w:r>
              <w:rPr>
                <w:rFonts w:ascii="Arial" w:cs="Arial" w:eastAsia="Arial" w:hAnsi="Arial"/>
                <w:sz w:val="18"/>
                <w:szCs w:val="18"/>
                <w:color w:val="auto"/>
                <w:w w:val="74"/>
              </w:rPr>
              <w:t>6)</w:t>
            </w:r>
          </w:p>
        </w:tc>
        <w:tc>
          <w:tcPr>
            <w:tcW w:w="4060" w:type="dxa"/>
            <w:vAlign w:val="bottom"/>
          </w:tcPr>
          <w:p>
            <w:pPr>
              <w:ind w:left="1240"/>
              <w:spacing w:after="0"/>
              <w:rPr>
                <w:sz w:val="20"/>
                <w:szCs w:val="20"/>
                <w:color w:val="auto"/>
              </w:rPr>
            </w:pPr>
            <w:r>
              <w:rPr>
                <w:rFonts w:ascii="Arial" w:cs="Arial" w:eastAsia="Arial" w:hAnsi="Arial"/>
                <w:sz w:val="18"/>
                <w:szCs w:val="18"/>
                <w:color w:val="auto"/>
              </w:rPr>
              <w:t>Shared Voting Power</w:t>
            </w:r>
          </w:p>
        </w:tc>
        <w:tc>
          <w:tcPr>
            <w:tcW w:w="2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Number of Shares</w:t>
            </w:r>
          </w:p>
        </w:tc>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1"/>
              </w:rPr>
              <w:t>Beneficially Owned by Each Reporting Person</w:t>
            </w:r>
          </w:p>
        </w:tc>
        <w:tc>
          <w:tcPr>
            <w:tcW w:w="138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780" w:type="dxa"/>
            <w:vAlign w:val="bottom"/>
            <w:vMerge w:val="continue"/>
          </w:tcPr>
          <w:p>
            <w:pPr>
              <w:spacing w:after="0"/>
              <w:rPr>
                <w:sz w:val="6"/>
                <w:szCs w:val="6"/>
                <w:color w:val="auto"/>
              </w:rPr>
            </w:pPr>
          </w:p>
        </w:tc>
        <w:tc>
          <w:tcPr>
            <w:tcW w:w="1380" w:type="dxa"/>
            <w:vAlign w:val="bottom"/>
            <w:vMerge w:val="restart"/>
          </w:tcPr>
          <w:p>
            <w:pPr>
              <w:jc w:val="right"/>
              <w:ind w:right="1150"/>
              <w:spacing w:after="0" w:line="201" w:lineRule="exact"/>
              <w:rPr>
                <w:sz w:val="20"/>
                <w:szCs w:val="20"/>
                <w:color w:val="auto"/>
              </w:rPr>
            </w:pPr>
            <w:r>
              <w:rPr>
                <w:rFonts w:ascii="Arial" w:cs="Arial" w:eastAsia="Arial" w:hAnsi="Arial"/>
                <w:sz w:val="18"/>
                <w:szCs w:val="18"/>
                <w:color w:val="auto"/>
                <w:w w:val="74"/>
              </w:rPr>
              <w:t>7)</w:t>
            </w:r>
          </w:p>
        </w:tc>
        <w:tc>
          <w:tcPr>
            <w:tcW w:w="4060" w:type="dxa"/>
            <w:vAlign w:val="bottom"/>
            <w:vMerge w:val="restart"/>
          </w:tcPr>
          <w:p>
            <w:pPr>
              <w:ind w:left="1240"/>
              <w:spacing w:after="0" w:line="201" w:lineRule="exact"/>
              <w:rPr>
                <w:sz w:val="20"/>
                <w:szCs w:val="20"/>
                <w:color w:val="auto"/>
              </w:rPr>
            </w:pPr>
            <w:r>
              <w:rPr>
                <w:rFonts w:ascii="Arial" w:cs="Arial" w:eastAsia="Arial" w:hAnsi="Arial"/>
                <w:sz w:val="18"/>
                <w:szCs w:val="18"/>
                <w:color w:val="auto"/>
              </w:rPr>
              <w:t>Sole Dispositive Power</w:t>
            </w:r>
          </w:p>
        </w:tc>
        <w:tc>
          <w:tcPr>
            <w:tcW w:w="220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20,504 shares of</w:t>
            </w:r>
          </w:p>
        </w:tc>
        <w:tc>
          <w:tcPr>
            <w:tcW w:w="0" w:type="dxa"/>
            <w:vAlign w:val="bottom"/>
          </w:tcPr>
          <w:p>
            <w:pPr>
              <w:spacing w:after="0"/>
              <w:rPr>
                <w:sz w:val="1"/>
                <w:szCs w:val="1"/>
                <w:color w:val="auto"/>
              </w:rPr>
            </w:pPr>
          </w:p>
        </w:tc>
      </w:tr>
      <w:tr>
        <w:trPr>
          <w:trHeight w:val="122"/>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1380" w:type="dxa"/>
            <w:vAlign w:val="bottom"/>
            <w:vMerge w:val="continue"/>
          </w:tcPr>
          <w:p>
            <w:pPr>
              <w:spacing w:after="0"/>
              <w:rPr>
                <w:sz w:val="10"/>
                <w:szCs w:val="10"/>
                <w:color w:val="auto"/>
              </w:rPr>
            </w:pPr>
          </w:p>
        </w:tc>
        <w:tc>
          <w:tcPr>
            <w:tcW w:w="406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Common Stock *</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380" w:type="dxa"/>
            <w:vAlign w:val="bottom"/>
          </w:tcPr>
          <w:p>
            <w:pPr>
              <w:jc w:val="right"/>
              <w:ind w:right="1150"/>
              <w:spacing w:after="0"/>
              <w:rPr>
                <w:sz w:val="20"/>
                <w:szCs w:val="20"/>
                <w:color w:val="auto"/>
              </w:rPr>
            </w:pPr>
            <w:r>
              <w:rPr>
                <w:rFonts w:ascii="Arial" w:cs="Arial" w:eastAsia="Arial" w:hAnsi="Arial"/>
                <w:sz w:val="18"/>
                <w:szCs w:val="18"/>
                <w:color w:val="auto"/>
                <w:w w:val="74"/>
              </w:rPr>
              <w:t>8)</w:t>
            </w:r>
          </w:p>
        </w:tc>
        <w:tc>
          <w:tcPr>
            <w:tcW w:w="4060" w:type="dxa"/>
            <w:vAlign w:val="bottom"/>
          </w:tcPr>
          <w:p>
            <w:pPr>
              <w:ind w:left="1240"/>
              <w:spacing w:after="0"/>
              <w:rPr>
                <w:sz w:val="20"/>
                <w:szCs w:val="20"/>
                <w:color w:val="auto"/>
              </w:rPr>
            </w:pPr>
            <w:r>
              <w:rPr>
                <w:rFonts w:ascii="Arial" w:cs="Arial" w:eastAsia="Arial" w:hAnsi="Arial"/>
                <w:sz w:val="18"/>
                <w:szCs w:val="18"/>
                <w:color w:val="auto"/>
              </w:rPr>
              <w:t>Shared Dispositive Power</w:t>
            </w:r>
          </w:p>
        </w:tc>
        <w:tc>
          <w:tcPr>
            <w:tcW w:w="2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40" w:right="5480" w:hanging="1132"/>
        <w:spacing w:after="0" w:line="50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20,504 shares of Common Stock *</w:t>
      </w:r>
    </w:p>
    <w:tbl>
      <w:tblPr>
        <w:tblLayout w:type="fixed"/>
        <w:tblInd w:w="0" w:type="dxa"/>
        <w:tblCellMar>
          <w:top w:w="0" w:type="dxa"/>
          <w:left w:w="0" w:type="dxa"/>
          <w:bottom w:w="0" w:type="dxa"/>
          <w:right w:w="0" w:type="dxa"/>
        </w:tblCellMar>
      </w:tblPr>
      <w:tr>
        <w:trPr>
          <w:trHeight w:val="238"/>
        </w:trPr>
        <w:tc>
          <w:tcPr>
            <w:tcW w:w="7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84"/>
              </w:rPr>
              <w:t>10)</w:t>
            </w:r>
          </w:p>
        </w:tc>
        <w:tc>
          <w:tcPr>
            <w:tcW w:w="56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93"/>
              </w:rPr>
              <w:t>Check if the Aggregate Amount in Row (9) Excludes Certain Shares [</w:t>
            </w:r>
          </w:p>
        </w:tc>
        <w:tc>
          <w:tcPr>
            <w:tcW w:w="5120" w:type="dxa"/>
            <w:vAlign w:val="bottom"/>
            <w:tcBorders>
              <w:top w:val="single" w:sz="8" w:color="auto"/>
            </w:tcBorders>
          </w:tcPr>
          <w:p>
            <w:pPr>
              <w:jc w:val="right"/>
              <w:ind w:right="49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5"/>
        </w:trPr>
        <w:tc>
          <w:tcPr>
            <w:tcW w:w="7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84"/>
              </w:rPr>
              <w:t>11)</w:t>
            </w:r>
          </w:p>
        </w:tc>
        <w:tc>
          <w:tcPr>
            <w:tcW w:w="56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5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Less than 0.1%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5"/>
        </w:trPr>
        <w:tc>
          <w:tcPr>
            <w:tcW w:w="7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160" w:type="dxa"/>
            <w:vAlign w:val="bottom"/>
            <w:gridSpan w:val="3"/>
          </w:tcPr>
          <w:p>
            <w:pPr>
              <w:spacing w:after="0"/>
              <w:rPr>
                <w:sz w:val="24"/>
                <w:szCs w:val="24"/>
                <w:color w:val="auto"/>
              </w:rPr>
            </w:pPr>
          </w:p>
        </w:tc>
      </w:tr>
      <w:tr>
        <w:trPr>
          <w:trHeight w:val="230"/>
        </w:trPr>
        <w:tc>
          <w:tcPr>
            <w:tcW w:w="7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84"/>
              </w:rPr>
              <w:t>12)</w:t>
            </w:r>
          </w:p>
        </w:tc>
        <w:tc>
          <w:tcPr>
            <w:tcW w:w="56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Type of Reporting Person</w:t>
            </w:r>
          </w:p>
        </w:tc>
        <w:tc>
          <w:tcPr>
            <w:tcW w:w="5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PN</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As of December 31, 2017</w:t>
      </w:r>
    </w:p>
    <w:p>
      <w:pPr>
        <w:spacing w:after="0" w:line="23" w:lineRule="exact"/>
        <w:rPr>
          <w:sz w:val="20"/>
          <w:szCs w:val="20"/>
          <w:color w:val="auto"/>
        </w:rPr>
      </w:pPr>
    </w:p>
    <w:p>
      <w:pPr>
        <w:ind w:right="60" w:firstLine="8"/>
        <w:spacing w:after="0" w:line="261"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34,039,843 shares of Common Stock outstanding as of November 2, 2017, as reported in the Issuer's Form 10-Q for the period ended September 30, 2017 filed with the Securities and Exchange Commission on November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92337F 10 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Amendment No. 2 to Schedule 13G</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Reference is hereby made to the statement on Schedule 13G relating to the Issuer filed with the Securities and Exchange Commission by the Reporting Persons on February 6, 2014 and Amendment No. 1 thereto filed on February 5, 2015 (as so amended, the "Schedule 13G"). Terms defined in the Schedule 13G are used herein as so defined.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the Schedule 13G are hereby amended and restated as follows:</w:t>
      </w:r>
    </w:p>
    <w:p>
      <w:pPr>
        <w:spacing w:after="0" w:line="248" w:lineRule="exact"/>
        <w:rPr>
          <w:sz w:val="20"/>
          <w:szCs w:val="20"/>
          <w:color w:val="auto"/>
        </w:rPr>
      </w:pPr>
    </w:p>
    <w:p>
      <w:pPr>
        <w:spacing w:after="0"/>
        <w:tabs>
          <w:tab w:leader="none" w:pos="800" w:val="left"/>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through (c):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the cover pages to this Amendment No. 2 to Schedule 13G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92337F 10 7</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hereby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8, 2018</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DOMAIN PARTNERS VIII,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ind w:left="4320"/>
              <w:spacing w:after="0"/>
              <w:rPr>
                <w:sz w:val="20"/>
                <w:szCs w:val="20"/>
                <w:color w:val="auto"/>
              </w:rPr>
            </w:pPr>
            <w:r>
              <w:rPr>
                <w:rFonts w:ascii="Arial" w:cs="Arial" w:eastAsia="Arial" w:hAnsi="Arial"/>
                <w:sz w:val="18"/>
                <w:szCs w:val="18"/>
                <w:color w:val="auto"/>
              </w:rPr>
              <w:t>By:</w:t>
            </w:r>
          </w:p>
        </w:tc>
        <w:tc>
          <w:tcPr>
            <w:tcW w:w="5460" w:type="dxa"/>
            <w:vAlign w:val="bottom"/>
          </w:tcPr>
          <w:p>
            <w:pPr>
              <w:spacing w:after="0"/>
              <w:rPr>
                <w:sz w:val="20"/>
                <w:szCs w:val="20"/>
                <w:color w:val="auto"/>
              </w:rPr>
            </w:pPr>
            <w:r>
              <w:rPr>
                <w:rFonts w:ascii="Arial" w:cs="Arial" w:eastAsia="Arial" w:hAnsi="Arial"/>
                <w:sz w:val="18"/>
                <w:szCs w:val="18"/>
                <w:color w:val="auto"/>
              </w:rPr>
              <w:t>One Palmer Square Associates VIII, L.L.C., General Partner</w:t>
            </w:r>
          </w:p>
        </w:tc>
        <w:tc>
          <w:tcPr>
            <w:tcW w:w="720" w:type="dxa"/>
            <w:vAlign w:val="bottom"/>
          </w:tcPr>
          <w:p>
            <w:pPr>
              <w:spacing w:after="0"/>
              <w:rPr>
                <w:sz w:val="20"/>
                <w:szCs w:val="20"/>
                <w:color w:val="auto"/>
              </w:rPr>
            </w:pPr>
          </w:p>
        </w:tc>
      </w:tr>
      <w:tr>
        <w:trPr>
          <w:trHeight w:val="439"/>
        </w:trPr>
        <w:tc>
          <w:tcPr>
            <w:tcW w:w="5240" w:type="dxa"/>
            <w:vAlign w:val="bottom"/>
          </w:tcPr>
          <w:p>
            <w:pPr>
              <w:ind w:left="4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A. Kraeutler</w:t>
            </w:r>
          </w:p>
        </w:tc>
        <w:tc>
          <w:tcPr>
            <w:tcW w:w="720" w:type="dxa"/>
            <w:vAlign w:val="bottom"/>
          </w:tcPr>
          <w:p>
            <w:pPr>
              <w:spacing w:after="0"/>
              <w:rPr>
                <w:sz w:val="24"/>
                <w:szCs w:val="24"/>
                <w:color w:val="auto"/>
              </w:rPr>
            </w:pPr>
          </w:p>
        </w:tc>
      </w:tr>
      <w:tr>
        <w:trPr>
          <w:trHeight w:val="230"/>
        </w:trPr>
        <w:tc>
          <w:tcPr>
            <w:tcW w:w="52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Attorney-in-Fact</w:t>
            </w:r>
          </w:p>
        </w:tc>
        <w:tc>
          <w:tcPr>
            <w:tcW w:w="720" w:type="dxa"/>
            <w:vAlign w:val="bottom"/>
          </w:tcPr>
          <w:p>
            <w:pPr>
              <w:spacing w:after="0"/>
              <w:rPr>
                <w:sz w:val="20"/>
                <w:szCs w:val="20"/>
                <w:color w:val="auto"/>
              </w:rPr>
            </w:pPr>
          </w:p>
        </w:tc>
      </w:tr>
      <w:tr>
        <w:trPr>
          <w:trHeight w:val="418"/>
        </w:trPr>
        <w:tc>
          <w:tcPr>
            <w:tcW w:w="10700" w:type="dxa"/>
            <w:vAlign w:val="bottom"/>
            <w:gridSpan w:val="2"/>
          </w:tcPr>
          <w:p>
            <w:pPr>
              <w:ind w:left="4320"/>
              <w:spacing w:after="0"/>
              <w:rPr>
                <w:sz w:val="20"/>
                <w:szCs w:val="20"/>
                <w:color w:val="auto"/>
              </w:rPr>
            </w:pPr>
            <w:r>
              <w:rPr>
                <w:rFonts w:ascii="Arial" w:cs="Arial" w:eastAsia="Arial" w:hAnsi="Arial"/>
                <w:sz w:val="18"/>
                <w:szCs w:val="18"/>
                <w:color w:val="auto"/>
              </w:rPr>
              <w:t>DP VIII ASSOCIATES, L.P.</w:t>
            </w:r>
          </w:p>
        </w:tc>
        <w:tc>
          <w:tcPr>
            <w:tcW w:w="720" w:type="dxa"/>
            <w:vAlign w:val="bottom"/>
          </w:tcPr>
          <w:p>
            <w:pPr>
              <w:spacing w:after="0"/>
              <w:rPr>
                <w:sz w:val="24"/>
                <w:szCs w:val="24"/>
                <w:color w:val="auto"/>
              </w:rPr>
            </w:pPr>
          </w:p>
        </w:tc>
      </w:tr>
      <w:tr>
        <w:trPr>
          <w:trHeight w:val="432"/>
        </w:trPr>
        <w:tc>
          <w:tcPr>
            <w:tcW w:w="5240" w:type="dxa"/>
            <w:vAlign w:val="bottom"/>
          </w:tcPr>
          <w:p>
            <w:pPr>
              <w:ind w:left="4320"/>
              <w:spacing w:after="0"/>
              <w:rPr>
                <w:sz w:val="20"/>
                <w:szCs w:val="20"/>
                <w:color w:val="auto"/>
              </w:rPr>
            </w:pPr>
            <w:r>
              <w:rPr>
                <w:rFonts w:ascii="Arial" w:cs="Arial" w:eastAsia="Arial" w:hAnsi="Arial"/>
                <w:sz w:val="18"/>
                <w:szCs w:val="18"/>
                <w:color w:val="auto"/>
              </w:rPr>
              <w:t>By:</w:t>
            </w:r>
          </w:p>
        </w:tc>
        <w:tc>
          <w:tcPr>
            <w:tcW w:w="5460" w:type="dxa"/>
            <w:vAlign w:val="bottom"/>
          </w:tcPr>
          <w:p>
            <w:pPr>
              <w:spacing w:after="0"/>
              <w:rPr>
                <w:sz w:val="20"/>
                <w:szCs w:val="20"/>
                <w:color w:val="auto"/>
              </w:rPr>
            </w:pPr>
            <w:r>
              <w:rPr>
                <w:rFonts w:ascii="Arial" w:cs="Arial" w:eastAsia="Arial" w:hAnsi="Arial"/>
                <w:sz w:val="18"/>
                <w:szCs w:val="18"/>
                <w:color w:val="auto"/>
              </w:rPr>
              <w:t>One Palmer Square Associates VIII, L.L.C., General Partner</w:t>
            </w:r>
          </w:p>
        </w:tc>
        <w:tc>
          <w:tcPr>
            <w:tcW w:w="720" w:type="dxa"/>
            <w:vAlign w:val="bottom"/>
          </w:tcPr>
          <w:p>
            <w:pPr>
              <w:spacing w:after="0"/>
              <w:rPr>
                <w:sz w:val="24"/>
                <w:szCs w:val="24"/>
                <w:color w:val="auto"/>
              </w:rPr>
            </w:pPr>
          </w:p>
        </w:tc>
      </w:tr>
      <w:tr>
        <w:trPr>
          <w:trHeight w:val="439"/>
        </w:trPr>
        <w:tc>
          <w:tcPr>
            <w:tcW w:w="5240" w:type="dxa"/>
            <w:vAlign w:val="bottom"/>
          </w:tcPr>
          <w:p>
            <w:pPr>
              <w:ind w:left="4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A. Kraeutler</w:t>
            </w:r>
          </w:p>
        </w:tc>
        <w:tc>
          <w:tcPr>
            <w:tcW w:w="720" w:type="dxa"/>
            <w:vAlign w:val="bottom"/>
          </w:tcPr>
          <w:p>
            <w:pPr>
              <w:spacing w:after="0"/>
              <w:rPr>
                <w:sz w:val="24"/>
                <w:szCs w:val="24"/>
                <w:color w:val="auto"/>
              </w:rPr>
            </w:pPr>
          </w:p>
        </w:tc>
      </w:tr>
      <w:tr>
        <w:trPr>
          <w:trHeight w:val="230"/>
        </w:trPr>
        <w:tc>
          <w:tcPr>
            <w:tcW w:w="52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Attorney-in-Fact</w:t>
            </w:r>
          </w:p>
        </w:tc>
        <w:tc>
          <w:tcPr>
            <w:tcW w:w="720" w:type="dxa"/>
            <w:vAlign w:val="bottom"/>
          </w:tcPr>
          <w:p>
            <w:pPr>
              <w:spacing w:after="0"/>
              <w:rPr>
                <w:sz w:val="20"/>
                <w:szCs w:val="20"/>
                <w:color w:val="auto"/>
              </w:rPr>
            </w:pPr>
          </w:p>
        </w:tc>
      </w:tr>
      <w:tr>
        <w:trPr>
          <w:trHeight w:val="850"/>
        </w:trPr>
        <w:tc>
          <w:tcPr>
            <w:tcW w:w="5240" w:type="dxa"/>
            <w:vAlign w:val="bottom"/>
          </w:tcPr>
          <w:p>
            <w:pPr>
              <w:spacing w:after="0"/>
              <w:rPr>
                <w:sz w:val="24"/>
                <w:szCs w:val="24"/>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r>
      <w:tr>
        <w:trPr>
          <w:trHeight w:val="61"/>
        </w:trPr>
        <w:tc>
          <w:tcPr>
            <w:tcW w:w="5240" w:type="dxa"/>
            <w:vAlign w:val="bottom"/>
            <w:tcBorders>
              <w:bottom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2019-12-07T07:50:18Z</dcterms:created>
  <dcterms:modified xsi:type="dcterms:W3CDTF">2019-12-07T07:50:18Z</dcterms:modified>
</cp:coreProperties>
</file>