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30, 2015</w:t>
      </w:r>
    </w:p>
    <w:p>
      <w:pPr>
        <w:spacing w:after="0" w:line="225" w:lineRule="exact"/>
        <w:rPr>
          <w:sz w:val="24"/>
          <w:szCs w:val="24"/>
          <w:color w:val="auto"/>
        </w:rPr>
      </w:pPr>
    </w:p>
    <w:p>
      <w:pPr>
        <w:ind w:left="9660"/>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580" w:type="dxa"/>
        <w:tblCellMar>
          <w:top w:w="0" w:type="dxa"/>
          <w:left w:w="0" w:type="dxa"/>
          <w:bottom w:w="0" w:type="dxa"/>
          <w:right w:w="0" w:type="dxa"/>
        </w:tblCellMar>
      </w:tblPr>
      <w:tr>
        <w:trPr>
          <w:trHeight w:val="220"/>
        </w:trPr>
        <w:tc>
          <w:tcPr>
            <w:tcW w:w="26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Delaware</w:t>
            </w:r>
          </w:p>
        </w:tc>
        <w:tc>
          <w:tcPr>
            <w:tcW w:w="5080" w:type="dxa"/>
            <w:vAlign w:val="bottom"/>
          </w:tcPr>
          <w:p>
            <w:pPr>
              <w:jc w:val="right"/>
              <w:ind w:right="150"/>
              <w:spacing w:after="0"/>
              <w:rPr>
                <w:sz w:val="20"/>
                <w:szCs w:val="20"/>
                <w:color w:val="auto"/>
              </w:rPr>
            </w:pPr>
            <w:r>
              <w:rPr>
                <w:rFonts w:ascii="Arial" w:cs="Arial" w:eastAsia="Arial" w:hAnsi="Arial"/>
                <w:sz w:val="18"/>
                <w:szCs w:val="18"/>
                <w:b w:val="1"/>
                <w:bCs w:val="1"/>
                <w:color w:val="auto"/>
              </w:rPr>
              <w:t>20-5455398</w:t>
            </w:r>
          </w:p>
        </w:tc>
      </w:tr>
      <w:tr>
        <w:trPr>
          <w:trHeight w:val="216"/>
        </w:trPr>
        <w:tc>
          <w:tcPr>
            <w:tcW w:w="2640" w:type="dxa"/>
            <w:vAlign w:val="bottom"/>
          </w:tcPr>
          <w:p>
            <w:pPr>
              <w:jc w:val="center"/>
              <w:ind w:right="90"/>
              <w:spacing w:after="0"/>
              <w:rPr>
                <w:sz w:val="20"/>
                <w:szCs w:val="20"/>
                <w:color w:val="auto"/>
              </w:rPr>
            </w:pPr>
            <w:r>
              <w:rPr>
                <w:rFonts w:ascii="Arial" w:cs="Arial" w:eastAsia="Arial" w:hAnsi="Arial"/>
                <w:sz w:val="18"/>
                <w:szCs w:val="18"/>
                <w:color w:val="auto"/>
                <w:w w:val="93"/>
              </w:rPr>
              <w:t>(State or other jurisdiction of</w:t>
            </w:r>
          </w:p>
        </w:tc>
        <w:tc>
          <w:tcPr>
            <w:tcW w:w="5080" w:type="dxa"/>
            <w:vAlign w:val="bottom"/>
          </w:tcPr>
          <w:p>
            <w:pPr>
              <w:jc w:val="center"/>
              <w:ind w:left="3630"/>
              <w:spacing w:after="0"/>
              <w:rPr>
                <w:sz w:val="20"/>
                <w:szCs w:val="20"/>
                <w:color w:val="auto"/>
              </w:rPr>
            </w:pPr>
            <w:r>
              <w:rPr>
                <w:rFonts w:ascii="Arial" w:cs="Arial" w:eastAsia="Arial" w:hAnsi="Arial"/>
                <w:sz w:val="18"/>
                <w:szCs w:val="18"/>
                <w:color w:val="auto"/>
                <w:w w:val="93"/>
              </w:rPr>
              <w:t>(I.R.S. Employer</w:t>
            </w:r>
          </w:p>
        </w:tc>
      </w:tr>
      <w:tr>
        <w:trPr>
          <w:trHeight w:val="230"/>
        </w:trPr>
        <w:tc>
          <w:tcPr>
            <w:tcW w:w="2640" w:type="dxa"/>
            <w:vAlign w:val="bottom"/>
          </w:tcPr>
          <w:p>
            <w:pPr>
              <w:jc w:val="center"/>
              <w:ind w:right="90"/>
              <w:spacing w:after="0"/>
              <w:rPr>
                <w:sz w:val="20"/>
                <w:szCs w:val="20"/>
                <w:color w:val="auto"/>
              </w:rPr>
            </w:pPr>
            <w:r>
              <w:rPr>
                <w:rFonts w:ascii="Arial" w:cs="Arial" w:eastAsia="Arial" w:hAnsi="Arial"/>
                <w:sz w:val="18"/>
                <w:szCs w:val="18"/>
                <w:color w:val="auto"/>
                <w:w w:val="93"/>
              </w:rPr>
              <w:t>incorporation or organization)</w:t>
            </w:r>
          </w:p>
        </w:tc>
        <w:tc>
          <w:tcPr>
            <w:tcW w:w="5080" w:type="dxa"/>
            <w:vAlign w:val="bottom"/>
          </w:tcPr>
          <w:p>
            <w:pPr>
              <w:jc w:val="center"/>
              <w:ind w:left="36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6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7000 Shoreline Court, Suite 250</w:t>
            </w:r>
          </w:p>
        </w:tc>
        <w:tc>
          <w:tcPr>
            <w:tcW w:w="5080" w:type="dxa"/>
            <w:vAlign w:val="bottom"/>
          </w:tcPr>
          <w:p>
            <w:pPr>
              <w:spacing w:after="0"/>
              <w:rPr>
                <w:sz w:val="24"/>
                <w:szCs w:val="24"/>
                <w:color w:val="auto"/>
              </w:rPr>
            </w:pPr>
          </w:p>
        </w:tc>
      </w:tr>
      <w:tr>
        <w:trPr>
          <w:trHeight w:val="220"/>
        </w:trPr>
        <w:tc>
          <w:tcPr>
            <w:tcW w:w="26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South San Francisco, California</w:t>
            </w:r>
          </w:p>
        </w:tc>
        <w:tc>
          <w:tcPr>
            <w:tcW w:w="5080" w:type="dxa"/>
            <w:vAlign w:val="bottom"/>
          </w:tcPr>
          <w:p>
            <w:pPr>
              <w:jc w:val="right"/>
              <w:ind w:right="370"/>
              <w:spacing w:after="0"/>
              <w:rPr>
                <w:sz w:val="20"/>
                <w:szCs w:val="20"/>
                <w:color w:val="auto"/>
              </w:rPr>
            </w:pPr>
            <w:r>
              <w:rPr>
                <w:rFonts w:ascii="Arial" w:cs="Arial" w:eastAsia="Arial" w:hAnsi="Arial"/>
                <w:sz w:val="18"/>
                <w:szCs w:val="18"/>
                <w:b w:val="1"/>
                <w:bCs w:val="1"/>
                <w:color w:val="auto"/>
              </w:rPr>
              <w:t>94080</w:t>
            </w:r>
          </w:p>
        </w:tc>
      </w:tr>
      <w:tr>
        <w:trPr>
          <w:trHeight w:val="230"/>
        </w:trPr>
        <w:tc>
          <w:tcPr>
            <w:tcW w:w="2640" w:type="dxa"/>
            <w:vAlign w:val="bottom"/>
          </w:tcPr>
          <w:p>
            <w:pPr>
              <w:spacing w:after="0"/>
              <w:rPr>
                <w:sz w:val="20"/>
                <w:szCs w:val="20"/>
                <w:color w:val="auto"/>
              </w:rPr>
            </w:pPr>
          </w:p>
        </w:tc>
        <w:tc>
          <w:tcPr>
            <w:tcW w:w="5080" w:type="dxa"/>
            <w:vAlign w:val="bottom"/>
          </w:tcPr>
          <w:p>
            <w:pPr>
              <w:jc w:val="center"/>
              <w:ind w:left="3630"/>
              <w:spacing w:after="0"/>
              <w:rPr>
                <w:sz w:val="20"/>
                <w:szCs w:val="20"/>
                <w:color w:val="auto"/>
              </w:rPr>
            </w:pPr>
            <w:r>
              <w:rPr>
                <w:rFonts w:ascii="Arial" w:cs="Arial" w:eastAsia="Arial" w:hAnsi="Arial"/>
                <w:sz w:val="18"/>
                <w:szCs w:val="18"/>
                <w:color w:val="auto"/>
                <w:w w:val="94"/>
              </w:rPr>
              <w:t>(Zip Code)</w:t>
            </w:r>
          </w:p>
        </w:tc>
      </w:tr>
      <w:tr>
        <w:trPr>
          <w:trHeight w:val="418"/>
        </w:trPr>
        <w:tc>
          <w:tcPr>
            <w:tcW w:w="2640" w:type="dxa"/>
            <w:vAlign w:val="bottom"/>
          </w:tcPr>
          <w:p>
            <w:pPr>
              <w:spacing w:after="0"/>
              <w:rPr>
                <w:sz w:val="24"/>
                <w:szCs w:val="24"/>
                <w:color w:val="auto"/>
              </w:rPr>
            </w:pPr>
          </w:p>
        </w:tc>
        <w:tc>
          <w:tcPr>
            <w:tcW w:w="50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0"/>
              </w:rPr>
              <w:t>Veracyte, Inc. 2013 Stock Incentive Plan</w:t>
            </w:r>
          </w:p>
        </w:tc>
      </w:tr>
      <w:tr>
        <w:trPr>
          <w:trHeight w:val="230"/>
        </w:trPr>
        <w:tc>
          <w:tcPr>
            <w:tcW w:w="2640" w:type="dxa"/>
            <w:vAlign w:val="bottom"/>
          </w:tcPr>
          <w:p>
            <w:pPr>
              <w:spacing w:after="0"/>
              <w:rPr>
                <w:sz w:val="20"/>
                <w:szCs w:val="20"/>
                <w:color w:val="auto"/>
              </w:rPr>
            </w:pPr>
          </w:p>
        </w:tc>
        <w:tc>
          <w:tcPr>
            <w:tcW w:w="5080" w:type="dxa"/>
            <w:vAlign w:val="bottom"/>
          </w:tcPr>
          <w:p>
            <w:pPr>
              <w:jc w:val="center"/>
              <w:ind w:right="1530"/>
              <w:spacing w:after="0"/>
              <w:rPr>
                <w:sz w:val="20"/>
                <w:szCs w:val="20"/>
                <w:color w:val="auto"/>
              </w:rPr>
            </w:pPr>
            <w:r>
              <w:rPr>
                <w:rFonts w:ascii="Arial" w:cs="Arial" w:eastAsia="Arial" w:hAnsi="Arial"/>
                <w:sz w:val="18"/>
                <w:szCs w:val="18"/>
                <w:color w:val="auto"/>
                <w:w w:val="94"/>
              </w:rPr>
              <w:t>(Full title of the plan)</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Bonnie H. Anderson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243-6300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07" w:lineRule="exact"/>
        <w:rPr>
          <w:sz w:val="24"/>
          <w:szCs w:val="24"/>
          <w:color w:val="auto"/>
        </w:rPr>
      </w:pPr>
    </w:p>
    <w:tbl>
      <w:tblPr>
        <w:tblLayout w:type="fixed"/>
        <w:tblInd w:w="3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3660" w:type="dxa"/>
            <w:vAlign w:val="bottom"/>
          </w:tcPr>
          <w:p>
            <w:pPr>
              <w:ind w:left="1780"/>
              <w:spacing w:after="0"/>
              <w:rPr>
                <w:sz w:val="20"/>
                <w:szCs w:val="20"/>
                <w:color w:val="auto"/>
              </w:rPr>
            </w:pPr>
            <w:r>
              <w:rPr>
                <w:rFonts w:ascii="Arial" w:cs="Arial" w:eastAsia="Arial" w:hAnsi="Arial"/>
                <w:sz w:val="18"/>
                <w:szCs w:val="18"/>
                <w:b w:val="1"/>
                <w:bCs w:val="1"/>
                <w:color w:val="auto"/>
              </w:rPr>
              <w:t>Copies to:</w:t>
            </w:r>
          </w:p>
        </w:tc>
        <w:tc>
          <w:tcPr>
            <w:tcW w:w="3820" w:type="dxa"/>
            <w:vAlign w:val="bottom"/>
          </w:tcPr>
          <w:p>
            <w:pPr>
              <w:spacing w:after="0"/>
              <w:rPr>
                <w:sz w:val="20"/>
                <w:szCs w:val="20"/>
                <w:color w:val="auto"/>
              </w:rPr>
            </w:pPr>
          </w:p>
        </w:tc>
      </w:tr>
      <w:tr>
        <w:trPr>
          <w:trHeight w:val="418"/>
        </w:trPr>
        <w:tc>
          <w:tcPr>
            <w:tcW w:w="322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Stanton D. Wong</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5"/>
              </w:rPr>
              <w:t>Gabriella A. Lombardi</w:t>
            </w:r>
          </w:p>
        </w:tc>
        <w:tc>
          <w:tcPr>
            <w:tcW w:w="382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Julie A. Brooks</w:t>
            </w:r>
          </w:p>
        </w:tc>
      </w:tr>
      <w:tr>
        <w:trPr>
          <w:trHeight w:val="216"/>
        </w:trPr>
        <w:tc>
          <w:tcPr>
            <w:tcW w:w="3220" w:type="dxa"/>
            <w:vAlign w:val="bottom"/>
          </w:tcPr>
          <w:p>
            <w:pPr>
              <w:jc w:val="center"/>
              <w:ind w:right="330"/>
              <w:spacing w:after="0"/>
              <w:rPr>
                <w:sz w:val="20"/>
                <w:szCs w:val="20"/>
                <w:color w:val="auto"/>
              </w:rPr>
            </w:pPr>
            <w:r>
              <w:rPr>
                <w:rFonts w:ascii="Arial" w:cs="Arial" w:eastAsia="Arial" w:hAnsi="Arial"/>
                <w:sz w:val="18"/>
                <w:szCs w:val="18"/>
                <w:color w:val="auto"/>
                <w:w w:val="93"/>
              </w:rPr>
              <w:t>Pillsbury Winthrop Shaw Pittman LLP</w:t>
            </w: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Pillsbury Winthrop Shaw Pittman LLP</w:t>
            </w:r>
          </w:p>
        </w:tc>
        <w:tc>
          <w:tcPr>
            <w:tcW w:w="3820" w:type="dxa"/>
            <w:vAlign w:val="bottom"/>
          </w:tcPr>
          <w:p>
            <w:pPr>
              <w:jc w:val="center"/>
              <w:ind w:left="370"/>
              <w:spacing w:after="0"/>
              <w:rPr>
                <w:sz w:val="20"/>
                <w:szCs w:val="20"/>
                <w:color w:val="auto"/>
              </w:rPr>
            </w:pPr>
            <w:r>
              <w:rPr>
                <w:rFonts w:ascii="Arial" w:cs="Arial" w:eastAsia="Arial" w:hAnsi="Arial"/>
                <w:sz w:val="18"/>
                <w:szCs w:val="18"/>
                <w:color w:val="auto"/>
                <w:w w:val="89"/>
              </w:rPr>
              <w:t>Executive Vice President and General Counsel</w:t>
            </w:r>
          </w:p>
        </w:tc>
      </w:tr>
      <w:tr>
        <w:trPr>
          <w:trHeight w:val="216"/>
        </w:trPr>
        <w:tc>
          <w:tcPr>
            <w:tcW w:w="3220" w:type="dxa"/>
            <w:vAlign w:val="bottom"/>
          </w:tcPr>
          <w:p>
            <w:pPr>
              <w:jc w:val="center"/>
              <w:ind w:right="330"/>
              <w:spacing w:after="0"/>
              <w:rPr>
                <w:sz w:val="20"/>
                <w:szCs w:val="20"/>
                <w:color w:val="auto"/>
              </w:rPr>
            </w:pPr>
            <w:r>
              <w:rPr>
                <w:rFonts w:ascii="Arial" w:cs="Arial" w:eastAsia="Arial" w:hAnsi="Arial"/>
                <w:sz w:val="18"/>
                <w:szCs w:val="18"/>
                <w:color w:val="auto"/>
                <w:w w:val="89"/>
              </w:rPr>
              <w:t>Four Embarcadero Center, 22nd Flr.</w:t>
            </w: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2550 Hanover Street</w:t>
            </w:r>
          </w:p>
        </w:tc>
        <w:tc>
          <w:tcPr>
            <w:tcW w:w="3820" w:type="dxa"/>
            <w:vAlign w:val="bottom"/>
          </w:tcPr>
          <w:p>
            <w:pPr>
              <w:jc w:val="center"/>
              <w:ind w:left="370"/>
              <w:spacing w:after="0"/>
              <w:rPr>
                <w:sz w:val="20"/>
                <w:szCs w:val="20"/>
                <w:color w:val="auto"/>
              </w:rPr>
            </w:pPr>
            <w:r>
              <w:rPr>
                <w:rFonts w:ascii="Arial" w:cs="Arial" w:eastAsia="Arial" w:hAnsi="Arial"/>
                <w:sz w:val="18"/>
                <w:szCs w:val="18"/>
                <w:color w:val="auto"/>
                <w:w w:val="90"/>
              </w:rPr>
              <w:t>Veracyte, Inc.</w:t>
            </w:r>
          </w:p>
        </w:tc>
      </w:tr>
      <w:tr>
        <w:trPr>
          <w:trHeight w:val="216"/>
        </w:trPr>
        <w:tc>
          <w:tcPr>
            <w:tcW w:w="3220" w:type="dxa"/>
            <w:vAlign w:val="bottom"/>
          </w:tcPr>
          <w:p>
            <w:pPr>
              <w:jc w:val="center"/>
              <w:ind w:right="330"/>
              <w:spacing w:after="0"/>
              <w:rPr>
                <w:sz w:val="20"/>
                <w:szCs w:val="20"/>
                <w:color w:val="auto"/>
              </w:rPr>
            </w:pPr>
            <w:r>
              <w:rPr>
                <w:rFonts w:ascii="Arial" w:cs="Arial" w:eastAsia="Arial" w:hAnsi="Arial"/>
                <w:sz w:val="18"/>
                <w:szCs w:val="18"/>
                <w:color w:val="auto"/>
                <w:w w:val="90"/>
              </w:rPr>
              <w:t>San Francisco, California 94111</w:t>
            </w: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Palo Alto, California 94304</w:t>
            </w:r>
          </w:p>
        </w:tc>
        <w:tc>
          <w:tcPr>
            <w:tcW w:w="3820" w:type="dxa"/>
            <w:vAlign w:val="bottom"/>
          </w:tcPr>
          <w:p>
            <w:pPr>
              <w:jc w:val="center"/>
              <w:ind w:left="370"/>
              <w:spacing w:after="0"/>
              <w:rPr>
                <w:sz w:val="20"/>
                <w:szCs w:val="20"/>
                <w:color w:val="auto"/>
              </w:rPr>
            </w:pPr>
            <w:r>
              <w:rPr>
                <w:rFonts w:ascii="Arial" w:cs="Arial" w:eastAsia="Arial" w:hAnsi="Arial"/>
                <w:sz w:val="18"/>
                <w:szCs w:val="18"/>
                <w:color w:val="auto"/>
                <w:w w:val="90"/>
              </w:rPr>
              <w:t>7000 Shoreline Court, Suite 250</w:t>
            </w:r>
          </w:p>
        </w:tc>
      </w:tr>
      <w:tr>
        <w:trPr>
          <w:trHeight w:val="216"/>
        </w:trPr>
        <w:tc>
          <w:tcPr>
            <w:tcW w:w="3220" w:type="dxa"/>
            <w:vAlign w:val="bottom"/>
          </w:tcPr>
          <w:p>
            <w:pPr>
              <w:jc w:val="center"/>
              <w:ind w:right="330"/>
              <w:spacing w:after="0"/>
              <w:rPr>
                <w:sz w:val="20"/>
                <w:szCs w:val="20"/>
                <w:color w:val="auto"/>
              </w:rPr>
            </w:pPr>
            <w:r>
              <w:rPr>
                <w:rFonts w:ascii="Arial" w:cs="Arial" w:eastAsia="Arial" w:hAnsi="Arial"/>
                <w:sz w:val="18"/>
                <w:szCs w:val="18"/>
                <w:color w:val="auto"/>
                <w:w w:val="90"/>
              </w:rPr>
              <w:t>(415) 983-1000</w:t>
            </w: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(650) 233-4500</w:t>
            </w:r>
          </w:p>
        </w:tc>
        <w:tc>
          <w:tcPr>
            <w:tcW w:w="3820" w:type="dxa"/>
            <w:vAlign w:val="bottom"/>
          </w:tcPr>
          <w:p>
            <w:pPr>
              <w:jc w:val="center"/>
              <w:ind w:left="370"/>
              <w:spacing w:after="0"/>
              <w:rPr>
                <w:sz w:val="20"/>
                <w:szCs w:val="20"/>
                <w:color w:val="auto"/>
              </w:rPr>
            </w:pPr>
            <w:r>
              <w:rPr>
                <w:rFonts w:ascii="Arial" w:cs="Arial" w:eastAsia="Arial" w:hAnsi="Arial"/>
                <w:sz w:val="18"/>
                <w:szCs w:val="18"/>
                <w:color w:val="auto"/>
                <w:w w:val="90"/>
              </w:rPr>
              <w:t>South San Francisco, California 94080</w:t>
            </w:r>
          </w:p>
        </w:tc>
      </w:tr>
      <w:tr>
        <w:trPr>
          <w:trHeight w:val="216"/>
        </w:trPr>
        <w:tc>
          <w:tcPr>
            <w:tcW w:w="3220" w:type="dxa"/>
            <w:vAlign w:val="bottom"/>
          </w:tcPr>
          <w:p>
            <w:pPr>
              <w:jc w:val="center"/>
              <w:ind w:right="330"/>
              <w:spacing w:after="0"/>
              <w:rPr>
                <w:sz w:val="20"/>
                <w:szCs w:val="20"/>
                <w:color w:val="auto"/>
              </w:rPr>
            </w:pPr>
            <w:r>
              <w:rPr>
                <w:rFonts w:ascii="Arial" w:cs="Arial" w:eastAsia="Arial" w:hAnsi="Arial"/>
                <w:sz w:val="18"/>
                <w:szCs w:val="18"/>
                <w:color w:val="auto"/>
                <w:w w:val="92"/>
              </w:rPr>
              <w:t>(415) 983-1200 facsimile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(650) 233-4545 facsimile</w:t>
            </w:r>
          </w:p>
        </w:tc>
        <w:tc>
          <w:tcPr>
            <w:tcW w:w="3820" w:type="dxa"/>
            <w:vAlign w:val="bottom"/>
          </w:tcPr>
          <w:p>
            <w:pPr>
              <w:jc w:val="center"/>
              <w:ind w:left="370"/>
              <w:spacing w:after="0"/>
              <w:rPr>
                <w:sz w:val="20"/>
                <w:szCs w:val="20"/>
                <w:color w:val="auto"/>
              </w:rPr>
            </w:pPr>
            <w:r>
              <w:rPr>
                <w:rFonts w:ascii="Arial" w:cs="Arial" w:eastAsia="Arial" w:hAnsi="Arial"/>
                <w:sz w:val="18"/>
                <w:szCs w:val="18"/>
                <w:color w:val="auto"/>
                <w:w w:val="90"/>
              </w:rPr>
              <w:t>(650) 243-6300</w:t>
            </w:r>
          </w:p>
        </w:tc>
      </w:tr>
      <w:tr>
        <w:trPr>
          <w:trHeight w:val="230"/>
        </w:trPr>
        <w:tc>
          <w:tcPr>
            <w:tcW w:w="32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820" w:type="dxa"/>
            <w:vAlign w:val="bottom"/>
          </w:tcPr>
          <w:p>
            <w:pPr>
              <w:jc w:val="center"/>
              <w:ind w:left="350"/>
              <w:spacing w:after="0"/>
              <w:rPr>
                <w:sz w:val="20"/>
                <w:szCs w:val="20"/>
                <w:color w:val="auto"/>
              </w:rPr>
            </w:pPr>
            <w:r>
              <w:rPr>
                <w:rFonts w:ascii="Arial" w:cs="Arial" w:eastAsia="Arial" w:hAnsi="Arial"/>
                <w:sz w:val="18"/>
                <w:szCs w:val="18"/>
                <w:color w:val="auto"/>
                <w:w w:val="91"/>
              </w:rPr>
              <w:t>(650) 243-6301 facsimile</w:t>
            </w:r>
          </w:p>
        </w:tc>
      </w:tr>
    </w:tbl>
    <w:p>
      <w:pPr>
        <w:spacing w:after="0" w:line="202"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Arial" w:cs="Arial" w:eastAsia="Arial" w:hAnsi="Arial"/>
                <w:sz w:val="18"/>
                <w:szCs w:val="18"/>
                <w:color w:val="auto"/>
              </w:rPr>
              <w:t>Large accelerated filer o</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3"/>
          </w:tcPr>
          <w:p>
            <w:pPr>
              <w:ind w:left="1200"/>
              <w:spacing w:after="0"/>
              <w:rPr>
                <w:sz w:val="20"/>
                <w:szCs w:val="20"/>
                <w:color w:val="auto"/>
              </w:rPr>
            </w:pPr>
            <w:r>
              <w:rPr>
                <w:rFonts w:ascii="Arial" w:cs="Arial" w:eastAsia="Arial" w:hAnsi="Arial"/>
                <w:sz w:val="18"/>
                <w:szCs w:val="18"/>
                <w:color w:val="auto"/>
              </w:rPr>
              <w:t>Accelerated filer o</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tcPr>
          <w:p>
            <w:pPr>
              <w:ind w:left="520"/>
              <w:spacing w:after="0"/>
              <w:rPr>
                <w:sz w:val="20"/>
                <w:szCs w:val="20"/>
                <w:color w:val="auto"/>
              </w:rPr>
            </w:pPr>
            <w:r>
              <w:rPr>
                <w:rFonts w:ascii="Arial" w:cs="Arial" w:eastAsia="Arial" w:hAnsi="Arial"/>
                <w:sz w:val="18"/>
                <w:szCs w:val="18"/>
                <w:color w:val="auto"/>
              </w:rPr>
              <w:t>Non-accelerated filer x (Do not check if a smaller reporting company)</w:t>
            </w:r>
          </w:p>
        </w:tc>
        <w:tc>
          <w:tcPr>
            <w:tcW w:w="260" w:type="dxa"/>
            <w:vAlign w:val="bottom"/>
          </w:tcPr>
          <w:p>
            <w:pPr>
              <w:spacing w:after="0"/>
              <w:rPr>
                <w:sz w:val="20"/>
                <w:szCs w:val="20"/>
                <w:color w:val="auto"/>
              </w:rPr>
            </w:pPr>
          </w:p>
        </w:tc>
        <w:tc>
          <w:tcPr>
            <w:tcW w:w="3400" w:type="dxa"/>
            <w:vAlign w:val="bottom"/>
            <w:gridSpan w:val="3"/>
          </w:tcPr>
          <w:p>
            <w:pPr>
              <w:ind w:left="1200"/>
              <w:spacing w:after="0"/>
              <w:rPr>
                <w:sz w:val="20"/>
                <w:szCs w:val="20"/>
                <w:color w:val="auto"/>
              </w:rPr>
            </w:pPr>
            <w:r>
              <w:rPr>
                <w:rFonts w:ascii="Arial" w:cs="Arial" w:eastAsia="Arial" w:hAnsi="Arial"/>
                <w:sz w:val="18"/>
                <w:szCs w:val="18"/>
                <w:color w:val="auto"/>
                <w:w w:val="94"/>
              </w:rPr>
              <w:t>Smaller reporting company o</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300" w:type="dxa"/>
            <w:vAlign w:val="bottom"/>
            <w:gridSpan w:val="3"/>
          </w:tcPr>
          <w:p>
            <w:pPr>
              <w:jc w:val="right"/>
              <w:ind w:right="321"/>
              <w:spacing w:after="0"/>
              <w:rPr>
                <w:sz w:val="20"/>
                <w:szCs w:val="20"/>
                <w:color w:val="auto"/>
              </w:rPr>
            </w:pPr>
            <w:r>
              <w:rPr>
                <w:rFonts w:ascii="Arial" w:cs="Arial" w:eastAsia="Arial" w:hAnsi="Arial"/>
                <w:sz w:val="18"/>
                <w:szCs w:val="18"/>
                <w:b w:val="1"/>
                <w:bCs w:val="1"/>
                <w:color w:val="auto"/>
              </w:rPr>
              <w:t>CALCULATION OF REGISTRATION FEE</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52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Title of Securities</w:t>
            </w:r>
          </w:p>
        </w:tc>
        <w:tc>
          <w:tcPr>
            <w:tcW w:w="2540" w:type="dxa"/>
            <w:vAlign w:val="bottom"/>
            <w:vMerge w:val="restart"/>
          </w:tcPr>
          <w:p>
            <w:pPr>
              <w:jc w:val="center"/>
              <w:ind w:left="659"/>
              <w:spacing w:after="0"/>
              <w:rPr>
                <w:sz w:val="20"/>
                <w:szCs w:val="20"/>
                <w:color w:val="auto"/>
              </w:rPr>
            </w:pPr>
            <w:r>
              <w:rPr>
                <w:rFonts w:ascii="Arial" w:cs="Arial" w:eastAsia="Arial" w:hAnsi="Arial"/>
                <w:sz w:val="14"/>
                <w:szCs w:val="14"/>
                <w:b w:val="1"/>
                <w:bCs w:val="1"/>
                <w:color w:val="auto"/>
                <w:w w:val="91"/>
              </w:rPr>
              <w:t>Amount To</w:t>
            </w:r>
          </w:p>
        </w:tc>
        <w:tc>
          <w:tcPr>
            <w:tcW w:w="260" w:type="dxa"/>
            <w:vAlign w:val="bottom"/>
          </w:tcPr>
          <w:p>
            <w:pPr>
              <w:spacing w:after="0"/>
              <w:rPr>
                <w:sz w:val="9"/>
                <w:szCs w:val="9"/>
                <w:color w:val="auto"/>
              </w:rPr>
            </w:pPr>
          </w:p>
        </w:tc>
        <w:tc>
          <w:tcPr>
            <w:tcW w:w="1500" w:type="dxa"/>
            <w:vAlign w:val="bottom"/>
          </w:tcPr>
          <w:p>
            <w:pPr>
              <w:jc w:val="center"/>
              <w:ind w:right="181"/>
              <w:spacing w:after="0" w:line="106" w:lineRule="exact"/>
              <w:rPr>
                <w:sz w:val="20"/>
                <w:szCs w:val="20"/>
                <w:color w:val="auto"/>
              </w:rPr>
            </w:pPr>
            <w:r>
              <w:rPr>
                <w:rFonts w:ascii="Arial" w:cs="Arial" w:eastAsia="Arial" w:hAnsi="Arial"/>
                <w:sz w:val="12"/>
                <w:szCs w:val="12"/>
                <w:b w:val="1"/>
                <w:bCs w:val="1"/>
                <w:color w:val="auto"/>
              </w:rPr>
              <w:t>Proposed</w:t>
            </w:r>
          </w:p>
        </w:tc>
        <w:tc>
          <w:tcPr>
            <w:tcW w:w="260" w:type="dxa"/>
            <w:vAlign w:val="bottom"/>
          </w:tcPr>
          <w:p>
            <w:pPr>
              <w:spacing w:after="0"/>
              <w:rPr>
                <w:sz w:val="9"/>
                <w:szCs w:val="9"/>
                <w:color w:val="auto"/>
              </w:rPr>
            </w:pPr>
          </w:p>
        </w:tc>
        <w:tc>
          <w:tcPr>
            <w:tcW w:w="1640" w:type="dxa"/>
            <w:vAlign w:val="bottom"/>
          </w:tcPr>
          <w:p>
            <w:pPr>
              <w:jc w:val="center"/>
              <w:ind w:right="206"/>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Pr>
          <w:p>
            <w:pPr>
              <w:spacing w:after="0"/>
              <w:rPr>
                <w:sz w:val="9"/>
                <w:szCs w:val="9"/>
                <w:color w:val="auto"/>
              </w:rPr>
            </w:pPr>
          </w:p>
        </w:tc>
        <w:tc>
          <w:tcPr>
            <w:tcW w:w="140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7"/>
              </w:rPr>
              <w:t>Maximum Offering</w:t>
            </w:r>
          </w:p>
        </w:tc>
        <w:tc>
          <w:tcPr>
            <w:tcW w:w="260" w:type="dxa"/>
            <w:vAlign w:val="bottom"/>
          </w:tcPr>
          <w:p>
            <w:pPr>
              <w:spacing w:after="0"/>
              <w:rPr>
                <w:sz w:val="12"/>
                <w:szCs w:val="12"/>
                <w:color w:val="auto"/>
              </w:rPr>
            </w:pPr>
          </w:p>
        </w:tc>
        <w:tc>
          <w:tcPr>
            <w:tcW w:w="1640" w:type="dxa"/>
            <w:vAlign w:val="bottom"/>
          </w:tcPr>
          <w:p>
            <w:pPr>
              <w:jc w:val="center"/>
              <w:ind w:right="206"/>
              <w:spacing w:after="0" w:line="149" w:lineRule="exact"/>
              <w:rPr>
                <w:sz w:val="20"/>
                <w:szCs w:val="20"/>
                <w:color w:val="auto"/>
              </w:rPr>
            </w:pPr>
            <w:r>
              <w:rPr>
                <w:rFonts w:ascii="Arial" w:cs="Arial" w:eastAsia="Arial" w:hAnsi="Arial"/>
                <w:sz w:val="14"/>
                <w:szCs w:val="14"/>
                <w:b w:val="1"/>
                <w:bCs w:val="1"/>
                <w:color w:val="auto"/>
                <w:w w:val="92"/>
              </w:rPr>
              <w:t>Maximum Aggregate</w:t>
            </w:r>
          </w:p>
        </w:tc>
        <w:tc>
          <w:tcPr>
            <w:tcW w:w="2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To Be Registered</w:t>
            </w:r>
          </w:p>
        </w:tc>
        <w:tc>
          <w:tcPr>
            <w:tcW w:w="2540" w:type="dxa"/>
            <w:vAlign w:val="bottom"/>
            <w:tcBorders>
              <w:bottom w:val="single" w:sz="8" w:color="auto"/>
            </w:tcBorders>
          </w:tcPr>
          <w:p>
            <w:pPr>
              <w:jc w:val="center"/>
              <w:ind w:left="659"/>
              <w:spacing w:after="0"/>
              <w:rPr>
                <w:sz w:val="20"/>
                <w:szCs w:val="20"/>
                <w:color w:val="auto"/>
              </w:rPr>
            </w:pPr>
            <w:r>
              <w:rPr>
                <w:rFonts w:ascii="Arial" w:cs="Arial" w:eastAsia="Arial" w:hAnsi="Arial"/>
                <w:sz w:val="14"/>
                <w:szCs w:val="14"/>
                <w:b w:val="1"/>
                <w:bCs w:val="1"/>
                <w:color w:val="auto"/>
                <w:w w:val="89"/>
              </w:rPr>
              <w:t>Be Registered(1)</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2"/>
              </w:rPr>
              <w:t>Price Per Share(2)</w:t>
            </w: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94"/>
              </w:rPr>
              <w:t>Offering Price</w:t>
            </w:r>
          </w:p>
        </w:tc>
        <w:tc>
          <w:tcPr>
            <w:tcW w:w="2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Common stock, par value $0.001 per share</w:t>
            </w:r>
          </w:p>
        </w:tc>
        <w:tc>
          <w:tcPr>
            <w:tcW w:w="2540" w:type="dxa"/>
            <w:vAlign w:val="bottom"/>
          </w:tcPr>
          <w:p>
            <w:pPr>
              <w:jc w:val="right"/>
              <w:ind w:right="79"/>
              <w:spacing w:after="0"/>
              <w:rPr>
                <w:sz w:val="20"/>
                <w:szCs w:val="20"/>
                <w:color w:val="auto"/>
              </w:rPr>
            </w:pPr>
            <w:r>
              <w:rPr>
                <w:rFonts w:ascii="Arial" w:cs="Arial" w:eastAsia="Arial" w:hAnsi="Arial"/>
                <w:sz w:val="18"/>
                <w:szCs w:val="18"/>
                <w:color w:val="auto"/>
              </w:rPr>
              <w:t>1,746,673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1"/>
              <w:spacing w:after="0"/>
              <w:rPr>
                <w:sz w:val="20"/>
                <w:szCs w:val="20"/>
                <w:color w:val="auto"/>
              </w:rPr>
            </w:pPr>
            <w:r>
              <w:rPr>
                <w:rFonts w:ascii="Arial" w:cs="Arial" w:eastAsia="Arial" w:hAnsi="Arial"/>
                <w:sz w:val="18"/>
                <w:szCs w:val="18"/>
                <w:color w:val="auto"/>
              </w:rPr>
              <w:t>6.705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6"/>
              <w:spacing w:after="0"/>
              <w:rPr>
                <w:sz w:val="20"/>
                <w:szCs w:val="20"/>
                <w:color w:val="auto"/>
              </w:rPr>
            </w:pPr>
            <w:r>
              <w:rPr>
                <w:rFonts w:ascii="Arial" w:cs="Arial" w:eastAsia="Arial" w:hAnsi="Arial"/>
                <w:sz w:val="18"/>
                <w:szCs w:val="18"/>
                <w:color w:val="auto"/>
              </w:rPr>
              <w:t>11,711,442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40" w:right="20" w:hanging="532"/>
        <w:spacing w:after="0" w:line="25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of the Securities Act of 1933 (the “Securities Act”), this registration statement also covers any additional securities that may be offered or become issuable under the 2013 Stock Incentive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540" w:right="40" w:hanging="532"/>
        <w:spacing w:after="0" w:line="290" w:lineRule="auto"/>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Rules 457(h) and 457(c) under the Securities Act, solely for the purposes of calculating the registration fee, based on the average of the high and low prices of the Registrant’s Common Stock as reported on The Nasdaq Capital Market on March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180340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The Registration Statement shall become effective upon filing in accordance with Rule 462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45" w:right="239" w:bottom="194"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Instruction E Information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This Registration Statement is being filed for the purpose of increasing the number of securities of the same class as other securities for which a Registration Statement on Form S-8 relating to the same employee benefit plan is effective. The Registrant’s Registration Statement on Form S-8 filed with the Securities and Exchange Commission (the “Commission”) on October 30, 2013 (File No. 333-191992), excluding reports that the Registrant filed with the Commission that were incorporated into the Form S-8 Registration Statement in order to maintain current information about the Registrant, is hereby incorporated by reference into this Registration Statement pursuant to General Instruction E of Form S-8.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documents filed by the Registrant with the Securities and Exchange Commission (the “Commission”) are hereby incorporated by reference in this Registration Statement:</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12, 2015, March 5, 2015 and March 13, 2015.</w:t>
      </w:r>
    </w:p>
    <w:p>
      <w:pPr>
        <w:spacing w:after="0" w:line="225" w:lineRule="exact"/>
        <w:rPr>
          <w:rFonts w:ascii="Arial" w:cs="Arial" w:eastAsia="Arial" w:hAnsi="Arial"/>
          <w:sz w:val="18"/>
          <w:szCs w:val="18"/>
          <w:color w:val="auto"/>
        </w:rPr>
      </w:pPr>
    </w:p>
    <w:p>
      <w:pPr>
        <w:ind w:left="980" w:right="400" w:hanging="324"/>
        <w:spacing w:after="0" w:line="264" w:lineRule="auto"/>
        <w:tabs>
          <w:tab w:leader="none" w:pos="99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Registrant’s registration statement on Form 8-A, filed on October 28, 2013 pursuant to Section 12(b) of the Securities Exchange Act of 1934 (the “Exchange Act”), including any amendment or report filed for the purpose of updating such description.</w:t>
      </w:r>
    </w:p>
    <w:p>
      <w:pPr>
        <w:spacing w:after="0" w:line="181" w:lineRule="exact"/>
        <w:rPr>
          <w:sz w:val="20"/>
          <w:szCs w:val="20"/>
          <w:color w:val="auto"/>
        </w:rPr>
      </w:pPr>
    </w:p>
    <w:p>
      <w:pPr>
        <w:ind w:right="20" w:firstLine="454"/>
        <w:spacing w:after="0" w:line="271" w:lineRule="auto"/>
        <w:rPr>
          <w:sz w:val="20"/>
          <w:szCs w:val="20"/>
          <w:color w:val="auto"/>
        </w:rPr>
      </w:pPr>
      <w:r>
        <w:rPr>
          <w:rFonts w:ascii="Arial" w:cs="Arial" w:eastAsia="Arial" w:hAnsi="Arial"/>
          <w:sz w:val="17"/>
          <w:szCs w:val="17"/>
          <w:color w:val="auto"/>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tcPr>
          <w:p>
            <w:pPr>
              <w:ind w:left="374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5.1</w:t>
            </w:r>
          </w:p>
        </w:tc>
        <w:tc>
          <w:tcPr>
            <w:tcW w:w="260" w:type="dxa"/>
            <w:vAlign w:val="bottom"/>
          </w:tcPr>
          <w:p>
            <w:pPr>
              <w:spacing w:after="0"/>
              <w:rPr>
                <w:sz w:val="16"/>
                <w:szCs w:val="16"/>
                <w:color w:val="auto"/>
              </w:rPr>
            </w:pPr>
          </w:p>
        </w:tc>
        <w:tc>
          <w:tcPr>
            <w:tcW w:w="9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Opinion of Pillsbury Winthrop Shaw Pittman LLP.</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Power of Attorney (contained on signature page hereto).</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700" w:hanging="25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225" w:lineRule="exact"/>
        <w:rPr>
          <w:sz w:val="20"/>
          <w:szCs w:val="20"/>
          <w:color w:val="auto"/>
        </w:rPr>
      </w:pPr>
    </w:p>
    <w:p>
      <w:pPr>
        <w:ind w:right="160" w:firstLine="449"/>
        <w:spacing w:after="0" w:line="293" w:lineRule="auto"/>
        <w:tabs>
          <w:tab w:leader="none" w:pos="703"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00" w:firstLine="449"/>
        <w:spacing w:after="0" w:line="277" w:lineRule="auto"/>
        <w:tabs>
          <w:tab w:leader="none" w:pos="7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provided, however, 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ectPr>
          <w:pgSz w:w="11900" w:h="16838" w:orient="portrait"/>
          <w:cols w:equalWidth="0" w:num="1">
            <w:col w:w="11420"/>
          </w:cols>
          <w:pgMar w:left="240" w:top="729" w:right="239" w:bottom="0" w:gutter="0" w:footer="0" w:header="0"/>
        </w:sectPr>
      </w:pPr>
    </w:p>
    <w:bookmarkStart w:id="2" w:name="page3"/>
    <w:bookmarkEnd w:id="2"/>
    <w:p>
      <w:pPr>
        <w:ind w:right="540" w:firstLine="449"/>
        <w:spacing w:after="0" w:line="264" w:lineRule="auto"/>
        <w:tabs>
          <w:tab w:leader="none" w:pos="6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60" w:firstLine="458"/>
        <w:spacing w:after="0" w:line="277" w:lineRule="auto"/>
        <w:tabs>
          <w:tab w:leader="none" w:pos="70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60" w:firstLine="449"/>
        <w:spacing w:after="0" w:line="302" w:lineRule="auto"/>
        <w:tabs>
          <w:tab w:leader="none" w:pos="69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49"/>
        <w:spacing w:after="0" w:line="291" w:lineRule="auto"/>
        <w:tabs>
          <w:tab w:leader="none" w:pos="686"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2015.</w:t>
      </w:r>
    </w:p>
    <w:p>
      <w:pPr>
        <w:spacing w:after="0" w:line="89"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VERACYTE,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Bonnie H. Anderson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Bonnie H. Anderson and Shelly D. Guyer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6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4"/>
                <w:szCs w:val="14"/>
                <w:color w:val="auto"/>
              </w:rPr>
            </w:pPr>
          </w:p>
        </w:tc>
        <w:tc>
          <w:tcPr>
            <w:tcW w:w="6240" w:type="dxa"/>
            <w:vAlign w:val="bottom"/>
            <w:tcBorders>
              <w:bottom w:val="single" w:sz="8" w:color="auto"/>
            </w:tcBorders>
          </w:tcPr>
          <w:p>
            <w:pPr>
              <w:ind w:left="29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26"/>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Bonnie H. Anderson</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President and Chief Executive Officer</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920" w:type="dxa"/>
            <w:vAlign w:val="bottom"/>
          </w:tcPr>
          <w:p>
            <w:pPr>
              <w:jc w:val="center"/>
              <w:spacing w:after="0"/>
              <w:rPr>
                <w:sz w:val="20"/>
                <w:szCs w:val="20"/>
                <w:color w:val="auto"/>
              </w:rPr>
            </w:pPr>
            <w:r>
              <w:rPr>
                <w:rFonts w:ascii="Arial" w:cs="Arial" w:eastAsia="Arial" w:hAnsi="Arial"/>
                <w:sz w:val="18"/>
                <w:szCs w:val="18"/>
                <w:color w:val="auto"/>
                <w:w w:val="91"/>
              </w:rPr>
              <w:t>Bonnie H. Anderson</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(Principal Executive Officer) and Director</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Shelly D. Guyer</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Chief Financial Officer (Principal</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920" w:type="dxa"/>
            <w:vAlign w:val="bottom"/>
          </w:tcPr>
          <w:p>
            <w:pPr>
              <w:jc w:val="center"/>
              <w:spacing w:after="0"/>
              <w:rPr>
                <w:sz w:val="20"/>
                <w:szCs w:val="20"/>
                <w:color w:val="auto"/>
              </w:rPr>
            </w:pPr>
            <w:r>
              <w:rPr>
                <w:rFonts w:ascii="Arial" w:cs="Arial" w:eastAsia="Arial" w:hAnsi="Arial"/>
                <w:sz w:val="18"/>
                <w:szCs w:val="18"/>
                <w:color w:val="auto"/>
                <w:w w:val="91"/>
              </w:rPr>
              <w:t>Shelly D. Guyer</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Financial Officer)</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Duncan T. Powell</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Senior Vice President, Finance (Principal</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920" w:type="dxa"/>
            <w:vAlign w:val="bottom"/>
          </w:tcPr>
          <w:p>
            <w:pPr>
              <w:jc w:val="center"/>
              <w:spacing w:after="0"/>
              <w:rPr>
                <w:sz w:val="20"/>
                <w:szCs w:val="20"/>
                <w:color w:val="auto"/>
              </w:rPr>
            </w:pPr>
            <w:r>
              <w:rPr>
                <w:rFonts w:ascii="Arial" w:cs="Arial" w:eastAsia="Arial" w:hAnsi="Arial"/>
                <w:sz w:val="18"/>
                <w:szCs w:val="18"/>
                <w:color w:val="auto"/>
                <w:w w:val="90"/>
              </w:rPr>
              <w:t>Duncan T. Powell</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Accounting Officer)</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G. Atwood</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920" w:type="dxa"/>
            <w:vAlign w:val="bottom"/>
          </w:tcPr>
          <w:p>
            <w:pPr>
              <w:jc w:val="center"/>
              <w:spacing w:after="0"/>
              <w:rPr>
                <w:sz w:val="20"/>
                <w:szCs w:val="20"/>
                <w:color w:val="auto"/>
              </w:rPr>
            </w:pPr>
            <w:r>
              <w:rPr>
                <w:rFonts w:ascii="Arial" w:cs="Arial" w:eastAsia="Arial" w:hAnsi="Arial"/>
                <w:sz w:val="18"/>
                <w:szCs w:val="18"/>
                <w:color w:val="auto"/>
                <w:w w:val="94"/>
              </w:rPr>
              <w:t>Brian G. Atwood</w:t>
            </w:r>
          </w:p>
        </w:tc>
        <w:tc>
          <w:tcPr>
            <w:tcW w:w="2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John L. Bishop</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920" w:type="dxa"/>
            <w:vAlign w:val="bottom"/>
          </w:tcPr>
          <w:p>
            <w:pPr>
              <w:jc w:val="center"/>
              <w:spacing w:after="0"/>
              <w:rPr>
                <w:sz w:val="20"/>
                <w:szCs w:val="20"/>
                <w:color w:val="auto"/>
              </w:rPr>
            </w:pPr>
            <w:r>
              <w:rPr>
                <w:rFonts w:ascii="Arial" w:cs="Arial" w:eastAsia="Arial" w:hAnsi="Arial"/>
                <w:sz w:val="18"/>
                <w:szCs w:val="18"/>
                <w:color w:val="auto"/>
                <w:w w:val="90"/>
              </w:rPr>
              <w:t>John L. Bishop</w:t>
            </w:r>
          </w:p>
        </w:tc>
        <w:tc>
          <w:tcPr>
            <w:tcW w:w="2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18"/>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Brook H. Byers</w:t>
            </w: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920" w:type="dxa"/>
            <w:vAlign w:val="bottom"/>
          </w:tcPr>
          <w:p>
            <w:pPr>
              <w:jc w:val="center"/>
              <w:spacing w:after="0"/>
              <w:rPr>
                <w:sz w:val="20"/>
                <w:szCs w:val="20"/>
                <w:color w:val="auto"/>
              </w:rPr>
            </w:pPr>
            <w:r>
              <w:rPr>
                <w:rFonts w:ascii="Arial" w:cs="Arial" w:eastAsia="Arial" w:hAnsi="Arial"/>
                <w:sz w:val="18"/>
                <w:szCs w:val="18"/>
                <w:color w:val="auto"/>
                <w:w w:val="92"/>
              </w:rPr>
              <w:t>Brook H. Byers</w:t>
            </w:r>
          </w:p>
        </w:tc>
        <w:tc>
          <w:tcPr>
            <w:tcW w:w="24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1420"/>
          </w:cols>
          <w:pgMar w:left="240" w:top="34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7"/>
              </w:rPr>
              <w:t>/s/ Fred E. Cohen</w:t>
            </w:r>
          </w:p>
        </w:tc>
        <w:tc>
          <w:tcPr>
            <w:tcW w:w="30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0"/>
                <w:szCs w:val="20"/>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3"/>
          </w:tcPr>
          <w:p>
            <w:pPr>
              <w:jc w:val="center"/>
              <w:ind w:right="250"/>
              <w:spacing w:after="0"/>
              <w:rPr>
                <w:sz w:val="20"/>
                <w:szCs w:val="20"/>
                <w:color w:val="auto"/>
              </w:rPr>
            </w:pPr>
            <w:r>
              <w:rPr>
                <w:rFonts w:ascii="Arial" w:cs="Arial" w:eastAsia="Arial" w:hAnsi="Arial"/>
                <w:sz w:val="18"/>
                <w:szCs w:val="18"/>
                <w:color w:val="auto"/>
                <w:w w:val="92"/>
              </w:rPr>
              <w:t>Fred E. Cohen, M.D., D.Phil.</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90"/>
              </w:rPr>
              <w:t>/s/ Karin Eastham</w:t>
            </w:r>
          </w:p>
        </w:tc>
        <w:tc>
          <w:tcPr>
            <w:tcW w:w="30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4"/>
                <w:szCs w:val="24"/>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3"/>
          </w:tcPr>
          <w:p>
            <w:pPr>
              <w:jc w:val="center"/>
              <w:ind w:right="250"/>
              <w:spacing w:after="0"/>
              <w:rPr>
                <w:sz w:val="20"/>
                <w:szCs w:val="20"/>
                <w:color w:val="auto"/>
              </w:rPr>
            </w:pPr>
            <w:r>
              <w:rPr>
                <w:rFonts w:ascii="Arial" w:cs="Arial" w:eastAsia="Arial" w:hAnsi="Arial"/>
                <w:sz w:val="18"/>
                <w:szCs w:val="18"/>
                <w:color w:val="auto"/>
                <w:w w:val="91"/>
              </w:rPr>
              <w:t>Karin Eastham</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9"/>
              </w:rPr>
              <w:t>/s/ Robert S. Epstein</w:t>
            </w:r>
          </w:p>
        </w:tc>
        <w:tc>
          <w:tcPr>
            <w:tcW w:w="30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4"/>
                <w:szCs w:val="24"/>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3"/>
          </w:tcPr>
          <w:p>
            <w:pPr>
              <w:jc w:val="center"/>
              <w:ind w:right="250"/>
              <w:spacing w:after="0"/>
              <w:rPr>
                <w:sz w:val="20"/>
                <w:szCs w:val="20"/>
                <w:color w:val="auto"/>
              </w:rPr>
            </w:pPr>
            <w:r>
              <w:rPr>
                <w:rFonts w:ascii="Arial" w:cs="Arial" w:eastAsia="Arial" w:hAnsi="Arial"/>
                <w:sz w:val="18"/>
                <w:szCs w:val="18"/>
                <w:color w:val="auto"/>
                <w:w w:val="91"/>
              </w:rPr>
              <w:t>Robert S. Epstein, M.D., M.S.</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Pr>
          <w:p>
            <w:pPr>
              <w:jc w:val="center"/>
              <w:ind w:left="2190"/>
              <w:spacing w:after="0"/>
              <w:rPr>
                <w:sz w:val="20"/>
                <w:szCs w:val="20"/>
                <w:color w:val="auto"/>
              </w:rPr>
            </w:pPr>
            <w:r>
              <w:rPr>
                <w:rFonts w:ascii="Arial" w:cs="Arial" w:eastAsia="Arial" w:hAnsi="Arial"/>
                <w:sz w:val="18"/>
                <w:szCs w:val="18"/>
                <w:color w:val="auto"/>
                <w:w w:val="99"/>
              </w:rPr>
              <w:t>II-4</w:t>
            </w: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1190"/>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24"/>
                <w:szCs w:val="24"/>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24"/>
                <w:szCs w:val="24"/>
                <w:color w:val="auto"/>
              </w:rPr>
            </w:pPr>
          </w:p>
        </w:tc>
      </w:tr>
      <w:tr>
        <w:trPr>
          <w:trHeight w:val="426"/>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8"/>
              </w:rPr>
              <w:t>/s/ Evan Jones</w:t>
            </w:r>
          </w:p>
        </w:tc>
        <w:tc>
          <w:tcPr>
            <w:tcW w:w="30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4"/>
                <w:szCs w:val="24"/>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3"/>
          </w:tcPr>
          <w:p>
            <w:pPr>
              <w:jc w:val="center"/>
              <w:ind w:right="250"/>
              <w:spacing w:after="0"/>
              <w:rPr>
                <w:sz w:val="20"/>
                <w:szCs w:val="20"/>
                <w:color w:val="auto"/>
              </w:rPr>
            </w:pPr>
            <w:r>
              <w:rPr>
                <w:rFonts w:ascii="Arial" w:cs="Arial" w:eastAsia="Arial" w:hAnsi="Arial"/>
                <w:sz w:val="18"/>
                <w:szCs w:val="18"/>
                <w:color w:val="auto"/>
                <w:w w:val="85"/>
              </w:rPr>
              <w:t>Evan Jones</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8"/>
                <w:szCs w:val="18"/>
                <w:color w:val="auto"/>
                <w:w w:val="87"/>
              </w:rPr>
              <w:t>/s/ Jesse I. Treu</w:t>
            </w:r>
          </w:p>
        </w:tc>
        <w:tc>
          <w:tcPr>
            <w:tcW w:w="306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420" w:type="dxa"/>
            <w:vAlign w:val="bottom"/>
          </w:tcPr>
          <w:p>
            <w:pPr>
              <w:spacing w:after="0"/>
              <w:rPr>
                <w:sz w:val="24"/>
                <w:szCs w:val="24"/>
                <w:color w:val="auto"/>
              </w:rPr>
            </w:pPr>
          </w:p>
        </w:tc>
        <w:tc>
          <w:tcPr>
            <w:tcW w:w="2060" w:type="dxa"/>
            <w:vAlign w:val="bottom"/>
            <w:gridSpan w:val="3"/>
          </w:tcPr>
          <w:p>
            <w:pPr>
              <w:ind w:left="240"/>
              <w:spacing w:after="0"/>
              <w:rPr>
                <w:sz w:val="20"/>
                <w:szCs w:val="20"/>
                <w:color w:val="auto"/>
              </w:rPr>
            </w:pPr>
            <w:r>
              <w:rPr>
                <w:rFonts w:ascii="Arial" w:cs="Arial" w:eastAsia="Arial" w:hAnsi="Arial"/>
                <w:sz w:val="18"/>
                <w:szCs w:val="18"/>
                <w:color w:val="auto"/>
              </w:rPr>
              <w:t>March 30, 2015</w:t>
            </w:r>
          </w:p>
        </w:tc>
      </w:tr>
      <w:tr>
        <w:trPr>
          <w:trHeight w:val="224"/>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3"/>
          </w:tcPr>
          <w:p>
            <w:pPr>
              <w:jc w:val="center"/>
              <w:ind w:right="250"/>
              <w:spacing w:after="0"/>
              <w:rPr>
                <w:sz w:val="20"/>
                <w:szCs w:val="20"/>
                <w:color w:val="auto"/>
              </w:rPr>
            </w:pPr>
            <w:r>
              <w:rPr>
                <w:rFonts w:ascii="Arial" w:cs="Arial" w:eastAsia="Arial" w:hAnsi="Arial"/>
                <w:sz w:val="18"/>
                <w:szCs w:val="18"/>
                <w:color w:val="auto"/>
                <w:w w:val="87"/>
              </w:rPr>
              <w:t>Jesse I. Treu, Ph.D.</w:t>
            </w:r>
          </w:p>
        </w:tc>
        <w:tc>
          <w:tcPr>
            <w:tcW w:w="2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Pr>
          <w:p>
            <w:pPr>
              <w:jc w:val="center"/>
              <w:ind w:left="2190"/>
              <w:spacing w:after="0"/>
              <w:rPr>
                <w:sz w:val="20"/>
                <w:szCs w:val="20"/>
                <w:color w:val="auto"/>
              </w:rPr>
            </w:pPr>
            <w:r>
              <w:rPr>
                <w:rFonts w:ascii="Arial" w:cs="Arial" w:eastAsia="Arial" w:hAnsi="Arial"/>
                <w:sz w:val="18"/>
                <w:szCs w:val="18"/>
                <w:color w:val="auto"/>
                <w:w w:val="99"/>
              </w:rPr>
              <w:t>II-5</w:t>
            </w: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24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40" w:type="dxa"/>
            <w:vAlign w:val="bottom"/>
            <w:gridSpan w:val="2"/>
          </w:tcPr>
          <w:p>
            <w:pPr>
              <w:jc w:val="center"/>
              <w:ind w:right="1048"/>
              <w:spacing w:after="0"/>
              <w:rPr>
                <w:sz w:val="20"/>
                <w:szCs w:val="20"/>
                <w:color w:val="auto"/>
              </w:rPr>
            </w:pPr>
            <w:r>
              <w:rPr>
                <w:rFonts w:ascii="Arial" w:cs="Arial" w:eastAsia="Arial" w:hAnsi="Arial"/>
                <w:sz w:val="18"/>
                <w:szCs w:val="18"/>
                <w:b w:val="1"/>
                <w:bCs w:val="1"/>
                <w:color w:val="auto"/>
              </w:rPr>
              <w:t>INDEX TO EXHIBITS</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2920" w:type="dxa"/>
            <w:vAlign w:val="bottom"/>
            <w:gridSpan w:val="5"/>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420" w:type="dxa"/>
            <w:vAlign w:val="bottom"/>
          </w:tcPr>
          <w:p>
            <w:pPr>
              <w:ind w:left="14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5.1</w:t>
            </w:r>
          </w:p>
        </w:tc>
        <w:tc>
          <w:tcPr>
            <w:tcW w:w="9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4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Opinion of Pillsbury Winthrop Shaw Pittman LLP.</w:t>
            </w:r>
          </w:p>
        </w:tc>
        <w:tc>
          <w:tcPr>
            <w:tcW w:w="34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23.1</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60" w:type="dxa"/>
            <w:vAlign w:val="bottom"/>
            <w:gridSpan w:val="4"/>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23.2</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60" w:type="dxa"/>
            <w:vAlign w:val="bottom"/>
            <w:gridSpan w:val="4"/>
          </w:tcPr>
          <w:p>
            <w:pPr>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23.3</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60" w:type="dxa"/>
            <w:vAlign w:val="bottom"/>
            <w:gridSpan w:val="4"/>
          </w:tcPr>
          <w:p>
            <w:pPr>
              <w:spacing w:after="0"/>
              <w:rPr>
                <w:sz w:val="20"/>
                <w:szCs w:val="20"/>
                <w:color w:val="auto"/>
              </w:rPr>
            </w:pPr>
            <w:r>
              <w:rPr>
                <w:rFonts w:ascii="Arial" w:cs="Arial" w:eastAsia="Arial" w:hAnsi="Arial"/>
                <w:sz w:val="18"/>
                <w:szCs w:val="18"/>
                <w:color w:val="auto"/>
              </w:rPr>
              <w:t>Consent of Pillsbury Winthrop Shaw Pittman LLP (included in Exhibit 5.1).</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0" w:type="dxa"/>
            <w:vAlign w:val="bottom"/>
            <w:gridSpan w:val="2"/>
          </w:tcPr>
          <w:p>
            <w:pPr>
              <w:spacing w:after="0"/>
              <w:rPr>
                <w:sz w:val="20"/>
                <w:szCs w:val="20"/>
                <w:color w:val="auto"/>
              </w:rPr>
            </w:pPr>
            <w:r>
              <w:rPr>
                <w:rFonts w:ascii="Arial" w:cs="Arial" w:eastAsia="Arial" w:hAnsi="Arial"/>
                <w:sz w:val="18"/>
                <w:szCs w:val="18"/>
                <w:color w:val="auto"/>
                <w:w w:val="91"/>
              </w:rPr>
              <w:t>24.1</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w w:val="98"/>
              </w:rPr>
              <w:t>Power of Attorney (contained on signature page hereto).</w:t>
            </w: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-3122930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-3122930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-1450975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-1450975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Embarcadero Center, 22nd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94111-5998</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March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 94080</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are acting as counsel for Veracyte, Inc., a Delaware corporation (the “Company”), in connection with the Registration Statement on Form S-8 (the “Registration Statement”) relating to the registration under the Securities Act of 1933 (the “Act”) of 1,746,673 shares of the Company’s common stock, par value $0.001 per share (the “Shares”), issuable pursuant to the Company’s 2013 Stock Incentive Plan (the “Plan”).</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the opinions expressed in this letter. Based upon the foregoing, we are of the opinion that the Shares have been duly authorized and, when issued and sold in accordance with the Plan, will be validly issued, fully paid and nonassessable. The opinions set forth in this letter are limited to the General Corporation Law of the State of Delaware, as in effect on the date hereof.</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In giving this consent, we do not thereby admit that we are within the category of persons whose consent is required under Section 7 of the Act or the rules and regulations of the Securities and Exchange Commission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(Form S-8) pertaining to the 2013 Stock Incentive Plan of Veracyte, Inc. of our report dated March 24, 2015, with respect to the financial statements of Veracyte, Inc. included in its Annual Report (Form 10-K) for the year ended December 31, 2014 filed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Veracyte, Inc. of our report dated March 20, 2014, relating to the financial statements of Veracyte, Inc., for the year ended December 31, 2013 which appears in Veracyte Inc.’s Annual Report on Form 10-K filed on March 25,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2019-12-08T19:34:46Z</dcterms:created>
  <dcterms:modified xsi:type="dcterms:W3CDTF">2019-12-08T19:34:46Z</dcterms:modified>
</cp:coreProperties>
</file>