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5308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Hall Christopher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00" w:type="dxa"/>
            <w:vAlign w:val="bottom"/>
            <w:tcBorders>
              <w:top w:val="single" w:sz="8" w:color="0000EE"/>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10/29/2013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VERACYTE,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250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98"/>
        </w:trPr>
        <w:tc>
          <w:tcPr>
            <w:tcW w:w="1080" w:type="dxa"/>
            <w:vAlign w:val="bottom"/>
          </w:tcPr>
          <w:p>
            <w:pPr>
              <w:ind w:left="40"/>
              <w:spacing w:after="0"/>
              <w:rPr>
                <w:sz w:val="20"/>
                <w:szCs w:val="20"/>
                <w:color w:val="auto"/>
              </w:rPr>
            </w:pPr>
            <w:r>
              <w:rPr>
                <w:rFonts w:ascii="Arial" w:cs="Arial" w:eastAsia="Arial" w:hAnsi="Arial"/>
                <w:sz w:val="18"/>
                <w:szCs w:val="18"/>
                <w:color w:val="0000FF"/>
                <w:w w:val="97"/>
              </w:rPr>
              <w:t>SOUTH SAN</w:t>
            </w:r>
          </w:p>
        </w:tc>
        <w:tc>
          <w:tcPr>
            <w:tcW w:w="720" w:type="dxa"/>
            <w:vAlign w:val="bottom"/>
          </w:tcPr>
          <w:p>
            <w:pPr>
              <w:ind w:left="60"/>
              <w:spacing w:after="0"/>
              <w:rPr>
                <w:sz w:val="20"/>
                <w:szCs w:val="20"/>
                <w:color w:val="auto"/>
              </w:rPr>
            </w:pPr>
            <w:r>
              <w:rPr>
                <w:rFonts w:ascii="Arial" w:cs="Arial" w:eastAsia="Arial" w:hAnsi="Arial"/>
                <w:sz w:val="18"/>
                <w:szCs w:val="18"/>
                <w:color w:val="0000FF"/>
              </w:rPr>
              <w:t>CA</w:t>
            </w:r>
          </w:p>
        </w:tc>
        <w:tc>
          <w:tcPr>
            <w:tcW w:w="840" w:type="dxa"/>
            <w:vAlign w:val="bottom"/>
          </w:tcPr>
          <w:p>
            <w:pPr>
              <w:jc w:val="right"/>
              <w:spacing w:after="0"/>
              <w:rPr>
                <w:sz w:val="20"/>
                <w:szCs w:val="20"/>
                <w:color w:val="auto"/>
              </w:rPr>
            </w:pPr>
            <w:r>
              <w:rPr>
                <w:rFonts w:ascii="Arial" w:cs="Arial" w:eastAsia="Arial" w:hAnsi="Arial"/>
                <w:sz w:val="18"/>
                <w:szCs w:val="18"/>
                <w:color w:val="0000FF"/>
              </w:rPr>
              <w:t>94080</w:t>
            </w:r>
          </w:p>
        </w:tc>
      </w:tr>
      <w:tr>
        <w:trPr>
          <w:trHeight w:val="222"/>
        </w:trPr>
        <w:tc>
          <w:tcPr>
            <w:tcW w:w="1080" w:type="dxa"/>
            <w:vAlign w:val="bottom"/>
          </w:tcPr>
          <w:p>
            <w:pPr>
              <w:ind w:left="40"/>
              <w:spacing w:after="0"/>
              <w:rPr>
                <w:sz w:val="20"/>
                <w:szCs w:val="20"/>
                <w:color w:val="auto"/>
              </w:rPr>
            </w:pPr>
            <w:r>
              <w:rPr>
                <w:rFonts w:ascii="Arial" w:cs="Arial" w:eastAsia="Arial" w:hAnsi="Arial"/>
                <w:sz w:val="18"/>
                <w:szCs w:val="18"/>
                <w:color w:val="0000FF"/>
                <w:w w:val="96"/>
              </w:rPr>
              <w:t>FRANCISCO</w:t>
            </w: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6"/>
        <w:spacing w:after="0"/>
        <w:rPr>
          <w:sz w:val="20"/>
          <w:szCs w:val="20"/>
          <w:color w:val="auto"/>
        </w:rPr>
      </w:pPr>
      <w:r>
        <w:rPr>
          <w:rFonts w:ascii="Arial" w:cs="Arial" w:eastAsia="Arial" w:hAnsi="Arial"/>
          <w:sz w:val="18"/>
          <w:szCs w:val="18"/>
          <w:color w:val="0000FF"/>
        </w:rPr>
        <w:t>Chief Commercial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29"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29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03/29/2020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1"/>
              <w:spacing w:after="0"/>
              <w:rPr>
                <w:sz w:val="20"/>
                <w:szCs w:val="20"/>
                <w:color w:val="auto"/>
              </w:rPr>
            </w:pPr>
            <w:r>
              <w:rPr>
                <w:rFonts w:ascii="Arial" w:cs="Arial" w:eastAsia="Arial" w:hAnsi="Arial"/>
                <w:sz w:val="18"/>
                <w:szCs w:val="18"/>
                <w:color w:val="0000FF"/>
                <w:w w:val="86"/>
              </w:rPr>
              <w:t>112,500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0.8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29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09/27/2020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1"/>
              <w:spacing w:after="0"/>
              <w:rPr>
                <w:sz w:val="20"/>
                <w:szCs w:val="20"/>
                <w:color w:val="auto"/>
              </w:rPr>
            </w:pPr>
            <w:r>
              <w:rPr>
                <w:rFonts w:ascii="Arial" w:cs="Arial" w:eastAsia="Arial" w:hAnsi="Arial"/>
                <w:sz w:val="18"/>
                <w:szCs w:val="18"/>
                <w:color w:val="0000FF"/>
                <w:w w:val="87"/>
              </w:rPr>
              <w:t>12,500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2.36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29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02/22/2021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1"/>
              <w:spacing w:after="0"/>
              <w:rPr>
                <w:sz w:val="20"/>
                <w:szCs w:val="20"/>
                <w:color w:val="auto"/>
              </w:rPr>
            </w:pPr>
            <w:r>
              <w:rPr>
                <w:rFonts w:ascii="Arial" w:cs="Arial" w:eastAsia="Arial" w:hAnsi="Arial"/>
                <w:sz w:val="18"/>
                <w:szCs w:val="18"/>
                <w:color w:val="0000FF"/>
                <w:w w:val="87"/>
              </w:rPr>
              <w:t>11,000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2.36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29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03/09/2022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1"/>
              <w:spacing w:after="0"/>
              <w:rPr>
                <w:sz w:val="20"/>
                <w:szCs w:val="20"/>
                <w:color w:val="auto"/>
              </w:rPr>
            </w:pPr>
            <w:r>
              <w:rPr>
                <w:rFonts w:ascii="Arial" w:cs="Arial" w:eastAsia="Arial" w:hAnsi="Arial"/>
                <w:sz w:val="18"/>
                <w:szCs w:val="18"/>
                <w:color w:val="0000FF"/>
                <w:w w:val="87"/>
              </w:rPr>
              <w:t>37,500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2.68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29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03/09/2022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1"/>
              <w:spacing w:after="0"/>
              <w:rPr>
                <w:sz w:val="20"/>
                <w:szCs w:val="20"/>
                <w:color w:val="auto"/>
              </w:rPr>
            </w:pPr>
            <w:r>
              <w:rPr>
                <w:rFonts w:ascii="Arial" w:cs="Arial" w:eastAsia="Arial" w:hAnsi="Arial"/>
                <w:sz w:val="18"/>
                <w:szCs w:val="18"/>
                <w:color w:val="0000FF"/>
                <w:w w:val="87"/>
              </w:rPr>
              <w:t>16,927</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2.68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29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02/04/2023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1"/>
              <w:spacing w:after="0"/>
              <w:rPr>
                <w:sz w:val="20"/>
                <w:szCs w:val="20"/>
                <w:color w:val="auto"/>
              </w:rPr>
            </w:pPr>
            <w:r>
              <w:rPr>
                <w:rFonts w:ascii="Arial" w:cs="Arial" w:eastAsia="Arial" w:hAnsi="Arial"/>
                <w:sz w:val="18"/>
                <w:szCs w:val="18"/>
                <w:color w:val="0000FF"/>
                <w:w w:val="87"/>
              </w:rPr>
              <w:t>11,767</w:t>
            </w:r>
          </w:p>
        </w:tc>
        <w:tc>
          <w:tcPr>
            <w:tcW w:w="880" w:type="dxa"/>
            <w:vAlign w:val="bottom"/>
          </w:tcPr>
          <w:p>
            <w:pPr>
              <w:jc w:val="center"/>
              <w:spacing w:after="0"/>
              <w:rPr>
                <w:sz w:val="20"/>
                <w:szCs w:val="20"/>
                <w:color w:val="auto"/>
              </w:rPr>
            </w:pPr>
            <w:r>
              <w:rPr>
                <w:rFonts w:ascii="Arial" w:cs="Arial" w:eastAsia="Arial" w:hAnsi="Arial"/>
                <w:sz w:val="18"/>
                <w:szCs w:val="18"/>
                <w:color w:val="0000FF"/>
                <w:w w:val="79"/>
              </w:rPr>
              <w:t>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299"/>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02/04/2023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1"/>
              <w:spacing w:after="0"/>
              <w:rPr>
                <w:sz w:val="20"/>
                <w:szCs w:val="20"/>
                <w:color w:val="auto"/>
              </w:rPr>
            </w:pPr>
            <w:r>
              <w:rPr>
                <w:rFonts w:ascii="Arial" w:cs="Arial" w:eastAsia="Arial" w:hAnsi="Arial"/>
                <w:sz w:val="18"/>
                <w:szCs w:val="18"/>
                <w:color w:val="0000FF"/>
                <w:w w:val="87"/>
              </w:rPr>
              <w:t>31,250</w:t>
            </w:r>
          </w:p>
        </w:tc>
        <w:tc>
          <w:tcPr>
            <w:tcW w:w="880" w:type="dxa"/>
            <w:vAlign w:val="bottom"/>
          </w:tcPr>
          <w:p>
            <w:pPr>
              <w:jc w:val="center"/>
              <w:spacing w:after="0"/>
              <w:rPr>
                <w:sz w:val="20"/>
                <w:szCs w:val="20"/>
                <w:color w:val="auto"/>
              </w:rPr>
            </w:pPr>
            <w:r>
              <w:rPr>
                <w:rFonts w:ascii="Arial" w:cs="Arial" w:eastAsia="Arial" w:hAnsi="Arial"/>
                <w:sz w:val="18"/>
                <w:szCs w:val="18"/>
                <w:color w:val="0000FF"/>
                <w:w w:val="79"/>
              </w:rPr>
              <w:t>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award is immediately exercisable, subject to the Issuer's right of repurchase. The option award vested as to 1/4 of the total number of shares subject to the option one year after March 15, 2010, and the remaining shares vest at a rate of 1/48th of the total number of shares subject to the option for each month of continuous service thereafter.</w:t>
      </w:r>
    </w:p>
    <w:p>
      <w:pPr>
        <w:spacing w:after="0" w:line="30" w:lineRule="exact"/>
        <w:rPr>
          <w:rFonts w:ascii="Arial" w:cs="Arial" w:eastAsia="Arial" w:hAnsi="Arial"/>
          <w:sz w:val="14"/>
          <w:szCs w:val="14"/>
          <w:color w:val="008000"/>
        </w:rPr>
      </w:pPr>
    </w:p>
    <w:p>
      <w:pPr>
        <w:ind w:left="40" w:right="34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option award is immediately exercisable, subject to the Issuer's right of repurchase. The option award vested as to 1/4 of the total number of shares subject to the option one year after September 28, 2010, and the remaining shares vest at a rate of 1/48th of the total number of shares subject to the option for each month of continuous service thereafter.</w:t>
      </w: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award is fully vested and immediately exercisable.</w:t>
      </w:r>
    </w:p>
    <w:p>
      <w:pPr>
        <w:spacing w:after="0" w:line="4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award is immediately exercisable, subject to the Issuer's right of repurchase. The option award vested as to 1/4 of the total number of shares subject to the option one year after March 10, 2012, and the remaining shares vest at a rate of 1/48th of the total number of shares subject to the option for each month of continuous service thereafter.</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award is immediately exercisable, subject to the Issuer's right of repurchase. The option award vests as to 1/4 of the total number of shares subject to the option one year after February 5, 2013, and the remaining shares vest at a rate of 1/48th of the total number of shares subject to the option for each month of continuous service thereafter.</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Arial" w:cs="Arial" w:eastAsia="Arial" w:hAnsi="Arial"/>
                <w:sz w:val="18"/>
                <w:szCs w:val="18"/>
                <w:color w:val="0000FF"/>
                <w:w w:val="90"/>
              </w:rPr>
              <w:t>/s/ Christopher M. Hall</w:t>
            </w:r>
          </w:p>
        </w:tc>
        <w:tc>
          <w:tcPr>
            <w:tcW w:w="4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10/29/2013</w:t>
            </w: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Bonnie H. Anderson, Shelly D. Guyer, and Karen Wright, or any of them signing singly, and with full power of substitution, the undersigned’s true and lawful attorney-in-fact to:</w:t>
      </w:r>
    </w:p>
    <w:p>
      <w:pPr>
        <w:spacing w:after="0" w:line="170" w:lineRule="exact"/>
        <w:rPr>
          <w:sz w:val="20"/>
          <w:szCs w:val="20"/>
          <w:color w:val="auto"/>
        </w:rPr>
      </w:pPr>
    </w:p>
    <w:p>
      <w:pPr>
        <w:jc w:val="both"/>
        <w:ind w:right="100" w:firstLine="8"/>
        <w:spacing w:after="0" w:line="312" w:lineRule="auto"/>
        <w:tabs>
          <w:tab w:leader="none" w:pos="345" w:val="left"/>
        </w:tabs>
        <w:numPr>
          <w:ilvl w:val="0"/>
          <w:numId w:val="6"/>
        </w:numPr>
        <w:rPr>
          <w:rFonts w:ascii="Arial" w:cs="Arial" w:eastAsia="Arial" w:hAnsi="Arial"/>
          <w:sz w:val="16"/>
          <w:szCs w:val="16"/>
          <w:color w:val="auto"/>
        </w:rPr>
      </w:pPr>
      <w:r>
        <w:rPr>
          <w:rFonts w:ascii="Arial" w:cs="Arial" w:eastAsia="Arial" w:hAnsi="Arial"/>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46" w:lineRule="exact"/>
        <w:rPr>
          <w:rFonts w:ascii="Arial" w:cs="Arial" w:eastAsia="Arial" w:hAnsi="Arial"/>
          <w:sz w:val="16"/>
          <w:szCs w:val="16"/>
          <w:color w:val="auto"/>
        </w:rPr>
      </w:pPr>
    </w:p>
    <w:p>
      <w:pPr>
        <w:ind w:right="280" w:firstLine="8"/>
        <w:spacing w:after="0" w:line="308" w:lineRule="auto"/>
        <w:tabs>
          <w:tab w:leader="none" w:pos="345"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Veracyte, Inc., a Delaware corporation (the “Company”), Forms 3, 4, and 5 in accordance with Section 16(a) of the Securities Exchange Act of 1934 and the rules thereunder;</w:t>
      </w:r>
    </w:p>
    <w:p>
      <w:pPr>
        <w:spacing w:after="0" w:line="146" w:lineRule="exact"/>
        <w:rPr>
          <w:rFonts w:ascii="Arial" w:cs="Arial" w:eastAsia="Arial" w:hAnsi="Arial"/>
          <w:sz w:val="17"/>
          <w:szCs w:val="17"/>
          <w:color w:val="auto"/>
        </w:rPr>
      </w:pPr>
    </w:p>
    <w:p>
      <w:pPr>
        <w:ind w:right="180" w:firstLine="8"/>
        <w:spacing w:after="0" w:line="264"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file any such Form or amendment with the SEC and any stock exchange or similar authority, including filing this Power of Attorney with the SEC; and</w:t>
      </w:r>
    </w:p>
    <w:p>
      <w:pPr>
        <w:spacing w:after="0" w:line="181" w:lineRule="exact"/>
        <w:rPr>
          <w:rFonts w:ascii="Arial" w:cs="Arial" w:eastAsia="Arial" w:hAnsi="Arial"/>
          <w:sz w:val="18"/>
          <w:szCs w:val="18"/>
          <w:color w:val="auto"/>
        </w:rPr>
      </w:pPr>
    </w:p>
    <w:p>
      <w:pPr>
        <w:jc w:val="both"/>
        <w:ind w:firstLine="8"/>
        <w:spacing w:after="0" w:line="259"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29th day of October, 2013.</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Christopher M. Hall</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Christopher M. Hall</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449535"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2019-12-16T21:40:04Z</dcterms:created>
  <dcterms:modified xsi:type="dcterms:W3CDTF">2019-12-16T21:40:04Z</dcterms:modified>
</cp:coreProperties>
</file>