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424(b)(5)</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333-224576</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May 11, 2018)</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5,000,000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178435</wp:posOffset>
            </wp:positionV>
            <wp:extent cx="2178050" cy="651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78050"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Veracyte, Inc.</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252095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Arial" w:cs="Arial" w:eastAsia="Arial" w:hAnsi="Arial"/>
          <w:sz w:val="18"/>
          <w:szCs w:val="18"/>
          <w:color w:val="auto"/>
        </w:rPr>
        <w:t>We are offering 5,000,000 shares of our common stock.</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“VCYT.” On July 25, 2018, the last reported sale price of our shares of common stock on The Nasdaq Global Market was $11.20 per share.</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We are an emerging growth company under the federal securities laws and are subject to reduced public company reporting requirements.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ind w:right="220"/>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a high degree of risk. See “</w:t>
      </w:r>
      <w:hyperlink w:anchor="page6">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S-4 of this prospectus supplement.</w:t>
      </w:r>
    </w:p>
    <w:p>
      <w:pPr>
        <w:spacing w:after="0" w:line="182" w:lineRule="exact"/>
        <w:rPr>
          <w:sz w:val="24"/>
          <w:szCs w:val="24"/>
          <w:color w:val="auto"/>
        </w:rPr>
      </w:pPr>
    </w:p>
    <w:tbl>
      <w:tblPr>
        <w:tblLayout w:type="fixed"/>
        <w:tblInd w:w="138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117"/>
              <w:spacing w:after="0"/>
              <w:rPr>
                <w:sz w:val="20"/>
                <w:szCs w:val="20"/>
                <w:color w:val="auto"/>
              </w:rPr>
            </w:pPr>
            <w:r>
              <w:rPr>
                <w:rFonts w:ascii="Arial" w:cs="Arial" w:eastAsia="Arial" w:hAnsi="Arial"/>
                <w:sz w:val="14"/>
                <w:szCs w:val="14"/>
                <w:b w:val="1"/>
                <w:bCs w:val="1"/>
                <w:color w:val="auto"/>
              </w:rPr>
              <w:t>Per</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w w:val="92"/>
              </w:rPr>
              <w:t>Share</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8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10.250</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51,250,000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5"/>
                <w:szCs w:val="15"/>
                <w:color w:val="auto"/>
              </w:rPr>
              <w:t>(1)</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0.615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3,075,000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48,175,000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802640</wp:posOffset>
            </wp:positionH>
            <wp:positionV relativeFrom="paragraph">
              <wp:posOffset>85725</wp:posOffset>
            </wp:positionV>
            <wp:extent cx="720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41" w:lineRule="exact"/>
        <w:rPr>
          <w:sz w:val="24"/>
          <w:szCs w:val="24"/>
          <w:color w:val="auto"/>
        </w:rPr>
      </w:pPr>
    </w:p>
    <w:p>
      <w:pPr>
        <w:ind w:left="1920" w:hanging="440"/>
        <w:spacing w:after="0"/>
        <w:tabs>
          <w:tab w:leader="none" w:pos="1920" w:val="left"/>
        </w:tabs>
        <w:numPr>
          <w:ilvl w:val="0"/>
          <w:numId w:val="1"/>
        </w:numPr>
        <w:rPr>
          <w:rFonts w:ascii="Arial" w:cs="Arial" w:eastAsia="Arial" w:hAnsi="Arial"/>
          <w:sz w:val="17"/>
          <w:szCs w:val="17"/>
          <w:color w:val="auto"/>
        </w:rPr>
      </w:pPr>
      <w:r>
        <w:rPr>
          <w:rFonts w:ascii="Arial" w:cs="Arial" w:eastAsia="Arial" w:hAnsi="Arial"/>
          <w:sz w:val="17"/>
          <w:szCs w:val="17"/>
          <w:color w:val="auto"/>
        </w:rPr>
        <w:t>See “Underwriting” for additional disclosure regarding underwriting discounts, commissions and estimated offering expenses.</w:t>
      </w:r>
    </w:p>
    <w:p>
      <w:pPr>
        <w:spacing w:after="0" w:line="237"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We have granted the underwriters the right to purchase up to 750,000 additional shares of our common stock. The underwriters may exercise this right at any time within 30 days after the date of this prospectus supplement.</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The underwriters expect to deliver the shares of common stock against payment in New York, New York on or about July 30, 2018.</w:t>
      </w:r>
    </w:p>
    <w:p>
      <w:pPr>
        <w:spacing w:after="0" w:line="329" w:lineRule="exact"/>
        <w:rPr>
          <w:sz w:val="24"/>
          <w:szCs w:val="24"/>
          <w:color w:val="auto"/>
        </w:rPr>
      </w:pPr>
    </w:p>
    <w:p>
      <w:pPr>
        <w:jc w:val="both"/>
        <w:ind w:right="40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217805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pacing w:after="0" w:line="239" w:lineRule="exact"/>
        <w:rPr>
          <w:sz w:val="24"/>
          <w:szCs w:val="24"/>
          <w:color w:val="auto"/>
        </w:rPr>
      </w:pPr>
    </w:p>
    <w:p>
      <w:pPr>
        <w:ind w:left="2280"/>
        <w:spacing w:after="0"/>
        <w:tabs>
          <w:tab w:leader="none" w:pos="7700" w:val="left"/>
        </w:tabs>
        <w:rPr>
          <w:sz w:val="20"/>
          <w:szCs w:val="20"/>
          <w:color w:val="auto"/>
        </w:rPr>
      </w:pPr>
      <w:r>
        <w:rPr>
          <w:rFonts w:ascii="Arial" w:cs="Arial" w:eastAsia="Arial" w:hAnsi="Arial"/>
          <w:sz w:val="22"/>
          <w:szCs w:val="22"/>
          <w:b w:val="1"/>
          <w:bCs w:val="1"/>
          <w:color w:val="auto"/>
        </w:rPr>
        <w:t>Leerink Partners</w:t>
      </w:r>
      <w:r>
        <w:rPr>
          <w:sz w:val="20"/>
          <w:szCs w:val="20"/>
          <w:color w:val="auto"/>
        </w:rPr>
        <w:tab/>
      </w:r>
      <w:r>
        <w:rPr>
          <w:rFonts w:ascii="Arial" w:cs="Arial" w:eastAsia="Arial" w:hAnsi="Arial"/>
          <w:sz w:val="19"/>
          <w:szCs w:val="19"/>
          <w:b w:val="1"/>
          <w:bCs w:val="1"/>
          <w:color w:val="auto"/>
        </w:rPr>
        <w:t>William Blair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Lead Manager</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BTIG</w:t>
      </w:r>
    </w:p>
    <w:p>
      <w:pPr>
        <w:sectPr>
          <w:pgSz w:w="11900" w:h="16838" w:orient="portrait"/>
          <w:cols w:equalWidth="0" w:num="1">
            <w:col w:w="11420"/>
          </w:cols>
          <w:pgMar w:left="240" w:top="230" w:right="239" w:bottom="1440" w:gutter="0" w:footer="0" w:header="0"/>
        </w:sect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The date of this prospectus supplement is July 25, 2018.</w:t>
      </w:r>
    </w:p>
    <w:p>
      <w:pPr>
        <w:sectPr>
          <w:pgSz w:w="11900" w:h="16838" w:orient="portrait"/>
          <w:cols w:equalWidth="0" w:num="1">
            <w:col w:w="11420"/>
          </w:cols>
          <w:pgMar w:left="240" w:top="23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540" w:type="dxa"/>
            <w:vAlign w:val="bottom"/>
            <w:gridSpan w:val="26"/>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820" w:type="dxa"/>
            <w:vAlign w:val="bottom"/>
          </w:tcPr>
          <w:p>
            <w:pPr>
              <w:spacing w:after="0"/>
              <w:rPr>
                <w:sz w:val="17"/>
                <w:szCs w:val="17"/>
                <w:color w:val="auto"/>
              </w:rPr>
            </w:pPr>
          </w:p>
        </w:tc>
      </w:tr>
      <w:tr>
        <w:trPr>
          <w:trHeight w:val="534"/>
        </w:trPr>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160" w:type="dxa"/>
            <w:vAlign w:val="bottom"/>
            <w:gridSpan w:val="2"/>
          </w:tcPr>
          <w:p>
            <w:pPr>
              <w:ind w:left="380"/>
              <w:spacing w:after="0"/>
              <w:rPr>
                <w:sz w:val="20"/>
                <w:szCs w:val="20"/>
                <w:color w:val="auto"/>
              </w:rPr>
            </w:pPr>
            <w:r>
              <w:rPr>
                <w:rFonts w:ascii="Arial" w:cs="Arial" w:eastAsia="Arial" w:hAnsi="Arial"/>
                <w:sz w:val="18"/>
                <w:szCs w:val="18"/>
                <w:b w:val="1"/>
                <w:bCs w:val="1"/>
                <w:color w:val="auto"/>
              </w:rPr>
              <w:t>TABLE OF CONTENTS</w:t>
            </w:r>
          </w:p>
        </w:tc>
        <w:tc>
          <w:tcPr>
            <w:tcW w:w="820" w:type="dxa"/>
            <w:vAlign w:val="bottom"/>
          </w:tcPr>
          <w:p>
            <w:pPr>
              <w:spacing w:after="0"/>
              <w:rPr>
                <w:sz w:val="24"/>
                <w:szCs w:val="24"/>
                <w:color w:val="auto"/>
              </w:rPr>
            </w:pPr>
          </w:p>
        </w:tc>
      </w:tr>
      <w:tr>
        <w:trPr>
          <w:trHeight w:val="432"/>
        </w:trPr>
        <w:tc>
          <w:tcPr>
            <w:tcW w:w="10540" w:type="dxa"/>
            <w:vAlign w:val="bottom"/>
            <w:gridSpan w:val="26"/>
          </w:tcPr>
          <w:p>
            <w:pPr>
              <w:spacing w:after="0"/>
              <w:rPr>
                <w:sz w:val="20"/>
                <w:szCs w:val="20"/>
                <w:color w:val="auto"/>
              </w:rPr>
            </w:pPr>
            <w:r>
              <w:rPr>
                <w:rFonts w:ascii="Arial" w:cs="Arial" w:eastAsia="Arial" w:hAnsi="Arial"/>
                <w:sz w:val="18"/>
                <w:szCs w:val="18"/>
                <w:b w:val="1"/>
                <w:bCs w:val="1"/>
                <w:color w:val="auto"/>
              </w:rPr>
              <w:t>Prospectus Supplement</w:t>
            </w:r>
          </w:p>
        </w:tc>
        <w:tc>
          <w:tcPr>
            <w:tcW w:w="820" w:type="dxa"/>
            <w:vAlign w:val="bottom"/>
          </w:tcPr>
          <w:p>
            <w:pPr>
              <w:spacing w:after="0"/>
              <w:rPr>
                <w:sz w:val="24"/>
                <w:szCs w:val="24"/>
                <w:color w:val="auto"/>
              </w:rPr>
            </w:pPr>
          </w:p>
        </w:tc>
      </w:tr>
      <w:tr>
        <w:trPr>
          <w:trHeight w:val="419"/>
        </w:trPr>
        <w:tc>
          <w:tcPr>
            <w:tcW w:w="10540" w:type="dxa"/>
            <w:vAlign w:val="bottom"/>
            <w:gridSpan w:val="2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ABOUT THIS PROSPECTUS SUPPLEMENT</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196"/>
        </w:trPr>
        <w:tc>
          <w:tcPr>
            <w:tcW w:w="330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4"/>
              </w:rPr>
            </w:pPr>
            <w:hyperlink w:anchor="page4">
              <w:r>
                <w:rPr>
                  <w:rFonts w:ascii="Arial" w:cs="Arial" w:eastAsia="Arial" w:hAnsi="Arial"/>
                  <w:sz w:val="18"/>
                  <w:szCs w:val="18"/>
                  <w:color w:val="0000EE"/>
                  <w:w w:val="94"/>
                </w:rPr>
                <w:t>PROSPECTUS SUPPLEMENT SUMMARY</w:t>
              </w:r>
            </w:hyperlink>
          </w:p>
        </w:tc>
        <w:tc>
          <w:tcPr>
            <w:tcW w:w="140" w:type="dxa"/>
            <w:vAlign w:val="bottom"/>
            <w:tcBorders>
              <w:top w:val="single" w:sz="8" w:color="0000EE"/>
            </w:tcBorders>
          </w:tcPr>
          <w:p>
            <w:pPr>
              <w:spacing w:after="0"/>
              <w:rPr>
                <w:sz w:val="17"/>
                <w:szCs w:val="17"/>
                <w:color w:val="auto"/>
              </w:rPr>
            </w:pPr>
          </w:p>
        </w:tc>
        <w:tc>
          <w:tcPr>
            <w:tcW w:w="7100" w:type="dxa"/>
            <w:vAlign w:val="bottom"/>
            <w:gridSpan w:val="6"/>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S-2</w:t>
            </w:r>
          </w:p>
        </w:tc>
      </w:tr>
      <w:tr>
        <w:trPr>
          <w:trHeight w:val="196"/>
        </w:trPr>
        <w:tc>
          <w:tcPr>
            <w:tcW w:w="10540" w:type="dxa"/>
            <w:vAlign w:val="bottom"/>
            <w:gridSpan w:val="2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THE OFFERING</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S-3</w:t>
            </w:r>
          </w:p>
        </w:tc>
      </w:tr>
      <w:tr>
        <w:trPr>
          <w:trHeight w:val="196"/>
        </w:trPr>
        <w:tc>
          <w:tcPr>
            <w:tcW w:w="12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RISK FACTORS</w:t>
              </w:r>
            </w:hyperlink>
          </w:p>
        </w:tc>
        <w:tc>
          <w:tcPr>
            <w:tcW w:w="20" w:type="dxa"/>
            <w:vAlign w:val="bottom"/>
            <w:tcBorders>
              <w:top w:val="single" w:sz="8" w:color="0000EE"/>
            </w:tcBorders>
          </w:tcPr>
          <w:p>
            <w:pPr>
              <w:spacing w:after="0"/>
              <w:rPr>
                <w:sz w:val="17"/>
                <w:szCs w:val="17"/>
                <w:color w:val="auto"/>
              </w:rPr>
            </w:pPr>
          </w:p>
        </w:tc>
        <w:tc>
          <w:tcPr>
            <w:tcW w:w="9260" w:type="dxa"/>
            <w:vAlign w:val="bottom"/>
            <w:gridSpan w:val="2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S-4</w:t>
            </w:r>
          </w:p>
        </w:tc>
      </w:tr>
      <w:tr>
        <w:trPr>
          <w:trHeight w:val="196"/>
        </w:trPr>
        <w:tc>
          <w:tcPr>
            <w:tcW w:w="294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w:anchor="page7">
              <w:r>
                <w:rPr>
                  <w:rFonts w:ascii="Arial" w:cs="Arial" w:eastAsia="Arial" w:hAnsi="Arial"/>
                  <w:sz w:val="18"/>
                  <w:szCs w:val="18"/>
                  <w:color w:val="0000EE"/>
                  <w:w w:val="95"/>
                </w:rPr>
                <w:t>FORWARD-LOOKING STATEMENTS</w:t>
              </w:r>
            </w:hyperlink>
          </w:p>
        </w:tc>
        <w:tc>
          <w:tcPr>
            <w:tcW w:w="7600" w:type="dxa"/>
            <w:vAlign w:val="bottom"/>
            <w:gridSpan w:val="1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r>
      <w:tr>
        <w:trPr>
          <w:trHeight w:val="196"/>
        </w:trPr>
        <w:tc>
          <w:tcPr>
            <w:tcW w:w="10540" w:type="dxa"/>
            <w:vAlign w:val="bottom"/>
            <w:gridSpan w:val="26"/>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USE OF PROCEEDS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r>
      <w:tr>
        <w:trPr>
          <w:trHeight w:val="196"/>
        </w:trPr>
        <w:tc>
          <w:tcPr>
            <w:tcW w:w="15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DILUTION</w:t>
              </w:r>
            </w:hyperlink>
          </w:p>
        </w:tc>
        <w:tc>
          <w:tcPr>
            <w:tcW w:w="8960" w:type="dxa"/>
            <w:vAlign w:val="bottom"/>
            <w:gridSpan w:val="18"/>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298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10">
              <w:r>
                <w:rPr>
                  <w:rFonts w:ascii="Arial" w:cs="Arial" w:eastAsia="Arial" w:hAnsi="Arial"/>
                  <w:sz w:val="18"/>
                  <w:szCs w:val="18"/>
                  <w:color w:val="0000EE"/>
                  <w:w w:val="95"/>
                </w:rPr>
                <w:t>PRICE RANGE OF COMMON STOCK</w:t>
              </w:r>
            </w:hyperlink>
          </w:p>
        </w:tc>
        <w:tc>
          <w:tcPr>
            <w:tcW w:w="7560" w:type="dxa"/>
            <w:vAlign w:val="bottom"/>
            <w:gridSpan w:val="10"/>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r>
      <w:tr>
        <w:trPr>
          <w:trHeight w:val="196"/>
        </w:trPr>
        <w:tc>
          <w:tcPr>
            <w:tcW w:w="10540" w:type="dxa"/>
            <w:vAlign w:val="bottom"/>
            <w:gridSpan w:val="26"/>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DIVIDEND POLICY</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r>
      <w:tr>
        <w:trPr>
          <w:trHeight w:val="20"/>
        </w:trPr>
        <w:tc>
          <w:tcPr>
            <w:tcW w:w="78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10080" w:type="dxa"/>
            <w:vAlign w:val="bottom"/>
            <w:tcBorders>
              <w:bottom w:val="single" w:sz="8" w:color="0000EE"/>
            </w:tcBorders>
            <w:gridSpan w:val="25"/>
          </w:tcPr>
          <w:p>
            <w:pPr>
              <w:spacing w:after="0" w:line="196" w:lineRule="exact"/>
              <w:rPr>
                <w:rFonts w:ascii="Arial" w:cs="Arial" w:eastAsia="Arial" w:hAnsi="Arial"/>
                <w:sz w:val="18"/>
                <w:szCs w:val="18"/>
                <w:color w:val="0000EE"/>
                <w:w w:val="95"/>
              </w:rPr>
            </w:pPr>
            <w:hyperlink w:anchor="page12">
              <w:r>
                <w:rPr>
                  <w:rFonts w:ascii="Arial" w:cs="Arial" w:eastAsia="Arial" w:hAnsi="Arial"/>
                  <w:sz w:val="18"/>
                  <w:szCs w:val="18"/>
                  <w:color w:val="0000EE"/>
                  <w:w w:val="95"/>
                </w:rPr>
                <w:t>MATERIAL UNITED STATES FEDERAL INCOME TAX CONSEQUENCES FOR NON-U.S. HOLDERS OF OUR COMMON STOCK</w:t>
              </w:r>
            </w:hyperlink>
          </w:p>
        </w:tc>
        <w:tc>
          <w:tcPr>
            <w:tcW w:w="46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196"/>
        </w:trPr>
        <w:tc>
          <w:tcPr>
            <w:tcW w:w="1400" w:type="dxa"/>
            <w:vAlign w:val="bottom"/>
            <w:tcBorders>
              <w:bottom w:val="single" w:sz="8" w:color="0000EE"/>
            </w:tcBorders>
            <w:gridSpan w:val="6"/>
          </w:tcPr>
          <w:p>
            <w:pPr>
              <w:spacing w:after="0" w:line="196" w:lineRule="exact"/>
              <w:rPr>
                <w:rFonts w:ascii="Arial" w:cs="Arial" w:eastAsia="Arial" w:hAnsi="Arial"/>
                <w:sz w:val="18"/>
                <w:szCs w:val="18"/>
                <w:color w:val="0000EE"/>
                <w:w w:val="97"/>
              </w:rPr>
            </w:pPr>
            <w:hyperlink w:anchor="page16">
              <w:r>
                <w:rPr>
                  <w:rFonts w:ascii="Arial" w:cs="Arial" w:eastAsia="Arial" w:hAnsi="Arial"/>
                  <w:sz w:val="18"/>
                  <w:szCs w:val="18"/>
                  <w:color w:val="0000EE"/>
                  <w:w w:val="97"/>
                </w:rPr>
                <w:t>UNDERWRITING</w:t>
              </w:r>
            </w:hyperlink>
          </w:p>
        </w:tc>
        <w:tc>
          <w:tcPr>
            <w:tcW w:w="9140" w:type="dxa"/>
            <w:vAlign w:val="bottom"/>
            <w:gridSpan w:val="20"/>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S-14</w:t>
            </w:r>
          </w:p>
        </w:tc>
      </w:tr>
      <w:tr>
        <w:trPr>
          <w:trHeight w:val="196"/>
        </w:trPr>
        <w:tc>
          <w:tcPr>
            <w:tcW w:w="10540" w:type="dxa"/>
            <w:vAlign w:val="bottom"/>
            <w:gridSpan w:val="26"/>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LEGAL MATTERS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S-20</w:t>
            </w: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EXPERTS</w:t>
              </w:r>
            </w:hyperlink>
          </w:p>
        </w:tc>
        <w:tc>
          <w:tcPr>
            <w:tcW w:w="680" w:type="dxa"/>
            <w:vAlign w:val="bottom"/>
            <w:tcBorders>
              <w:top w:val="single" w:sz="8" w:color="0000EE"/>
            </w:tcBorders>
            <w:gridSpan w:val="6"/>
          </w:tcPr>
          <w:p>
            <w:pPr>
              <w:spacing w:after="0"/>
              <w:rPr>
                <w:sz w:val="17"/>
                <w:szCs w:val="17"/>
                <w:color w:val="auto"/>
              </w:rPr>
            </w:pPr>
          </w:p>
        </w:tc>
        <w:tc>
          <w:tcPr>
            <w:tcW w:w="9080" w:type="dxa"/>
            <w:vAlign w:val="bottom"/>
            <w:gridSpan w:val="19"/>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S-20</w:t>
            </w:r>
          </w:p>
        </w:tc>
      </w:tr>
      <w:tr>
        <w:trPr>
          <w:trHeight w:val="196"/>
        </w:trPr>
        <w:tc>
          <w:tcPr>
            <w:tcW w:w="10540" w:type="dxa"/>
            <w:vAlign w:val="bottom"/>
            <w:gridSpan w:val="26"/>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WHERE YOU CAN FIND MORE INFORMATION</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S-20</w:t>
            </w:r>
          </w:p>
        </w:tc>
      </w:tr>
      <w:tr>
        <w:trPr>
          <w:trHeight w:val="561"/>
        </w:trPr>
        <w:tc>
          <w:tcPr>
            <w:tcW w:w="3820" w:type="dxa"/>
            <w:vAlign w:val="bottom"/>
            <w:tcBorders>
              <w:top w:val="single" w:sz="8" w:color="0000EE"/>
            </w:tcBorders>
            <w:gridSpan w:val="23"/>
          </w:tcPr>
          <w:p>
            <w:pPr>
              <w:spacing w:after="0"/>
              <w:rPr>
                <w:sz w:val="20"/>
                <w:szCs w:val="20"/>
                <w:color w:val="auto"/>
              </w:rPr>
            </w:pPr>
            <w:r>
              <w:rPr>
                <w:rFonts w:ascii="Arial" w:cs="Arial" w:eastAsia="Arial" w:hAnsi="Arial"/>
                <w:sz w:val="18"/>
                <w:szCs w:val="18"/>
                <w:b w:val="1"/>
                <w:bCs w:val="1"/>
                <w:color w:val="auto"/>
              </w:rPr>
              <w:t>Prospectus</w:t>
            </w:r>
          </w:p>
        </w:tc>
        <w:tc>
          <w:tcPr>
            <w:tcW w:w="6720" w:type="dxa"/>
            <w:vAlign w:val="bottom"/>
            <w:gridSpan w:val="3"/>
          </w:tcPr>
          <w:p>
            <w:pPr>
              <w:spacing w:after="0"/>
              <w:rPr>
                <w:sz w:val="24"/>
                <w:szCs w:val="24"/>
                <w:color w:val="auto"/>
              </w:rPr>
            </w:pPr>
          </w:p>
        </w:tc>
        <w:tc>
          <w:tcPr>
            <w:tcW w:w="820" w:type="dxa"/>
            <w:vAlign w:val="bottom"/>
          </w:tcPr>
          <w:p>
            <w:pPr>
              <w:spacing w:after="0"/>
              <w:rPr>
                <w:sz w:val="24"/>
                <w:szCs w:val="24"/>
                <w:color w:val="auto"/>
              </w:rPr>
            </w:pPr>
          </w:p>
        </w:tc>
      </w:tr>
      <w:tr>
        <w:trPr>
          <w:trHeight w:val="419"/>
        </w:trPr>
        <w:tc>
          <w:tcPr>
            <w:tcW w:w="2240" w:type="dxa"/>
            <w:vAlign w:val="bottom"/>
            <w:tcBorders>
              <w:bottom w:val="single" w:sz="8" w:color="0000EE"/>
            </w:tcBorders>
            <w:gridSpan w:val="12"/>
          </w:tcPr>
          <w:p>
            <w:pPr>
              <w:spacing w:after="0"/>
              <w:rPr>
                <w:rFonts w:ascii="Arial" w:cs="Arial" w:eastAsia="Arial" w:hAnsi="Arial"/>
                <w:sz w:val="18"/>
                <w:szCs w:val="18"/>
                <w:color w:val="0000EE"/>
                <w:w w:val="93"/>
              </w:rPr>
            </w:pPr>
            <w:hyperlink w:anchor="page26">
              <w:r>
                <w:rPr>
                  <w:rFonts w:ascii="Arial" w:cs="Arial" w:eastAsia="Arial" w:hAnsi="Arial"/>
                  <w:sz w:val="18"/>
                  <w:szCs w:val="18"/>
                  <w:color w:val="0000EE"/>
                  <w:w w:val="93"/>
                </w:rPr>
                <w:t>ABOUT THIS PROSPECTUS</w:t>
              </w:r>
            </w:hyperlink>
          </w:p>
        </w:tc>
        <w:tc>
          <w:tcPr>
            <w:tcW w:w="8300" w:type="dxa"/>
            <w:vAlign w:val="bottom"/>
            <w:gridSpan w:val="14"/>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196"/>
        </w:trPr>
        <w:tc>
          <w:tcPr>
            <w:tcW w:w="210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26">
              <w:r>
                <w:rPr>
                  <w:rFonts w:ascii="Arial" w:cs="Arial" w:eastAsia="Arial" w:hAnsi="Arial"/>
                  <w:sz w:val="18"/>
                  <w:szCs w:val="18"/>
                  <w:color w:val="0000EE"/>
                  <w:w w:val="94"/>
                </w:rPr>
                <w:t>PROSPECTUS SUMMARY</w:t>
              </w:r>
            </w:hyperlink>
          </w:p>
        </w:tc>
        <w:tc>
          <w:tcPr>
            <w:tcW w:w="8440" w:type="dxa"/>
            <w:vAlign w:val="bottom"/>
            <w:gridSpan w:val="15"/>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0540" w:type="dxa"/>
            <w:vAlign w:val="bottom"/>
            <w:gridSpan w:val="26"/>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RATIO OF EARNINGS TO FIXED CHARGES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2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27">
              <w:r>
                <w:rPr>
                  <w:rFonts w:ascii="Arial" w:cs="Arial" w:eastAsia="Arial" w:hAnsi="Arial"/>
                  <w:sz w:val="18"/>
                  <w:szCs w:val="18"/>
                  <w:color w:val="0000EE"/>
                  <w:w w:val="93"/>
                </w:rPr>
                <w:t>RISK FACTORS</w:t>
              </w:r>
            </w:hyperlink>
          </w:p>
        </w:tc>
        <w:tc>
          <w:tcPr>
            <w:tcW w:w="2240" w:type="dxa"/>
            <w:vAlign w:val="bottom"/>
            <w:tcBorders>
              <w:top w:val="single" w:sz="8" w:color="0000EE"/>
            </w:tcBorders>
            <w:gridSpan w:val="19"/>
          </w:tcPr>
          <w:p>
            <w:pPr>
              <w:spacing w:after="0"/>
              <w:rPr>
                <w:sz w:val="17"/>
                <w:szCs w:val="17"/>
                <w:color w:val="auto"/>
              </w:rPr>
            </w:pPr>
          </w:p>
        </w:tc>
        <w:tc>
          <w:tcPr>
            <w:tcW w:w="7040" w:type="dxa"/>
            <w:vAlign w:val="bottom"/>
            <w:gridSpan w:val="4"/>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94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w:anchor="page28">
              <w:r>
                <w:rPr>
                  <w:rFonts w:ascii="Arial" w:cs="Arial" w:eastAsia="Arial" w:hAnsi="Arial"/>
                  <w:sz w:val="18"/>
                  <w:szCs w:val="18"/>
                  <w:color w:val="0000EE"/>
                  <w:w w:val="95"/>
                </w:rPr>
                <w:t>FORWARD-LOOKING STATEMENTS</w:t>
              </w:r>
            </w:hyperlink>
          </w:p>
        </w:tc>
        <w:tc>
          <w:tcPr>
            <w:tcW w:w="7600" w:type="dxa"/>
            <w:vAlign w:val="bottom"/>
            <w:gridSpan w:val="1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0540" w:type="dxa"/>
            <w:vAlign w:val="bottom"/>
            <w:gridSpan w:val="26"/>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USE OF PROCEEDS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1580" w:type="dxa"/>
            <w:vAlign w:val="bottom"/>
            <w:gridSpan w:val="8"/>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10540" w:type="dxa"/>
            <w:vAlign w:val="bottom"/>
            <w:gridSpan w:val="26"/>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DESCRIPTION OF COMMON STOCK</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202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316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w:anchor="page30">
              <w:r>
                <w:rPr>
                  <w:rFonts w:ascii="Arial" w:cs="Arial" w:eastAsia="Arial" w:hAnsi="Arial"/>
                  <w:sz w:val="18"/>
                  <w:szCs w:val="18"/>
                  <w:color w:val="0000EE"/>
                  <w:w w:val="93"/>
                </w:rPr>
                <w:t>DESCRIPTION OF PREFERRED STOCK</w:t>
              </w:r>
            </w:hyperlink>
          </w:p>
        </w:tc>
        <w:tc>
          <w:tcPr>
            <w:tcW w:w="7380" w:type="dxa"/>
            <w:vAlign w:val="bottom"/>
            <w:gridSpan w:val="8"/>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040" w:type="dxa"/>
            <w:vAlign w:val="bottom"/>
            <w:tcBorders>
              <w:bottom w:val="single" w:sz="8" w:color="0000EE"/>
            </w:tcBorders>
            <w:gridSpan w:val="17"/>
          </w:tcPr>
          <w:p>
            <w:pPr>
              <w:spacing w:after="0" w:line="196"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DESCRIPTION OF DEBT SECURITIES</w:t>
              </w:r>
            </w:hyperlink>
          </w:p>
        </w:tc>
        <w:tc>
          <w:tcPr>
            <w:tcW w:w="7500" w:type="dxa"/>
            <w:vAlign w:val="bottom"/>
            <w:gridSpan w:val="9"/>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0540" w:type="dxa"/>
            <w:vAlign w:val="bottom"/>
            <w:gridSpan w:val="26"/>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DESCRIPTION OF WARRANTS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202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348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DESCRIPTION OF SUBSCRIPTION RIGHTS</w:t>
              </w:r>
            </w:hyperlink>
          </w:p>
        </w:tc>
        <w:tc>
          <w:tcPr>
            <w:tcW w:w="7060" w:type="dxa"/>
            <w:vAlign w:val="bottom"/>
            <w:gridSpan w:val="5"/>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0540" w:type="dxa"/>
            <w:vAlign w:val="bottom"/>
            <w:gridSpan w:val="26"/>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DESCRIPTION OF UNITS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2020" w:type="dxa"/>
            <w:vAlign w:val="bottom"/>
            <w:gridSpan w:val="9"/>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1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10"/>
          </w:tcPr>
          <w:p>
            <w:pPr>
              <w:spacing w:after="0" w:line="196" w:lineRule="exact"/>
              <w:rPr>
                <w:rFonts w:ascii="Arial" w:cs="Arial" w:eastAsia="Arial" w:hAnsi="Arial"/>
                <w:sz w:val="18"/>
                <w:szCs w:val="18"/>
                <w:color w:val="0000EE"/>
                <w:w w:val="97"/>
              </w:rPr>
            </w:pPr>
            <w:hyperlink w:anchor="page39">
              <w:r>
                <w:rPr>
                  <w:rFonts w:ascii="Arial" w:cs="Arial" w:eastAsia="Arial" w:hAnsi="Arial"/>
                  <w:sz w:val="18"/>
                  <w:szCs w:val="18"/>
                  <w:color w:val="0000EE"/>
                  <w:w w:val="97"/>
                </w:rPr>
                <w:t>PLAN OF DISTRIBUTION</w:t>
              </w:r>
            </w:hyperlink>
          </w:p>
        </w:tc>
        <w:tc>
          <w:tcPr>
            <w:tcW w:w="8480" w:type="dxa"/>
            <w:vAlign w:val="bottom"/>
            <w:gridSpan w:val="16"/>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0540" w:type="dxa"/>
            <w:vAlign w:val="bottom"/>
            <w:gridSpan w:val="26"/>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LEGAL MATTERS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EXPERTS</w:t>
              </w:r>
            </w:hyperlink>
          </w:p>
        </w:tc>
        <w:tc>
          <w:tcPr>
            <w:tcW w:w="680" w:type="dxa"/>
            <w:vAlign w:val="bottom"/>
            <w:tcBorders>
              <w:top w:val="single" w:sz="8" w:color="0000EE"/>
            </w:tcBorders>
            <w:gridSpan w:val="6"/>
          </w:tcPr>
          <w:p>
            <w:pPr>
              <w:spacing w:after="0"/>
              <w:rPr>
                <w:sz w:val="17"/>
                <w:szCs w:val="17"/>
                <w:color w:val="auto"/>
              </w:rPr>
            </w:pPr>
          </w:p>
        </w:tc>
        <w:tc>
          <w:tcPr>
            <w:tcW w:w="9080" w:type="dxa"/>
            <w:vAlign w:val="bottom"/>
            <w:gridSpan w:val="19"/>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0540" w:type="dxa"/>
            <w:vAlign w:val="bottom"/>
            <w:gridSpan w:val="26"/>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WHERE YOU CAN FIND MORE INFORMATION</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3820" w:type="dxa"/>
            <w:vAlign w:val="bottom"/>
            <w:gridSpan w:val="2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10540" w:type="dxa"/>
            <w:vAlign w:val="bottom"/>
            <w:gridSpan w:val="26"/>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INCORPORATION OF INFORMATION BY REFERENCE</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360"/>
          </w:cols>
          <w:pgMar w:left="240" w:top="446"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This document contains two parts. The first part is this prospectus supplement, which describes the specific terms of this offering and also adds and updates information contained in the accompanying prospectus and the documents incorporated by reference into this prospectus supplement and the accompanying prospectus. The second part is the accompanying prospectus, which provides more general information, some of which may not apply to this offering. If the information contained in this prospectus supplement differs or varies from the information contained in the accompanying prospectus, you should rely on the information set forth in this prospectus supplement.</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You should rely only on the information contained or incorporated by reference in this prospectus supplement and the accompanying prospectus. We have not, and the underwriters have not, authorized anyone else to provide you with information that is in addition to or different from that contained or incorporated by reference in this prospectus supplement and the accompanying prospectus, along with the information contained in any permitted free writing prospectuses we have authorized for use in connection with this offering.</w:t>
      </w:r>
    </w:p>
    <w:p>
      <w:pPr>
        <w:spacing w:after="0" w:line="18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offering to sell, and seeking offers to buy, shares of our common stock only in jurisdictions where offers and sales are permitted. The information contained in this prospectus supplement and the accompanying prospectus is accurate only as of the date of this prospectus supplement or the date of the accompanying prospectus, and the information in the documents incorporated by reference in this prospectus supplement and the accompanying prospectus is accurate only as of the date of those respective documents, regardless of the time of delivery of this prospectus supplement and the accompanying prospectus or of any sale of our common stock. Our business, financial condition, results of operations and prospects may have changed since those dates. It is important for you to read and consider all information contained or incorporated by reference in this prospectus supplement and the accompanying prospectus in making your investment decision. You should read both this prospectus supplement and the accompanying prospectus, as well as the documents incorporated by reference into this prospectus supplement and the accompanying prospectus and the additional information described under “Where You Can Find More Information” in this prospectus supplement and in the accompanying prospectus, before investing in our common stock.</w:t>
      </w:r>
    </w:p>
    <w:p>
      <w:pPr>
        <w:spacing w:after="0" w:line="16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Unless otherwise indicated or the context otherwise requires, references in this prospectus supplement and the accompanying prospectus to “Veracyte,” the “company,” “we,” “us” and “our” refer to Veracyte, Inc.</w:t>
      </w:r>
    </w:p>
    <w:p>
      <w:pPr>
        <w:spacing w:after="0" w:line="17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Veracyte, Afirma, Percepta, Envisia, Know by Design, the Veracyte logo and the Afirma logo are our trademarks. This prospectus supplement, the accompanying prospectus and the documents incorporated by reference into this prospectus supplement and the accompanying prospectus may also contain trademarks and trade names that are the property of their respective owners. We do not intend our use or display of other companies’ trade names, trademarks or service marks to imply relationships with, or endorsements or sponsorship of us by, these other companies.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7567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75679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i w:val="1"/>
          <w:iCs w:val="1"/>
          <w:color w:val="auto"/>
        </w:rPr>
        <w:t>This summary highlights selected information about us and this offering. Because it is a summary, it does not contain all of the information that you should consider before investing. Before you decide to invest in our common stock, you should read carefully and in their entirety this entire prospectus supplement and the accompanying prospectus, including the section in this prospectus supplement entitled “Risk Factors,” and the documents we have incorporated by reference in this prospectus supplement and the accompanying prospectus, along with our financial statements and accompanying notes incorporated by reference in this prospectus supplement and the accompanying prospectus.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200" w:right="120"/>
        <w:spacing w:after="0" w:line="286" w:lineRule="auto"/>
        <w:rPr>
          <w:sz w:val="20"/>
          <w:szCs w:val="20"/>
          <w:color w:val="auto"/>
        </w:rPr>
      </w:pPr>
      <w:r>
        <w:rPr>
          <w:rFonts w:ascii="Arial" w:cs="Arial" w:eastAsia="Arial" w:hAnsi="Arial"/>
          <w:sz w:val="17"/>
          <w:szCs w:val="17"/>
          <w:color w:val="auto"/>
        </w:rPr>
        <w:t>We are a leading genomic diagnostics company that provides trustworthy and actionable answers that fundamentally improve patient care when current diagnostic test results are uncertain. Our products combine genomic technology, clinical science and machine learning to provide answers that give physicians and patients a clear path forward potentially avoiding risky, costly surgery that is often unnecessary.</w:t>
      </w:r>
    </w:p>
    <w:p>
      <w:pPr>
        <w:spacing w:after="0" w:line="166"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The role of genomic information in medical practice is evolving rapidly and has affected the diagnosis of disease as well as treatment decisions. Over the past decade, molecular diagnostic tests that analyze genomic material from tissue samples have emerged as an important complement to evaluations performed by pathologists. Information at the molecular level enables one to understand and identify more fully the makeup and specific subtype of disease to improve diagnosis. In many cases, the genomic information derived from these samples can help guide treatment decisions as part of the standard of care.</w:t>
      </w:r>
    </w:p>
    <w:p>
      <w:pPr>
        <w:spacing w:after="0" w:line="188"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We deploy machine learning algorithms, which leverage comprehensive ribonucleic acid, or RNA, expression data, to develop tests for the improvement of diagnostic clarity for cancer and other diseases. In our thyroid and lung indications, diagnosis can be ambiguous in 15-70% of patients undergoing diagnostic evaluation depending on the indication. Our tests provide clarity of diagnosis that can in turn guide treatment decisions in 40-70% of those cases, eliminating costly, risky surgeries and other unnecessary medical procedures, improving the lives of patients and saving the healthcare system money.</w:t>
      </w:r>
    </w:p>
    <w:p>
      <w:pPr>
        <w:spacing w:after="0" w:line="188"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Since our founding in 2008, we have commercialized three genomic classifiers that we believe are transforming diagnostics: the next-generation Afirma Genomic Sequencing Classifier and its predecessor, the Afirma Gene Expression Classifier for thyroid cancer; the Percepta Bronchial Genomic Classifier for lung cancer; and the Envisia Genomic Classifier for idiopathic pulmonary fibrosis, or IPF. Collectively, we believe these three tests address a $2 billion global market opportunity.</w:t>
      </w:r>
    </w:p>
    <w:p>
      <w:pPr>
        <w:spacing w:after="0" w:line="187"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The published evidence supporting our tests demonstrates the robustness of our science and clinical studies. Patients and physicians can access our full list of publications on our website. Over 30 clinical studies covering our products have been published, including two landmark clinical validation papers published in The New England Journal of Medicine for the Afirma and Percepta classifiers, respectively. We continue to build upon our extensive library of clinical evidence. We also expect to continue expanding our offerings in thyroid cancer, lung cancer and interstitial lung diseases such as IPF, as well as other indications that we believe will benefit from our technology and approach.</w:t>
      </w:r>
    </w:p>
    <w:p>
      <w:pPr>
        <w:spacing w:after="0" w:line="173" w:lineRule="exact"/>
        <w:rPr>
          <w:sz w:val="20"/>
          <w:szCs w:val="20"/>
          <w:color w:val="auto"/>
        </w:rPr>
      </w:pPr>
    </w:p>
    <w:p>
      <w:pPr>
        <w:ind w:left="200" w:right="60"/>
        <w:spacing w:after="0" w:line="276" w:lineRule="auto"/>
        <w:rPr>
          <w:sz w:val="20"/>
          <w:szCs w:val="20"/>
          <w:color w:val="auto"/>
        </w:rPr>
      </w:pPr>
      <w:r>
        <w:rPr>
          <w:rFonts w:ascii="Arial" w:cs="Arial" w:eastAsia="Arial" w:hAnsi="Arial"/>
          <w:sz w:val="17"/>
          <w:szCs w:val="17"/>
          <w:color w:val="auto"/>
        </w:rPr>
        <w:t>We believe our focus on developing clinically useful tests that change patient care is enabling the company to set new standards in genomic test reimbursement. Our Afirma genomic classifier is now covered by every major health plan in the United States, covering more than 275 million people, for use in thyroid cancer diagnosis. It is available as an in-network, contracted offering to more than 210 million people nationwide through their insurers. Our second commercial product, the Percepta classifier, is the first genomic test to gain Medicare coverage for improved lung cancer screening and diagnosis, making it a covered benefit for nearly 60 million Medicare enrollees.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Information</w:t>
      </w:r>
    </w:p>
    <w:p>
      <w:pPr>
        <w:spacing w:after="0" w:line="121" w:lineRule="exact"/>
        <w:rPr>
          <w:sz w:val="20"/>
          <w:szCs w:val="20"/>
          <w:color w:val="auto"/>
        </w:rPr>
      </w:pPr>
    </w:p>
    <w:p>
      <w:pPr>
        <w:ind w:left="200" w:right="40"/>
        <w:spacing w:after="0" w:line="276" w:lineRule="auto"/>
        <w:rPr>
          <w:sz w:val="20"/>
          <w:szCs w:val="20"/>
          <w:color w:val="auto"/>
        </w:rPr>
      </w:pPr>
      <w:r>
        <w:rPr>
          <w:rFonts w:ascii="Arial" w:cs="Arial" w:eastAsia="Arial" w:hAnsi="Arial"/>
          <w:sz w:val="17"/>
          <w:szCs w:val="17"/>
          <w:color w:val="auto"/>
        </w:rPr>
        <w:t>We were incorporated in the state of Delaware on August 15, 2006 as Calderome, Inc. Calderome operated as an incubator until early 2008. We changed our name to Veracyte, Inc. in March 2008. Our principal executive offices are located at 6000 Shoreline Court, Suite 300, South San Francisco, California 94080 and our telephone number is (650) 243-6300. Our website address is www.veracyte.com. We do not incorporate the information on, or accessible through, our website into this prospectus supplement or the accompanying prospectus, and you should not consider any information on, or accessible through, our website as part of this prospectus supplement or the accompanying prospectus.</w:t>
      </w:r>
    </w:p>
    <w:p>
      <w:pPr>
        <w:spacing w:after="0" w:line="173"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We are an “emerging growth company,” as defined in the Jumpstart Our Business Startups Act of 2012. We will remain an emerging growth company until December 31, 2018.</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49523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49523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240"/>
          </w:cols>
          <w:pgMar w:left="240" w:top="459" w:right="419" w:bottom="1440" w:gutter="0" w:footer="0" w:header="0"/>
        </w:sectPr>
      </w:pPr>
    </w:p>
    <w:p>
      <w:pPr>
        <w:spacing w:after="0" w:line="256"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Veracyte, Inc.</w:t>
      </w:r>
    </w:p>
    <w:p>
      <w:pPr>
        <w:spacing w:after="0" w:line="140" w:lineRule="exact"/>
        <w:rPr>
          <w:sz w:val="20"/>
          <w:szCs w:val="20"/>
          <w:color w:val="auto"/>
        </w:rPr>
      </w:pPr>
    </w:p>
    <w:p>
      <w:pPr>
        <w:sectPr>
          <w:pgSz w:w="11900" w:h="16838" w:orient="portrait"/>
          <w:cols w:equalWidth="0" w:num="2">
            <w:col w:w="3560" w:space="720"/>
            <w:col w:w="696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Common stock we are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5,000,000 shares</w:t>
      </w:r>
    </w:p>
    <w:p>
      <w:pPr>
        <w:spacing w:after="0" w:line="151" w:lineRule="exact"/>
        <w:rPr>
          <w:sz w:val="20"/>
          <w:szCs w:val="20"/>
          <w:color w:val="auto"/>
        </w:rPr>
      </w:pPr>
    </w:p>
    <w:p>
      <w:pPr>
        <w:sectPr>
          <w:pgSz w:w="11900" w:h="16838" w:orient="portrait"/>
          <w:cols w:equalWidth="0" w:num="2">
            <w:col w:w="3560" w:space="720"/>
            <w:col w:w="696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Common stock to be outstanding after the offering</w:t>
      </w:r>
    </w:p>
    <w:p>
      <w:pPr>
        <w:spacing w:after="0" w:line="20" w:lineRule="exact"/>
        <w:rPr>
          <w:sz w:val="20"/>
          <w:szCs w:val="20"/>
          <w:color w:val="auto"/>
        </w:rPr>
      </w:pPr>
      <w:r>
        <w:rPr>
          <w:sz w:val="20"/>
          <w:szCs w:val="20"/>
          <w:color w:val="auto"/>
        </w:rPr>
        <w:br w:type="column"/>
      </w:r>
    </w:p>
    <w:p>
      <w:pPr>
        <w:ind w:right="480"/>
        <w:spacing w:after="0" w:line="277" w:lineRule="auto"/>
        <w:rPr>
          <w:sz w:val="20"/>
          <w:szCs w:val="20"/>
          <w:color w:val="auto"/>
        </w:rPr>
      </w:pPr>
      <w:r>
        <w:rPr>
          <w:rFonts w:ascii="Arial" w:cs="Arial" w:eastAsia="Arial" w:hAnsi="Arial"/>
          <w:sz w:val="18"/>
          <w:szCs w:val="18"/>
          <w:color w:val="auto"/>
        </w:rPr>
        <w:t>39,441,714 shares (or 40,191,714 shares if the underwriters exercise in full their option to purchase additional shares of our common stock)</w:t>
      </w:r>
    </w:p>
    <w:p>
      <w:pPr>
        <w:spacing w:after="0" w:line="62" w:lineRule="exact"/>
        <w:rPr>
          <w:sz w:val="20"/>
          <w:szCs w:val="20"/>
          <w:color w:val="auto"/>
        </w:rPr>
      </w:pPr>
    </w:p>
    <w:p>
      <w:pPr>
        <w:sectPr>
          <w:pgSz w:w="11900" w:h="16838" w:orient="portrait"/>
          <w:cols w:equalWidth="0" w:num="2">
            <w:col w:w="3840" w:space="440"/>
            <w:col w:w="696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Option to purchase additional shares</w:t>
      </w:r>
    </w:p>
    <w:p>
      <w:pPr>
        <w:spacing w:after="0" w:line="20" w:lineRule="exact"/>
        <w:rPr>
          <w:sz w:val="20"/>
          <w:szCs w:val="20"/>
          <w:color w:val="auto"/>
        </w:rPr>
      </w:pPr>
      <w:r>
        <w:rPr>
          <w:sz w:val="20"/>
          <w:szCs w:val="20"/>
          <w:color w:val="auto"/>
        </w:rPr>
        <w:br w:type="column"/>
      </w:r>
    </w:p>
    <w:p>
      <w:pPr>
        <w:ind w:right="460"/>
        <w:spacing w:after="0" w:line="277" w:lineRule="auto"/>
        <w:rPr>
          <w:sz w:val="20"/>
          <w:szCs w:val="20"/>
          <w:color w:val="auto"/>
        </w:rPr>
      </w:pPr>
      <w:r>
        <w:rPr>
          <w:rFonts w:ascii="Arial" w:cs="Arial" w:eastAsia="Arial" w:hAnsi="Arial"/>
          <w:sz w:val="18"/>
          <w:szCs w:val="18"/>
          <w:color w:val="auto"/>
        </w:rPr>
        <w:t>We have granted the underwriters a 30-day option to purchase up to an additional 750,000 shares of our common stock.</w:t>
      </w:r>
    </w:p>
    <w:p>
      <w:pPr>
        <w:spacing w:after="0" w:line="62" w:lineRule="exact"/>
        <w:rPr>
          <w:sz w:val="20"/>
          <w:szCs w:val="20"/>
          <w:color w:val="auto"/>
        </w:rPr>
      </w:pPr>
    </w:p>
    <w:p>
      <w:pPr>
        <w:sectPr>
          <w:pgSz w:w="11900" w:h="16838" w:orient="portrait"/>
          <w:cols w:equalWidth="0" w:num="2">
            <w:col w:w="3560" w:space="720"/>
            <w:col w:w="696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100"/>
        <w:spacing w:after="0" w:line="302" w:lineRule="auto"/>
        <w:rPr>
          <w:sz w:val="20"/>
          <w:szCs w:val="20"/>
          <w:color w:val="auto"/>
        </w:rPr>
      </w:pPr>
      <w:r>
        <w:rPr>
          <w:rFonts w:ascii="Arial" w:cs="Arial" w:eastAsia="Arial" w:hAnsi="Arial"/>
          <w:sz w:val="16"/>
          <w:szCs w:val="16"/>
          <w:color w:val="auto"/>
        </w:rPr>
        <w:t>We currently intend to use the net proceeds from this offering for working capital and other general corporate purposes. We may also use a portion of the net proceeds from this offering to acquire or invest in complementary businesses, technologies or other assets, although we have no present commitments or agreements to do so. See the section entitled “Use of Proceeds.”</w:t>
      </w:r>
    </w:p>
    <w:p>
      <w:pPr>
        <w:spacing w:after="0" w:line="46" w:lineRule="exact"/>
        <w:rPr>
          <w:sz w:val="20"/>
          <w:szCs w:val="20"/>
          <w:color w:val="auto"/>
        </w:rPr>
      </w:pPr>
    </w:p>
    <w:p>
      <w:pPr>
        <w:sectPr>
          <w:pgSz w:w="11900" w:h="16838" w:orient="portrait"/>
          <w:cols w:equalWidth="0" w:num="2">
            <w:col w:w="3560" w:space="720"/>
            <w:col w:w="696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100"/>
        <w:spacing w:after="0" w:line="277" w:lineRule="auto"/>
        <w:rPr>
          <w:sz w:val="20"/>
          <w:szCs w:val="20"/>
          <w:color w:val="auto"/>
        </w:rPr>
      </w:pPr>
      <w:r>
        <w:rPr>
          <w:rFonts w:ascii="Arial" w:cs="Arial" w:eastAsia="Arial" w:hAnsi="Arial"/>
          <w:sz w:val="18"/>
          <w:szCs w:val="18"/>
          <w:color w:val="auto"/>
        </w:rPr>
        <w:t>See the section entitled “Risk Factors” for a discussion of factors you should consider carefully before deciding to invest in our common stock.</w:t>
      </w:r>
    </w:p>
    <w:p>
      <w:pPr>
        <w:spacing w:after="0" w:line="62" w:lineRule="exact"/>
        <w:rPr>
          <w:sz w:val="20"/>
          <w:szCs w:val="20"/>
          <w:color w:val="auto"/>
        </w:rPr>
      </w:pPr>
    </w:p>
    <w:p>
      <w:pPr>
        <w:sectPr>
          <w:pgSz w:w="11900" w:h="16838" w:orient="portrait"/>
          <w:cols w:equalWidth="0" w:num="2">
            <w:col w:w="3560" w:space="720"/>
            <w:col w:w="696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“VCYT”</w:t>
      </w:r>
    </w:p>
    <w:p>
      <w:pPr>
        <w:spacing w:after="0" w:line="200" w:lineRule="exact"/>
        <w:rPr>
          <w:sz w:val="20"/>
          <w:szCs w:val="20"/>
          <w:color w:val="auto"/>
        </w:rPr>
      </w:pPr>
    </w:p>
    <w:p>
      <w:pPr>
        <w:sectPr>
          <w:pgSz w:w="11900" w:h="16838" w:orient="portrait"/>
          <w:cols w:equalWidth="0" w:num="2">
            <w:col w:w="3560" w:space="720"/>
            <w:col w:w="6960"/>
          </w:cols>
          <w:pgMar w:left="240" w:top="459" w:right="419" w:bottom="1440" w:gutter="0" w:footer="0" w:header="0"/>
          <w:type w:val="continuous"/>
        </w:sectPr>
      </w:pPr>
    </w:p>
    <w:p>
      <w:pPr>
        <w:spacing w:after="0" w:line="25"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The number of shares of common stock to be outstanding immediately after this offering is based on 34,441,714 shares outstanding as of June 30, 2018 and excludes:</w:t>
      </w:r>
    </w:p>
    <w:p>
      <w:pPr>
        <w:spacing w:after="0" w:line="76" w:lineRule="exact"/>
        <w:rPr>
          <w:sz w:val="20"/>
          <w:szCs w:val="20"/>
          <w:color w:val="auto"/>
        </w:rPr>
      </w:pPr>
    </w:p>
    <w:p>
      <w:pPr>
        <w:ind w:left="620" w:right="500" w:hanging="315"/>
        <w:spacing w:after="0" w:line="277" w:lineRule="auto"/>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6,152,571 shares of our common stock issuable upon the exercise of stock options outstanding as of June 30, 2018, with a weighted-average exercise price of $7.56 per share;</w:t>
      </w:r>
    </w:p>
    <w:p>
      <w:pPr>
        <w:spacing w:after="0" w:line="75" w:lineRule="exact"/>
        <w:rPr>
          <w:rFonts w:ascii="Arial" w:cs="Arial" w:eastAsia="Arial" w:hAnsi="Arial"/>
          <w:sz w:val="18"/>
          <w:szCs w:val="18"/>
          <w:color w:val="auto"/>
        </w:rPr>
      </w:pPr>
    </w:p>
    <w:p>
      <w:pPr>
        <w:ind w:left="620" w:hanging="315"/>
        <w:spacing w:after="0" w:line="277" w:lineRule="auto"/>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16,300 shares of our common stock issuable upon the exercise of stock options granted after June 30, 2018, with a weighted-average exercise price of $10.38 per share;</w:t>
      </w:r>
    </w:p>
    <w:p>
      <w:pPr>
        <w:spacing w:after="0" w:line="75" w:lineRule="exact"/>
        <w:rPr>
          <w:rFonts w:ascii="Arial" w:cs="Arial" w:eastAsia="Arial" w:hAnsi="Arial"/>
          <w:sz w:val="18"/>
          <w:szCs w:val="18"/>
          <w:color w:val="auto"/>
        </w:rPr>
      </w:pPr>
    </w:p>
    <w:p>
      <w:pPr>
        <w:ind w:left="620" w:hanging="315"/>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609,159 shares of common stock issuable upon the settlement of restricted stock units, or RSUs, outstanding as of June 30, 2018;</w:t>
      </w:r>
    </w:p>
    <w:p>
      <w:pPr>
        <w:spacing w:after="0" w:line="130" w:lineRule="exact"/>
        <w:rPr>
          <w:rFonts w:ascii="Arial" w:cs="Arial" w:eastAsia="Arial" w:hAnsi="Arial"/>
          <w:sz w:val="18"/>
          <w:szCs w:val="18"/>
          <w:color w:val="auto"/>
        </w:rPr>
      </w:pPr>
    </w:p>
    <w:p>
      <w:pPr>
        <w:ind w:left="620" w:hanging="315"/>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1,643,164 shares of common stock reserved for future issuance under our 2013 Stock Incentive Plan, as amended; and</w:t>
      </w:r>
    </w:p>
    <w:p>
      <w:pPr>
        <w:spacing w:after="0" w:line="130" w:lineRule="exact"/>
        <w:rPr>
          <w:rFonts w:ascii="Arial" w:cs="Arial" w:eastAsia="Arial" w:hAnsi="Arial"/>
          <w:sz w:val="18"/>
          <w:szCs w:val="18"/>
          <w:color w:val="auto"/>
        </w:rPr>
      </w:pPr>
    </w:p>
    <w:p>
      <w:pPr>
        <w:ind w:left="620" w:hanging="315"/>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382,929 shares of common stock reserved for future issuance under our Employee Stock Purchase Plan.</w:t>
      </w:r>
    </w:p>
    <w:p>
      <w:pPr>
        <w:spacing w:after="0" w:line="225"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Except as otherwise indicated, all information in this prospectus supplement assumes no exercise or settlement of the outstanding stock options, RSUs or other equity awards described above and no exercise by the underwriters of their option to purchase additional shares.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40"/>
          </w:cols>
          <w:pgMar w:left="240" w:top="459" w:right="41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Investing in shares of our common stock involves a high degree of risk. You should consider carefully the risks and uncertainties described below and in our Quarterly Report on Form 10-Q for the quarter ended June 30, 2018 incorporated by reference in this prospectus supplement and the accompanying prospectus, any amendment or update thereto reflected in our subsequent filings with the Securities and Exchange Commission, or SEC, and all of the other information in this prospectus supplement and the accompanying prospectus, including our financial statements and related notes incorporated by reference in this prospectus supplement and the accompanying prospectus, before making an investment decision. If any of these risks is realized, our business, financial condition, results of operations and prospects could be materially and adversely affected. In that event, the trading price of our common stock could decline and you could lose part or all of your investment. Additional risks and uncertainties that are not yet identified or that we think are immaterial may also materially harm our business, operating results and financial condition and could result in a complete loss of your investment.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management will have broad discretion in the use of the net proceeds from this offering and may allocate the net proceeds from this offering in ways that you and other stockholders may not approve.</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management will have broad discretion in the use of the net proceeds,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of our management to use these funds effectively could harm our business. Pending their use, we may invest the net proceeds from this offering in short- and intermediate-term, interest-bearing obligations, investment-grade instruments, certificates of deposit or direct or guaranteed obligations of the U.S. government. These investments may not yield a favorable return to our stockholders.</w:t>
      </w:r>
    </w:p>
    <w:p>
      <w:pPr>
        <w:spacing w:after="0" w:line="27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If you purchase shares of our common stock sold in this offering, you will experience immediate and substantial dilution in your investment. In addition, we may issue additional equity or equity-linked securities in the future, which may result in additional dilution to you.</w:t>
      </w:r>
    </w:p>
    <w:p>
      <w:pPr>
        <w:spacing w:after="0" w:line="1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price per share of our common stock being offered may be higher than the net tangible book value per share of our outstanding common stock prior to this offering. Based on the public offering price of $10.25 per share and our net tangible book value as of June 30, 2018 of approximately $0.35 per share, if you purchase shares of common stock in this offering, you will suffer immediate and substantial dilution of $8.73 per share, representing the difference between the public offering price and the as adjusted net tangible book value per share of our common stock as of June 30, 2018 after giving effect to this offering. See the section entitled “Dilution” below for a more detailed discussion of the dilution you will incur if you purchase common stock in this offering.</w:t>
      </w:r>
    </w:p>
    <w:p>
      <w:pPr>
        <w:spacing w:after="0" w:line="15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we have a significant number of stock options to purchase common stock and RSUs outstanding, and may choose to issue additional common stock, or securities convertible into or exchangeable for common stock, in the future. In the event that the outstanding stock options or RSUs are exercised or settled, or that we make additional issuances of common stock or other convertible or exchangeable securities, you could experience additional dilution. Furthermore, we cannot assure you that we will be able to issue shares or other securities in any other offering at a price per share that is equal to or greater than the price per share paid by investors in this offering, and investors purchasing our securities in the future may have rights superior to investors purchasing shares in this offering.</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of our common stock by our existing stockholders could cause our stock price to decline.</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Further, we have a significant number of stock options and RSUs outstanding. If a substantial number of shares of common stock underlying these stock options and RSUs are sold, or if it is perceived that they will be sold, in the public market, it could have an adverse impact on the market price of our common stock. We are unable to predict the effect that sales may have on the prevailing market price of our common stock.</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prospectus supplement, the accompanying prospectus and the documents we have filed with the SEC that are incorporated by reference in this prospectus supplement and the accompanying prospectus contain forward-looking statements that involve risks and uncertainties. These statements relate to future periods, future events or our future operating or financial plans or performance. These statements can often be identified by the use of forward-looking terminology such as “expects,” “believes,” “anticipates,” “estimates,” “plans,” “may,” “could,” “will,” “intends” or the negative of these terms, and other similar expressions and include statements as to the estimated market opportunities for our products, and our intentions with respect to the use of the net proceeds from this offering. We have based these forward-looking statements on our current expectations and projections about future events and trends that we believe may affect our financial condition, results of operations, strategy, short- and long-term business operations and objectives, and financial needs. These statements are subject to known and unknown risks, uncertainties and assumptions that could cause actual results to differ materially from those projected or otherwise implied by the forward-looking statements, including the following: our beliefs with respect to the optimization of our processes for the analysis of RNA samples; our belief in the importance of maintaining libraries of clinical evidence; our expectations regarding capital expenditures; our anticipated cash needs and our estimates regarding our capital requirements; our need for additional financing; potential future sources of cash; our business strategy and our ability to execute our strategy; our ability to achieve and maintain reimbursement from third-party payers at acceptable levels and our expectations regarding the timing of reimbursement; the estimated size of the global markets for our tests; the estimated number of patients who receive uncertain diagnoses who are candidates for our test; the attributes and potential benefits of our tests and any future tests we may develop to patients, physicians and payers; the factors we believe drive demand for and reimbursement of our tests; our ability to sustain or increase demand for our tests; our intent to expand into other clinical areas; our ability to develop new tests, and the timeframes for development or commercialization; our ability to get our data and clinical studies accepted in peer-reviewed publications; our dependence on and the terms of our agreement with Thyroid Cytopathology Partners, and on other strategic relationships, and the success of those relationships; our beliefs regarding our laboratory capacity; the applicability of clinical results to actual outcomes; our expectations regarding our international expansion; the occurrence, timing, outcome or success of clinical trials or studies; the ability of our tests to impact treatment decisions; our beliefs regarding our competitive position; our compliance with federal, state and international regulations; the potential impact of regulation of our tests by the Food and Drug Administration or other regulatory bodies; the impact of new or changing policies, regulation or legislation, or of judicial decisions, on our business; the impact of seasonal fluctuations and economic conditions on our business; our belief that we have taken reasonable steps to protect our intellectual property; our belief that our intellectual property will develop and maintain our competitive position; the impact of accounting pronouncements and our critical accounting policies, judgments, estimates, models and assumptions on our financial results; and anticipated trends and challenges in our business and the markets in which we operate, the expected use of proceeds from this offering and other statements that are not historical facts. Given these risks, uncertainties and assumptions, you should not place undue reliance on these forward-looking statements. We discuss in greater detail, and incorporate by reference into this prospectus supplement and the accompanying prospectus, many of these risks, uncertainties and assumptions see the section titled “Risk Factors.” Additional cautionary statements or discussions of risks, uncertainties and assumptions that could affect our results or the achievement of the expectations described in forward-looking statements are also contained in the documents we incorporate by reference into this prospectus supplement and the accompanying prospectus.</w:t>
      </w:r>
    </w:p>
    <w:p>
      <w:pPr>
        <w:spacing w:after="0" w:line="38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Any forward-looking statement made by us in this prospectus supplement, the accompanying prospectus, or any of the documents incorporated by reference in this prospectus supplement and the accompanying prospectus speaks only as of the date on which it was made. We expressly disclaim any obligation or undertaking to release publicly any updates or revisions to any forward-looking statements contained herein to reflect any change in our expectations with regard thereto or any change in events, conditions or circumstances on which any such statement is based. You should, however, review additional disclosures we make in our Annual Report on Form 10-K, Quarterly Reports on Form 10-Q, and Current Reports on Form 8-K filed with the SEC.</w:t>
      </w:r>
    </w:p>
    <w:p>
      <w:pPr>
        <w:spacing w:after="0" w:line="158"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You should read this prospectus supplement, the accompanying prospectus, and the documents that we reference in this prospectus supplement and the accompanying prospectus completely and with the understanding that our actual future results, levels of activity, performance and events and circumstances may be materially different from what we expect. We qualify all of our forward-looking statements by these cautionary statements.</w:t>
      </w:r>
    </w:p>
    <w:p>
      <w:pPr>
        <w:spacing w:after="0" w:line="16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This prospectus supplement, the accompanying prospectus, and the documents that we reference in this prospectus and the accompanying prospectus also contain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You are cautioned not to give undue weight to those data and estimates. Projections, assumptions and estimates of future performance are necessarily subject to risks and uncertainties that could cause actual results to differ materially.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estimate that the net proceeds from the sale of 5,000,000 shares of our common stock in this offering, at the public offering price of $10.25 per share, will be approximately $47.9 million, after deducting the underwriting discounts and commissions and estimated offering expenses we expect to pay. If the underwriters exercise their option to purchase 750,000 additional shares in full, we estimate that our net proceeds will be approximately $55.1 million, after deducting the underwriting discounts and commissions and estimated offering expenses we expect to pay.</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currently intend to use the net proceeds of this offering for working capital and other general corporate purposes. We may also use a portion of the net proceeds from this offering to acquire or invest in complementary businesses, technologies or other assets, although we have no present commitments or agreements to do so. As a result, our management will have broad discretion in the way that we use the net proceeds and investors will be relying on our judgment regarding the application of the net proceeds of this offering. Pending the application of net proceeds, we expect to invest the net proceeds in short-and intermediate-term, interest-bearing obligations, investment-grade instruments, certificates of deposit or direct or guaranteed obligations of the U.S. government.</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If you invest in our common stock in this offering, your ownership interest will be diluted to the extent of the difference between the price per share of our common stock you pay in this offering and the net tangible book value per share of our common stock immediately after this offering.</w:t>
      </w:r>
    </w:p>
    <w:p>
      <w:pPr>
        <w:spacing w:after="0" w:line="14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net tangible book value as of June 30, 2018 was approximately $12.2 million, or $0.35 per share of our common stock. Net tangible book value per share is calculated by subtracting our total liabilities from our total tangible assets, which is total assets less intangible assets, and dividing this amount by the number of shares of our common stock outstanding.</w:t>
      </w:r>
    </w:p>
    <w:p>
      <w:pPr>
        <w:spacing w:after="0" w:line="18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After giving effect to the sale by us of 5,000,000 shares of our common stock at the public offering price of $10.25 per share and after deducting the underwriting discounts and commissions and estimated offering expenses we expect to pay, our as adjusted net tangible book value as of June 30, 2018 would have been $60.1 million, or $1.52 per share of our common stock. This represents an immediate increase in the net tangible book value of $1.17 per share to our existing stockholders and an immediate and substantial dilution in net tangible book value of $8.73 per share to new investors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gridSpan w:val="2"/>
          </w:tcPr>
          <w:p>
            <w:pPr>
              <w:spacing w:after="0"/>
              <w:rPr>
                <w:sz w:val="20"/>
                <w:szCs w:val="20"/>
                <w:color w:val="auto"/>
              </w:rPr>
            </w:pPr>
            <w:r>
              <w:rPr>
                <w:rFonts w:ascii="Arial" w:cs="Arial" w:eastAsia="Arial" w:hAnsi="Arial"/>
                <w:sz w:val="18"/>
                <w:szCs w:val="18"/>
                <w:color w:val="auto"/>
              </w:rPr>
              <w:t>The following table illustrates this per share dilution:</w:t>
            </w:r>
          </w:p>
        </w:tc>
        <w:tc>
          <w:tcPr>
            <w:tcW w:w="1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3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2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Net tangible book value per share as of June 30, 2018</w:t>
            </w:r>
          </w:p>
        </w:tc>
        <w:tc>
          <w:tcPr>
            <w:tcW w:w="2520" w:type="dxa"/>
            <w:vAlign w:val="bottom"/>
            <w:gridSpan w:val="3"/>
          </w:tcPr>
          <w:p>
            <w:pPr>
              <w:jc w:val="right"/>
              <w:ind w:right="260"/>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in as adjusted net tangible book value per share attributable to new investors</w:t>
            </w:r>
          </w:p>
        </w:tc>
        <w:tc>
          <w:tcPr>
            <w:tcW w:w="25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40" w:type="dxa"/>
            <w:vAlign w:val="bottom"/>
            <w:gridSpan w:val="2"/>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18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participating in this offering</w:t>
            </w:r>
          </w:p>
        </w:tc>
        <w:tc>
          <w:tcPr>
            <w:tcW w:w="2520" w:type="dxa"/>
            <w:vAlign w:val="bottom"/>
            <w:gridSpan w:val="3"/>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If the underwriters exercise in full their option to purchase up to 750,000 additional shares from us at the public offering price of $10.25 per share, the as adjusted net tangible book value per share after this offering would be $1.67 per share and the dilution to new investors participating in this offering would be $8.58 per share.</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calculations above are based on 34,441,714 shares of our common stock outstanding as of June 30, 2018. The number of shares of common stock outstanding as of June 30, 2018 excludes:</w:t>
      </w:r>
    </w:p>
    <w:p>
      <w:pPr>
        <w:spacing w:after="0" w:line="76" w:lineRule="exact"/>
        <w:rPr>
          <w:sz w:val="20"/>
          <w:szCs w:val="20"/>
          <w:color w:val="auto"/>
        </w:rPr>
      </w:pPr>
    </w:p>
    <w:p>
      <w:pPr>
        <w:ind w:left="440" w:right="240" w:hanging="324"/>
        <w:spacing w:after="0" w:line="277"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6,152,571 shares of our common stock issuable upon the exercise of stock options outstanding as of June 30, 2018, with a weighted-average exercise price of $7.56 per share;</w:t>
      </w:r>
    </w:p>
    <w:p>
      <w:pPr>
        <w:spacing w:after="0" w:line="75" w:lineRule="exact"/>
        <w:rPr>
          <w:rFonts w:ascii="Arial" w:cs="Arial" w:eastAsia="Arial" w:hAnsi="Arial"/>
          <w:sz w:val="18"/>
          <w:szCs w:val="18"/>
          <w:color w:val="auto"/>
        </w:rPr>
      </w:pPr>
    </w:p>
    <w:p>
      <w:pPr>
        <w:ind w:left="440" w:right="180" w:hanging="324"/>
        <w:spacing w:after="0" w:line="277"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16,300 shares of our common stock issuable upon the exercise of stock options granted after June 30, 2018, with a weighted-average exercise price of $10.38 per share;</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609,159 shares of common stock issuable upon the settlement of RSUs outstanding as of June 30, 2018;</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1,643,164 shares of common stock reserved for future issuance under our 2013 Stock Incentive Plan, as amended;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382,929 shares of common stock reserved for future issuance under our Employee Stock Purchase Plan.</w:t>
      </w:r>
    </w:p>
    <w:p>
      <w:pPr>
        <w:spacing w:after="0" w:line="22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To the extent that any outstanding stock options have been or may be exercised, RSUs are settled or other shares are issued, investors purchasing our common stock in this offering may experience further dilution. In addition, we may choose to issue additional common stock, or securities convertible into or exchangeable for common stock, in the future. The issuance of these securities could result in further dilution to investors participating in this offering.</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PRICE RANGE OF COMMON STOCK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common stock is listed on The Nasdaq Global Market under the symbol “VCYT.” The following table sets forth, for the periods indicated, the high and low sales prices per share of our common stock as reported by The Nasdaq Global Market.</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High</w:t>
            </w:r>
          </w:p>
        </w:tc>
        <w:tc>
          <w:tcPr>
            <w:tcW w:w="460" w:type="dxa"/>
            <w:vAlign w:val="bottom"/>
          </w:tcPr>
          <w:p>
            <w:pPr>
              <w:spacing w:after="0"/>
              <w:rPr>
                <w:sz w:val="20"/>
                <w:szCs w:val="20"/>
                <w:color w:val="auto"/>
              </w:rPr>
            </w:pPr>
          </w:p>
        </w:tc>
        <w:tc>
          <w:tcPr>
            <w:tcW w:w="4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4"/>
              </w:rPr>
              <w:t>Low</w:t>
            </w:r>
          </w:p>
        </w:tc>
      </w:tr>
      <w:tr>
        <w:trPr>
          <w:trHeight w:val="196"/>
        </w:trPr>
        <w:tc>
          <w:tcPr>
            <w:tcW w:w="5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2016</w:t>
            </w:r>
          </w:p>
        </w:tc>
        <w:tc>
          <w:tcPr>
            <w:tcW w:w="20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First Quarter</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7.31</w:t>
            </w:r>
          </w:p>
        </w:tc>
        <w:tc>
          <w:tcPr>
            <w:tcW w:w="880" w:type="dxa"/>
            <w:vAlign w:val="bottom"/>
            <w:gridSpan w:val="2"/>
          </w:tcPr>
          <w:p>
            <w:pPr>
              <w:jc w:val="center"/>
              <w:ind w:left="370"/>
              <w:spacing w:after="0"/>
              <w:rPr>
                <w:sz w:val="20"/>
                <w:szCs w:val="20"/>
                <w:color w:val="auto"/>
              </w:rPr>
            </w:pPr>
            <w:r>
              <w:rPr>
                <w:rFonts w:ascii="Arial" w:cs="Arial" w:eastAsia="Arial" w:hAnsi="Arial"/>
                <w:sz w:val="18"/>
                <w:szCs w:val="18"/>
                <w:color w:val="auto"/>
                <w:w w:val="93"/>
              </w:rPr>
              <w:t>$4.21</w:t>
            </w:r>
          </w:p>
        </w:tc>
        <w:tc>
          <w:tcPr>
            <w:tcW w:w="60" w:type="dxa"/>
            <w:vAlign w:val="bottom"/>
          </w:tcPr>
          <w:p>
            <w:pPr>
              <w:spacing w:after="0"/>
              <w:rPr>
                <w:sz w:val="18"/>
                <w:szCs w:val="18"/>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 Quarter</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8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3"/>
              </w:rPr>
              <w:t>$4.81</w:t>
            </w:r>
          </w:p>
        </w:tc>
        <w:tc>
          <w:tcPr>
            <w:tcW w:w="60" w:type="dxa"/>
            <w:vAlign w:val="bottom"/>
            <w:shd w:val="clear" w:color="auto" w:fill="CCEEFF"/>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Third Quarter</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7.96</w:t>
            </w:r>
          </w:p>
        </w:tc>
        <w:tc>
          <w:tcPr>
            <w:tcW w:w="880" w:type="dxa"/>
            <w:vAlign w:val="bottom"/>
            <w:gridSpan w:val="2"/>
          </w:tcPr>
          <w:p>
            <w:pPr>
              <w:jc w:val="center"/>
              <w:ind w:left="370"/>
              <w:spacing w:after="0"/>
              <w:rPr>
                <w:sz w:val="20"/>
                <w:szCs w:val="20"/>
                <w:color w:val="auto"/>
              </w:rPr>
            </w:pPr>
            <w:r>
              <w:rPr>
                <w:rFonts w:ascii="Arial" w:cs="Arial" w:eastAsia="Arial" w:hAnsi="Arial"/>
                <w:sz w:val="18"/>
                <w:szCs w:val="18"/>
                <w:color w:val="auto"/>
                <w:w w:val="93"/>
              </w:rPr>
              <w:t>$4.83</w:t>
            </w:r>
          </w:p>
        </w:tc>
        <w:tc>
          <w:tcPr>
            <w:tcW w:w="60" w:type="dxa"/>
            <w:vAlign w:val="bottom"/>
          </w:tcPr>
          <w:p>
            <w:pPr>
              <w:spacing w:after="0"/>
              <w:rPr>
                <w:sz w:val="18"/>
                <w:szCs w:val="18"/>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Fourth Quarter</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8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3"/>
              </w:rPr>
              <w:t>$5.82</w:t>
            </w:r>
          </w:p>
        </w:tc>
        <w:tc>
          <w:tcPr>
            <w:tcW w:w="6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b w:val="1"/>
                <w:bCs w:val="1"/>
                <w:color w:val="auto"/>
              </w:rPr>
              <w:t>2017</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First Quarter</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8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3"/>
              </w:rPr>
              <w:t>$7.03</w:t>
            </w:r>
          </w:p>
        </w:tc>
        <w:tc>
          <w:tcPr>
            <w:tcW w:w="60" w:type="dxa"/>
            <w:vAlign w:val="bottom"/>
            <w:shd w:val="clear" w:color="auto" w:fill="CCEEFF"/>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Second Quarter</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9.30</w:t>
            </w:r>
          </w:p>
        </w:tc>
        <w:tc>
          <w:tcPr>
            <w:tcW w:w="880" w:type="dxa"/>
            <w:vAlign w:val="bottom"/>
            <w:gridSpan w:val="2"/>
          </w:tcPr>
          <w:p>
            <w:pPr>
              <w:jc w:val="center"/>
              <w:ind w:left="370"/>
              <w:spacing w:after="0"/>
              <w:rPr>
                <w:sz w:val="20"/>
                <w:szCs w:val="20"/>
                <w:color w:val="auto"/>
              </w:rPr>
            </w:pPr>
            <w:r>
              <w:rPr>
                <w:rFonts w:ascii="Arial" w:cs="Arial" w:eastAsia="Arial" w:hAnsi="Arial"/>
                <w:sz w:val="18"/>
                <w:szCs w:val="18"/>
                <w:color w:val="auto"/>
                <w:w w:val="93"/>
              </w:rPr>
              <w:t>$7.15</w:t>
            </w:r>
          </w:p>
        </w:tc>
        <w:tc>
          <w:tcPr>
            <w:tcW w:w="60" w:type="dxa"/>
            <w:vAlign w:val="bottom"/>
          </w:tcPr>
          <w:p>
            <w:pPr>
              <w:spacing w:after="0"/>
              <w:rPr>
                <w:sz w:val="18"/>
                <w:szCs w:val="18"/>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Third Quarter</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8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3"/>
              </w:rPr>
              <w:t>$7.50</w:t>
            </w:r>
          </w:p>
        </w:tc>
        <w:tc>
          <w:tcPr>
            <w:tcW w:w="60" w:type="dxa"/>
            <w:vAlign w:val="bottom"/>
            <w:shd w:val="clear" w:color="auto" w:fill="CCEEFF"/>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Fourth Quarter</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9.80</w:t>
            </w:r>
          </w:p>
        </w:tc>
        <w:tc>
          <w:tcPr>
            <w:tcW w:w="880" w:type="dxa"/>
            <w:vAlign w:val="bottom"/>
            <w:gridSpan w:val="2"/>
          </w:tcPr>
          <w:p>
            <w:pPr>
              <w:jc w:val="center"/>
              <w:ind w:left="370"/>
              <w:spacing w:after="0"/>
              <w:rPr>
                <w:sz w:val="20"/>
                <w:szCs w:val="20"/>
                <w:color w:val="auto"/>
              </w:rPr>
            </w:pPr>
            <w:r>
              <w:rPr>
                <w:rFonts w:ascii="Arial" w:cs="Arial" w:eastAsia="Arial" w:hAnsi="Arial"/>
                <w:sz w:val="18"/>
                <w:szCs w:val="18"/>
                <w:color w:val="auto"/>
                <w:w w:val="93"/>
              </w:rPr>
              <w:t>$5.75</w:t>
            </w:r>
          </w:p>
        </w:tc>
        <w:tc>
          <w:tcPr>
            <w:tcW w:w="6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First Quarter</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7.26</w:t>
            </w:r>
          </w:p>
        </w:tc>
        <w:tc>
          <w:tcPr>
            <w:tcW w:w="880" w:type="dxa"/>
            <w:vAlign w:val="bottom"/>
            <w:gridSpan w:val="2"/>
          </w:tcPr>
          <w:p>
            <w:pPr>
              <w:jc w:val="center"/>
              <w:ind w:left="370"/>
              <w:spacing w:after="0"/>
              <w:rPr>
                <w:sz w:val="20"/>
                <w:szCs w:val="20"/>
                <w:color w:val="auto"/>
              </w:rPr>
            </w:pPr>
            <w:r>
              <w:rPr>
                <w:rFonts w:ascii="Arial" w:cs="Arial" w:eastAsia="Arial" w:hAnsi="Arial"/>
                <w:sz w:val="18"/>
                <w:szCs w:val="18"/>
                <w:color w:val="auto"/>
                <w:w w:val="93"/>
              </w:rPr>
              <w:t>$5.23</w:t>
            </w:r>
          </w:p>
        </w:tc>
        <w:tc>
          <w:tcPr>
            <w:tcW w:w="60" w:type="dxa"/>
            <w:vAlign w:val="bottom"/>
          </w:tcPr>
          <w:p>
            <w:pPr>
              <w:spacing w:after="0"/>
              <w:rPr>
                <w:sz w:val="18"/>
                <w:szCs w:val="18"/>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 Quarter</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8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3"/>
              </w:rPr>
              <w:t>$5.32</w:t>
            </w:r>
          </w:p>
        </w:tc>
        <w:tc>
          <w:tcPr>
            <w:tcW w:w="60" w:type="dxa"/>
            <w:vAlign w:val="bottom"/>
            <w:shd w:val="clear" w:color="auto" w:fill="CCEEFF"/>
          </w:tcPr>
          <w:p>
            <w:pPr>
              <w:spacing w:after="0"/>
              <w:rPr>
                <w:sz w:val="18"/>
                <w:szCs w:val="18"/>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Third Quarter (through July 25, 2018)</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11.50</w:t>
            </w:r>
          </w:p>
        </w:tc>
        <w:tc>
          <w:tcPr>
            <w:tcW w:w="880" w:type="dxa"/>
            <w:vAlign w:val="bottom"/>
            <w:gridSpan w:val="2"/>
          </w:tcPr>
          <w:p>
            <w:pPr>
              <w:jc w:val="center"/>
              <w:ind w:left="370"/>
              <w:spacing w:after="0"/>
              <w:rPr>
                <w:sz w:val="20"/>
                <w:szCs w:val="20"/>
                <w:color w:val="auto"/>
              </w:rPr>
            </w:pPr>
            <w:r>
              <w:rPr>
                <w:rFonts w:ascii="Arial" w:cs="Arial" w:eastAsia="Arial" w:hAnsi="Arial"/>
                <w:sz w:val="18"/>
                <w:szCs w:val="18"/>
                <w:color w:val="auto"/>
                <w:w w:val="93"/>
              </w:rPr>
              <w:t>$9.26</w:t>
            </w: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On July 25, 2018, the last reported sale price of our common stock on The Nasdaq Global Market was $11.20 per share. As of June 30, 2018, there were approximately 133 holders of record of our common stock. This number does not reflect the beneficial ownership of shares held in nominee name.</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any future earnings and do not expect to pay any dividends in the foreseeable future. Our credit agreement restricts our ability to pay cash dividends on our common stock, and we may also enter into credit agreements or other borrowing arrangements in the future that will further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UNITED STATES FEDERAL INCOME TAX CONSEQUENCES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NON-U.S. HOLDERS OF OUR COMMON STOCK</w:t>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following summary describes the material U.S. federal income tax consequences of the acquisition, ownership and disposition of our common stock acquired in this offering by Non-U.S. Holders (as defined below). This discussion does not address all aspects of U.S. federal income taxes, does not discuss the potential application of the alternative minimum or Medicare Contribution tax and does not discuss state, local, U.S. federal gift and estate tax laws, except to the limited extent provided below, or non-U.S. tax consequences that may be relevant to Non-U.S. Holders in light of their particular circumstances, nor does it address U.S. federal tax consequences other than income taxes.</w:t>
      </w:r>
    </w:p>
    <w:p>
      <w:pPr>
        <w:spacing w:after="0" w:line="1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Special rules different from those described below may apply to certain Non-U.S. Holders that are subject to special treatment under the Internal Revenue Code of 1986, as amended, or Code, such as:</w:t>
      </w:r>
    </w:p>
    <w:p>
      <w:pPr>
        <w:spacing w:after="0" w:line="76" w:lineRule="exact"/>
        <w:rPr>
          <w:sz w:val="20"/>
          <w:szCs w:val="20"/>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insurance companies, banks and other financial institutions;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tax-exempt organizations (including private foundations) and tax-qualified retirement plans;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foreign governments and international organizations;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broker-dealers and traders in securities;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United States;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persons who acquired our common stock as compensation for services;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persons that own, or are deemed to own, more than 5% of our capital stock (except to the extent specifically set forth below);</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“controlled foreign corporations,” “passive foreign investment companies” and corporations that accumulate earnings to avoid U.S. federal income tax;</w:t>
      </w:r>
    </w:p>
    <w:p>
      <w:pPr>
        <w:spacing w:after="0" w:line="153" w:lineRule="exact"/>
        <w:rPr>
          <w:rFonts w:ascii="Arial" w:cs="Arial" w:eastAsia="Arial" w:hAnsi="Arial"/>
          <w:sz w:val="16"/>
          <w:szCs w:val="16"/>
          <w:color w:val="auto"/>
        </w:rPr>
      </w:pPr>
    </w:p>
    <w:p>
      <w:pPr>
        <w:ind w:left="440" w:right="280" w:hanging="324"/>
        <w:spacing w:after="0" w:line="277"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persons that hold our common stock as part of a “straddle,” “hedge,” “conversion transaction,” “synthetic security” or integrated investment or other risk reduction strategy;</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persons who hold our common stock as “qualified small business stock” within the meaning of Section 1202 of the Code;</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persons who do not hold our common stock as a capital asset within the meaning of Section 1221 of the Code (generally, for investment purposes);</w:t>
      </w:r>
    </w:p>
    <w:p>
      <w:pPr>
        <w:spacing w:after="0" w:line="153" w:lineRule="exact"/>
        <w:rPr>
          <w:rFonts w:ascii="Arial" w:cs="Arial" w:eastAsia="Arial" w:hAnsi="Arial"/>
          <w:sz w:val="16"/>
          <w:szCs w:val="16"/>
          <w:color w:val="auto"/>
        </w:rPr>
      </w:pPr>
    </w:p>
    <w:p>
      <w:pPr>
        <w:ind w:left="440" w:right="20" w:hanging="324"/>
        <w:spacing w:after="0" w:line="277"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partnerships and other pass-through entities, and investors in such pass-through entities or entities that are treated as disregarded entities for U.S. federal income tax purposes (regardless of their places of organization or formation); and</w:t>
      </w:r>
    </w:p>
    <w:p>
      <w:pPr>
        <w:spacing w:after="0" w:line="75" w:lineRule="exact"/>
        <w:rPr>
          <w:rFonts w:ascii="Arial" w:cs="Arial" w:eastAsia="Arial" w:hAnsi="Arial"/>
          <w:sz w:val="18"/>
          <w:szCs w:val="18"/>
          <w:color w:val="auto"/>
        </w:rPr>
      </w:pPr>
    </w:p>
    <w:p>
      <w:pPr>
        <w:ind w:left="440" w:right="460" w:hanging="324"/>
        <w:spacing w:after="0" w:line="277"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170"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Such Non-U.S. Holders are urged to consult their tax advisors to determine the U.S. federal, state, local and other tax consequences that may be relevant to them. Furthermore, the discussion below is based upon the provisions of the Code, and Treasury regulations, rulings and judicial decisions thereunder as of the date hereof, and such authorities may be repealed, revoked or modified, possibly retroactively, and are subject to differing interpretations which could result in U.S. federal income tax consequences different from those discussed below. We have not requested a ruling from the Internal Revenue Service, or IRS, with respect to the statements made and the conclusions reached in the following summary, and there can be no assurance that the IRS will agree with such statements and conclusions or will not take a contrary position regarding the tax consequences of the acquisition, ownership, and disposition of our common stock, or that any such contrary position would not be sustained by a court.</w:t>
      </w:r>
    </w:p>
    <w:p>
      <w:pPr>
        <w:spacing w:after="0" w:line="16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following discussion is for general information only and is not tax advice. Persons considering the purchase of our common stock pursuant to this offering should consult their tax advisors concerning the U.S. federal income tax consequences of acquiring, owning and disposing of our common stock in light of their particular situations as well as any consequences arising under the laws of any other taxing jurisdiction, including any state, local or non-U.S. tax consequences or any U.S. federal non-income tax consequences, and the possible application of tax treaties that might change the general provisions.</w:t>
      </w:r>
    </w:p>
    <w:p>
      <w:pPr>
        <w:spacing w:after="0" w:line="15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For the purposes of this discussion, a “Non-U.S. Holder” is, for U.S. federal income tax purposes, a beneficial owner of common stock that is not a U.S. Holder. A “U.S. Holder” means a beneficial owner of our common stock that is for U.S. federal income tax purposes (a) an individual citizen or resident of the United States (as determined under U.S. federal income tax rules), (b) a corporation or other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entity taxable as a corporation for U.S. federal income tax purposes, created or organized in or under the laws of the United States, any state thereof or the District of Columbia, (c) an estate the income of which is subject to U.S. federal income taxation regardless of its source or (d) a trust if it (1) is subject to the primary supervision of a court within the United States and one or more U.S. persons (within the meaning of Section 7701(a)(30) of the Code) have the authority to control all substantial decisions of the trust or (2) has a valid election in effect under applicable U.S. Treasury regulations to be treated as a U.S. person.</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If you are an individual non-U.S. citizen, you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w:t>
      </w:r>
    </w:p>
    <w:p>
      <w:pPr>
        <w:spacing w:after="0" w:line="18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Resident aliens are generally subject to U.S. federal income tax as if they were U.S. citizens. Individuals who are uncertain of their status as resident or nonresident aliens for U.S. federal income tax purposes are urged to consult their tax advisors regarding the U.S. federal income tax consequences of the ownership or disposition of our common stock.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do not expect to declare or make any distributions on our common stock in the foreseeable future. If we do make distributions on our common stock, however, such distributions made to a Non-U.S. Holder of our common stock will constitute dividends for U.S. tax purposes to the extent made out of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our common stock. Any remaining excess will be treated as gain realized on the sale or exchange of our common stock as described below under the section titled “— Gain on Disposition of our Common Stock.” The amount of any distribution of property other than cash will be the fair market value of that property on the date of distribution.</w:t>
      </w:r>
    </w:p>
    <w:p>
      <w:pPr>
        <w:spacing w:after="0" w:line="18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Any distribution on our common stock that is treated as a dividend paid to a Non-U.S. Holder that is not effectively connected with the holder’s conduct of a trade or business in the United States will generally be subject to withholding tax at a 30% rate or such lower rate as may be specified by an applicable income tax treaty between the United States and the Non-U.S. Holder’s country of residence. To obtain a reduced rate of withholding under a treaty, a Non-U.S. Holder generally will be required to provide us with a properly executed IRS Form W-8BEN, IRS Form W-8BEN-E or other appropriate form, certifying the Non-U.S. Holder’s entitlement to benefits under that treaty. Such form must be provided prior to the payment of dividends and must be updated periodically. In the case of a Non-U.S. Holder that is an entity, Treasury Regulations and the relevant tax treaty provide rules to determine whether, for purposes of determining the applicability of a tax treaty, dividends will be treated as paid to the entity or to those holding an interest in that entity. If a Non-U.S. Holder holds stock through a financial institution or other agent acting on the holder’s behalf, the holder will be required to provide appropriate documentation to such agent. The holder’s agent may then be required to provide certification to us or our paying agent, either directly or through other intermediaries. If you are eligible for a reduced rate of U.S. federal withholding tax under an income tax treaty, you should consult with your tax advisor to determine if you are able to obtain a refund or credit of any excess amounts withheld by timely filing an appropriate claim for a refund with the IRS.</w:t>
      </w:r>
    </w:p>
    <w:p>
      <w:pPr>
        <w:spacing w:after="0" w:line="17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generally are not required to withhold tax on dividends paid to a Non-U.S. Holder that are effectively connected with the holder’s conduct of a trade or business within the United States (and, if required by an applicable income tax treaty, are attributable to a permanent establishment that the holder maintains in the United States) if a properly executed IRS Form W-8ECI, stating that the dividends are so connected, is furnished to us (or, if stock is held through a financial institution or other agent, to the agent). In general, such effectively connected dividends will be subject to U.S. federal income tax on a net income basis at the regular graduated rates applicable to U.S. persons, unless a specific treaty exemption applies.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w:t>
      </w:r>
    </w:p>
    <w:p>
      <w:pPr>
        <w:spacing w:after="0" w:line="1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also the section below entitled “— Foreign Accounts” for additional withholding rules that may apply to dividends paid to foreign financial institutions or non-financial foreign entities.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Subject to the discussion below under the sections titled “— Backup Withholding and Information Reporting” and “— Foreign Accounts,” a Non-U.S. Holder generally will not be subject to U.S. federal income tax with respect to gain realized on a sale or other disposition of our common stock unless (a) the gain is effectively connected with a trade or business of the holder in the United States (and, if required by an applicable income tax treaty, is attributable to a permanent establishment that the holder maintains in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United States), (b) the Non-U.S. Holder is a nonresident alien individual and is present in the United States for 183 or more days in the taxable year of the disposition and certain other conditions are met, or (c) we are or have been a “United States real property holding corporation” within the meaning of Code Section 897(c)(2) at any time within the shorter of the five-year period preceding such disposition or the holder’s holding period in the common stock.</w:t>
      </w:r>
    </w:p>
    <w:p>
      <w:pPr>
        <w:spacing w:after="0" w:line="14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If you are a Non-U.S. Holder described in (a) above, you will be required to pay tax on the net gain derived from the sale at the regular graduated U.S. federal income tax rates applicable to U.S. persons, unless a specific treaty exemption applies. Corporate Non-U.S. Holders described in (a) above may also be subject to the additional branch profits tax at a 30% rate or such lower rate as may be specified by an applicable income tax treaty. If you are an individual Non-U.S. Holder described in (b) above, you will be required to pay a flat 30% tax on the gain derived from the sale, which gain may be offset by U.S. source capital losses (even though you are not considered a resident of the United States), provided you have timely filed U.S. federal income tax returns with respect to such losses. With respect to (c) above, in general, we would be a U.S. real property holding corporation if interests in U.S. real estate comprised (by fair market value) at least half of our assets. We believe that we are not, and do not anticipate becoming, a U.S. real property holding corporation. However, there can be no assurance that we will not become a U.S. real property holding corporation in the future. Even if we are treated as a U.S. real property holding corporation, gain realized by a Non-U.S. Holder on a disposition of our common stock will not be subject to U.S. federal income tax so long as (1) the Non-U.S. Holder owned, directly, indirectly or constructively, no more than five percent of our common stock at all times within the shorter of (i) the five-year period preceding the disposition or (ii) the holder’s holding period and (2) our common stock is regularly traded on an established securities market. There can be no assurance that our common stock will qualify as regularly traded on an established securities market.</w:t>
      </w:r>
    </w:p>
    <w:p>
      <w:pPr>
        <w:spacing w:after="0" w:line="16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See the section entitled “— Foreign Accounts” for additional information regarding withholding rules that may apply to proceeds of a disposition of our common stock paid to foreign financial institutions or non-financial foreign entities.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Estate Tax</w:t>
      </w:r>
    </w:p>
    <w:p>
      <w:pPr>
        <w:spacing w:after="0" w:line="12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estates of nonresident alien individuals generally are subject to U.S. federal estate tax on property with a U.S. situs. Because we are a U.S. corporation, our common stock will be U.S. situs property and therefore will be included in the taxable estate of a nonresident alien decedent, unless an applicable estate tax treaty between the United States and the decedent’s country of residence provides otherwise. The terms “resident” and “nonresident” are defined differently for U.S. federal estate tax purposes than for U.S. federal income tax purposes. Investors are urged to consult their tax advisors regarding the U.S. federal estate tax consequences of the ownership or disposition of our common stock.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Generally, we or certain financial middlemen must report information to the IRS with respect to any dividends we pay on our common stock including the amount of any such dividends, the name and address of the recipient, and the amount, if any, of tax withheld. A similar report is sent to the holder to whom any such dividends are paid. Pursuant to tax treaties or certain other agreements, the IRS may make its reports available to tax authorities in the recipient’s country of residence.</w:t>
      </w:r>
    </w:p>
    <w:p>
      <w:pPr>
        <w:spacing w:after="0" w:line="1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Dividends paid by us (or our paying agents) to a Non-U.S. Holder may also be subject to U.S. backup withholding. U.S. backup withholding generally will not apply to a Non-U.S. Holder who provides a properly executed IRS Form W-8BEN, IRS Form W-8BEN-E or IRS Form W-8ECI, as applicable, or otherwise establishes an exemption, provided that the applicable withholding agent does not have actual knowledge or reason to know the holder is a U.S. person.</w:t>
      </w:r>
    </w:p>
    <w:p>
      <w:pPr>
        <w:spacing w:after="0" w:line="18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Under current U.S. federal income tax law, U.S. information reporting and backup withholding requirements generally will apply to the proceeds of a disposition of our common stock effected by or through a U.S. office of any broker, U.S. or non-U.S., unless the Non-U.S. Holder provides a properly executed IRS Form W-8BEN, IRS Form W-8BEN-E or IRS Form W-8ECI, as applicable, or otherwise meets documentary evidence requirements for establishing Non-U.S. Holder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1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Backup withholding is not an additional tax. If backup withholding is applied to you, you should consult with your tax advisor to determine whether you have overpaid your U.S. federal income tax, and whether you are able to obtain a tax refund or credit of the overpaid amount.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Accounts</w:t>
      </w:r>
    </w:p>
    <w:p>
      <w:pPr>
        <w:spacing w:after="0" w:line="121"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In addition to, and separately from, the withholding rules described above, U.S. federal withholding taxes at a rate of 30% may apply under the law commonly known as the Foreign Account Tax Compliance Act, or FATCA, on certain types of payments, including dividends and the gross proceeds of a disposition of our common stock, made to (A) a “foreign financial institution” (as defined for this purpose) unless such institution (i) is exempt from FATCA withholding pursuant to an applicable intergovernmental agreement between the jurisdiction in which it is located and the United States, (ii) enters into an agreement with the U.S. government to collect and provide to the U.S. tax authorities information regarding U.S. account holders of such institution or</w:t>
      </w:r>
    </w:p>
    <w:p>
      <w:pPr>
        <w:spacing w:after="0" w:line="2" w:lineRule="exact"/>
        <w:rPr>
          <w:sz w:val="20"/>
          <w:szCs w:val="20"/>
          <w:color w:val="auto"/>
        </w:rPr>
      </w:pPr>
    </w:p>
    <w:p>
      <w:pPr>
        <w:ind w:right="280" w:firstLine="8"/>
        <w:spacing w:after="0" w:line="254"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meets other exemptions or (B) a “non-financial foreign entity” (as defined for this purpose), unless such entity (i) is exempt from FATCA withholding pursuant to an applicable intergovernmental agreement between the jurisdiction in which it is located and the United States, (ii) provides the withholding agent with a certification identifying any “substantial U.S. owners” of the entity (as defined for this purpose), (iii) certifies that it does not have any substantial U.S. owners or (iv) meets other exemptions.</w:t>
      </w:r>
    </w:p>
    <w:p>
      <w:pPr>
        <w:spacing w:after="0" w:line="19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Under applicable Treasury Regulations and IRS guidance, FATCA withholding as described above currently applies to payments of dividends on our common stock, and will apply to payments of gross proceeds from the sale or other disposition of our common stock made on or after January 1, 2019.</w:t>
      </w:r>
    </w:p>
    <w:p>
      <w:pPr>
        <w:spacing w:after="0" w:line="14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PRECEDING DISCUSSION OF MATERIAL U.S. FEDERAL INCOME TAX CONSIDERATIONS IS FOR GENERAL INFORMATION ONLY. IT IS NOT TAX ADVICE. EACH PROSPECTIVE INVESTOR SHOULD CONSULT ITS TAX ADVISOR REGARDING THE TAX CONSEQUENCES OF PURCHASING, HOLDING AND DISPOSING OF OUR COMMON STOCK, INCLUDING THE CONSEQUENCES OF ANY PROPOSED CHANGE IN APPLICABLE LAW, AS WELL AS TAX CONSEQUENCES ARISING UNDER ANY STATE, LOCAL, NON-U.S. OR U.S. FEDERAL NON-INCOME TAX LAWS SUCH AS ESTATE AND GIFT TAX.</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Leerink Partners LLC and William Blair &amp; Company, L.L.C. are acting as representatives of each of the underwriters named below and as joint bookrunning managers for this offering. Subject to the terms and conditions set forth in the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19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920" w:type="dxa"/>
            <w:vAlign w:val="bottom"/>
            <w:vMerge w:val="restart"/>
          </w:tcPr>
          <w:p>
            <w:pPr>
              <w:spacing w:after="0"/>
              <w:rPr>
                <w:sz w:val="20"/>
                <w:szCs w:val="20"/>
                <w:color w:val="auto"/>
              </w:rPr>
            </w:pPr>
            <w:r>
              <w:rPr>
                <w:rFonts w:ascii="Arial" w:cs="Arial" w:eastAsia="Arial" w:hAnsi="Arial"/>
                <w:sz w:val="14"/>
                <w:szCs w:val="14"/>
                <w:b w:val="1"/>
                <w:bCs w:val="1"/>
                <w:color w:val="auto"/>
              </w:rPr>
              <w:t>Underwriter</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71"/>
        </w:trPr>
        <w:tc>
          <w:tcPr>
            <w:tcW w:w="6920" w:type="dxa"/>
            <w:vAlign w:val="bottom"/>
            <w:vMerge w:val="continue"/>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210"/>
        </w:trPr>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Leerink Partners LLC</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2,500,000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William Blair &amp; Company, L.L.C.</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BTIG, LLC</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20" w:type="dxa"/>
            <w:vAlign w:val="bottom"/>
          </w:tcPr>
          <w:p>
            <w:pPr>
              <w:ind w:left="36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Subject to the terms and conditions set forth in the underwriting agreement, the underwriters have agreed, severally and not jointly, to purchase all of the shares sold under the underwriting agreement if any of the shares are purchased. If an underwriter defaults, the underwriting agreement provides that the purchase commitments of the non-defaulting underwriters may be increased or the underwriting agreement may be terminated.</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the Securities Act, or to contribute to payments the underwriters may be required to make in respect of those liabilities.</w:t>
      </w:r>
    </w:p>
    <w:p>
      <w:pPr>
        <w:spacing w:after="0" w:line="17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The representatives have advised us that the underwriters propose initially to offer the shares to the public at the public offering price set forth on the cover page of this prospectus supplement and to dealers at that price less a concession not in excess of $0.369 per share. After the initial offering of the shares, the public offering price, concession or any other term of this offering may be changed by the representatives.</w:t>
      </w:r>
    </w:p>
    <w:p>
      <w:pPr>
        <w:spacing w:after="0" w:line="166"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The following table shows the public offering price, underwriting discounts and commissions and proceeds before expenses to us. The information assumes either no exercise or full exercise by the underwriters of their option to purchase additional shares of our common stock.</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Per</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w w:val="95"/>
              </w:rPr>
              <w:t>Total</w:t>
            </w: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Without</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218"/>
              <w:spacing w:after="0" w:line="119" w:lineRule="exact"/>
              <w:rPr>
                <w:sz w:val="20"/>
                <w:szCs w:val="20"/>
                <w:color w:val="auto"/>
              </w:rPr>
            </w:pPr>
            <w:r>
              <w:rPr>
                <w:rFonts w:ascii="Arial" w:cs="Arial" w:eastAsia="Arial" w:hAnsi="Arial"/>
                <w:sz w:val="13"/>
                <w:szCs w:val="13"/>
                <w:b w:val="1"/>
                <w:bCs w:val="1"/>
                <w:color w:val="auto"/>
              </w:rPr>
              <w:t>With</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Share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Option</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10.250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51,250,000</w:t>
            </w: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58,937,500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0.615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3,075,000</w:t>
            </w:r>
          </w:p>
        </w:tc>
        <w:tc>
          <w:tcPr>
            <w:tcW w:w="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3,536,250</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9.635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48,175,000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55,401,250</w:t>
            </w:r>
          </w:p>
        </w:tc>
        <w:tc>
          <w:tcPr>
            <w:tcW w:w="0" w:type="dxa"/>
            <w:vAlign w:val="bottom"/>
          </w:tcPr>
          <w:p>
            <w:pPr>
              <w:spacing w:after="0"/>
              <w:rPr>
                <w:sz w:val="1"/>
                <w:szCs w:val="1"/>
                <w:color w:val="auto"/>
              </w:rPr>
            </w:pPr>
          </w:p>
        </w:tc>
      </w:tr>
      <w:tr>
        <w:trPr>
          <w:trHeight w:val="365"/>
        </w:trPr>
        <w:tc>
          <w:tcPr>
            <w:tcW w:w="3800" w:type="dxa"/>
            <w:vAlign w:val="bottom"/>
          </w:tcPr>
          <w:p>
            <w:pPr>
              <w:spacing w:after="0"/>
              <w:rPr>
                <w:sz w:val="24"/>
                <w:szCs w:val="24"/>
                <w:color w:val="auto"/>
              </w:rPr>
            </w:pPr>
          </w:p>
        </w:tc>
        <w:tc>
          <w:tcPr>
            <w:tcW w:w="2580" w:type="dxa"/>
            <w:vAlign w:val="bottom"/>
            <w:gridSpan w:val="2"/>
          </w:tcPr>
          <w:p>
            <w:pPr>
              <w:jc w:val="right"/>
              <w:ind w:right="1330"/>
              <w:spacing w:after="0"/>
              <w:rPr>
                <w:sz w:val="20"/>
                <w:szCs w:val="20"/>
                <w:color w:val="auto"/>
              </w:rPr>
            </w:pPr>
            <w:r>
              <w:rPr>
                <w:rFonts w:ascii="Arial" w:cs="Arial" w:eastAsia="Arial" w:hAnsi="Arial"/>
                <w:sz w:val="18"/>
                <w:szCs w:val="18"/>
                <w:color w:val="auto"/>
              </w:rPr>
              <w:t>S-14</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We estimate expenses payable by us in connection with this offering, other than the underwriting discounts and commissions referred to above, will be approximately $300,000. We also have agreed to reimburse the underwriters for up to $15,000 for their FINRA counsel fee. In accordance with FINRA Rule 5110, this reimbursed fee is deemed underwriting compensation for this offering.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granted an option to the underwriters, exercisable for 30 days after the date of this prospectus supplement, to purchase up to 750,000 additional shares at the public offering price, less the underwriting discounts and commissions. If the underwriters exercise this option, each underwriter will be obligated, subject to conditions contained in the underwriting agreement, to purchase a number of additional shares proportionate to that underwriter’s initial amount reflected in the above table.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and our executive officers and directors, have agreed not to sell or transfer any common stock or securities convertible into or exchangeable or exercisable for common stock, for 90 days after the date of this prospectus supplement without first obtaining the written consent of Leerink Partners LLC and William Blair &amp; Company, L.L.C. on behalf of the underwriters. Specifically, we and these other persons have agreed, with certain limited exceptions including sales pursuant to existing 10b5-1 trading plans, not to directly or indirectly:</w:t>
      </w:r>
    </w:p>
    <w:p>
      <w:pPr>
        <w:spacing w:after="0" w:line="92"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otherwise dispose of or transfer any common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of any shares of common stock; or</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 into any swap or any other agreement or any transaction that transfers, in whole or in part, directly or indirectly, the economic consequence of ownership of any common stock, whether any such swap or transaction is to be settled by delivery of shares of common stock or other securities, in cash or otherwise.</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common stock. It also applies to common stock owned now or acquired later by the person executing the agreement or for which the person executing the agreement later acquires the power of disposition.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 Listing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Market under the symbol “VCYT.”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8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connection with this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this offering. “Covered” short sales are sales made in an amount not greater than the underwriters’ option described above. The underwriters may close out any covered short position by either exercising their option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this offering. Stabilizing transactions consist of various bids for or purchases of shares of common stock made by the underwriters in the open market prior to the closing of this offering.</w:t>
      </w:r>
    </w:p>
    <w:p>
      <w:pPr>
        <w:spacing w:after="0" w:line="16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underwriters may also impose a penalty bid. This occurs when a particular underwriter repays to the underwriters a portion of the underwriting discount received by it because the representative has repurchased shares sold by or for the account of such underwriter in stabilizing or short covering transactions.</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320"/>
          </w:cols>
          <w:pgMar w:left="24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Stock Market, in the over-the-counter market or otherwise.</w:t>
      </w:r>
    </w:p>
    <w:p>
      <w:pPr>
        <w:spacing w:after="0" w:line="18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this offering, certain of the underwriters or securities dealers may distribute prospectuses by electronic means, such as e-mail.</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w:t>
      </w:r>
    </w:p>
    <w:p>
      <w:pPr>
        <w:spacing w:after="0" w:line="15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1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no offer of shares may be made to the public in that Relevant Member State other than:</w:t>
      </w:r>
    </w:p>
    <w:p>
      <w:pPr>
        <w:spacing w:after="0" w:line="87"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900" w:right="78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as permitted under the Prospectus Directive, subject to obtaining the prior consent of the representatives;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provided that no such offer of shares shall require the Company or the representatives to publish a prospectus pursuant to Article 3 of the Prospectus Directive or supplement a prospectus pursuant to Article 16 of the Prospectus Directive.</w:t>
      </w:r>
    </w:p>
    <w:p>
      <w:pPr>
        <w:spacing w:after="0" w:line="17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Each person in a Relevant Member State who initially acquires any shares or to whom any offer is made will be deemed to have represented, acknowledged and agreed that it is a “qualified investor” within the meaning of the law in that Relevant Member State implementing Article 2(1)(e) of the Prospectus Directive. 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representatives has been obtained to each such proposed offer or resale.</w:t>
      </w:r>
    </w:p>
    <w:p>
      <w:pPr>
        <w:spacing w:after="0" w:line="16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the representatives and each of our and the representatives’ and their affiliates will rely upon the truth and accuracy of the foregoing representations, acknowledgements and agreements.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This prospectus supplement has been prepared on the basis that any offer of shares in any Relevant Member State will be made pursuant to an exemption under the Prospectus Directive from the requirement to publish a prospectus for offers of shares. Accordingly, any person making or intending to make an offer in that Relevant Member State of shares which are the subject of this offering contemplated in this prospectus supplement may only do so in circumstances in which no obligation arises for the company or any of the underwriters to publish a prospectus pursuant to Article 3 of the Prospectus Directive in relation to such offer. Neither the company nor the underwriters have authorized, nor do they authorize, the making of any offer of shares in circumstances in which an obligation arises for the company or the underwriters to publish a prospectus for such offer.</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purpose of the above provisions, the expression “an offer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MiFID II Product Governance</w:t>
      </w:r>
    </w:p>
    <w:p>
      <w:pPr>
        <w:spacing w:after="0" w:line="11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Any person offering, selling or recommending the shares (each, a distributor) should take into consideration the manufacturers’ target market assessment; however, a distributor subject to MiFID II is responsible for undertaking its own target market assessment in respect of the shares (by either adopting or refining the manufacturers’ target market assessment) and determining appropriate distribution channels.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17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shares may be sold only to purchasers purchasing, or deemed to be purchasing, as principal that are accredited investors, as defined in National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Instrument 45-106 Prospectus Exemptions or subsection 73.3(1) of the Securities Act (Ontario), and are permitted clients, as defined in National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Instrument 31-103 Registration Requirements, Exemptions and Ongoing Registrant Obligations. Any resale of the shares must be made in accordance with 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exemption from, or in a transaction not subject to, the prospectus requirements of applicable securities laws.</w:t>
      </w:r>
    </w:p>
    <w:p>
      <w:pPr>
        <w:spacing w:after="0" w:line="21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and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France</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Neither this prospectus supplement nor any other offering material relating to the shares described in this prospectus supplement has been submitted to the clearance procedures of the Autorité des Marchés Financiers or of the competent authority of another member state of the European Economic Area and notified to the Autorité des Marchés Financiers. The shares have not been offered or sold and will not be offered or sold, directly or indirectly, to the public in France. Neither this prospectus supplement nor any other offering material relating to the shares has been or will be: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shares to the public in France.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31" w:lineRule="exact"/>
        <w:rPr>
          <w:sz w:val="20"/>
          <w:szCs w:val="20"/>
          <w:color w:val="auto"/>
        </w:rPr>
      </w:pPr>
    </w:p>
    <w:p>
      <w:pPr>
        <w:jc w:val="both"/>
        <w:ind w:left="900" w:right="60" w:hanging="325"/>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qualified investors (investisseurs qualifiés) 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86" w:lineRule="exact"/>
        <w:rPr>
          <w:rFonts w:ascii="Arial" w:cs="Arial" w:eastAsia="Arial" w:hAnsi="Arial"/>
          <w:sz w:val="18"/>
          <w:szCs w:val="18"/>
          <w:color w:val="auto"/>
        </w:rPr>
      </w:pPr>
    </w:p>
    <w:p>
      <w:pPr>
        <w:ind w:left="900" w:right="220" w:hanging="325"/>
        <w:spacing w:after="0" w:line="286"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investment services providers authorized to engage in portfolio management on behalf of third parties; or in a transaction that, in accordance with article L.411-2-II-1°-or-2°-or 3° of the French Code monétaire et financier and article 211-2 of the General Regulations (Règlement Général) of the Autorité des Marchés Financiers, does not constitute a public offer (appel public à l’épargne).</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shares may be resold directly or indirectly, only in compliance with articles L.411-1, L.411-2, L.412-1 and L.621-8 through L.621-8-3 of the French Code monétaire et financier.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1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shares may not be offered or sold in Hong Kong by means of any document other than (1) in circumstances which do not constitute an offer to the public within the meaning of the Companies Ordinance (Cap. 32, Laws of Hong Kong), (2) to “professional investors” within the meaning of the Securities and Futures Ordinance (Cap. 571, Laws of Hong Kong) and any rules made thereunder, or (3) in other circumstances which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shares offered in this prospectus supplement have not been and will not be registered under the Financial Instruments and Exchange Law of Japan. The shares have not been offered or sold and will not be offered or sold, directly or indirectly, in Japan or to or for the account of any resident of Japan (including any corporation or other entity organized under the laws of Japan), except (1) pursuant to an exemption from the registration requirements of the Financial Instruments and Exchange Law and (2) in compliance with any other applicable requirements of Japanese law.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17"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This prospectus supplement and the accompanying prospectuses have not been registered as a prospectus with the Monetary Authority of Singapore. Accordingly, this prospectus supplement and the accompanying prospectuses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(1) to an institutional investor under Section 274 of the Securities and Futures Act, Chapter 289 of Singapore, or the SFA, (2) to a relevant person pursuant to Section 275(1), or any person pursuant to Section 275(1A), and in accordance with the conditions specified in Section 275 of the SFA, or (3) otherwise pursuant to, and in accordance with the conditions of, any other applicable provision of the SFA, in each case subject to compliance with conditions set forth in the SFA.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31" w:lineRule="exact"/>
        <w:rPr>
          <w:sz w:val="20"/>
          <w:szCs w:val="20"/>
          <w:color w:val="auto"/>
        </w:rPr>
      </w:pPr>
    </w:p>
    <w:p>
      <w:pPr>
        <w:ind w:left="900" w:right="2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92"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40"/>
        <w:spacing w:after="0" w:line="342" w:lineRule="auto"/>
        <w:rPr>
          <w:sz w:val="20"/>
          <w:szCs w:val="20"/>
          <w:color w:val="auto"/>
        </w:rPr>
      </w:pPr>
      <w:r>
        <w:rPr>
          <w:rFonts w:ascii="Arial" w:cs="Arial" w:eastAsia="Arial" w:hAnsi="Arial"/>
          <w:sz w:val="16"/>
          <w:szCs w:val="16"/>
          <w:color w:val="auto"/>
        </w:rPr>
        <w:t>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29"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1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No prospectus or other disclosure document (as defined in the Corporations Act 2001 (Cth) of Australia, or the Corporations Act) in relation to the common stock has been or will be lodged with the Australian Securities &amp; Investments Commission, or ASIC. This document has not been lodged with ASIC and is only directed to certain categories of exempt persons. Accordingly, if you receive this document in Australia: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you confirm and warrant that you are either:</w:t>
      </w:r>
    </w:p>
    <w:p>
      <w:pPr>
        <w:spacing w:after="0" w:line="131"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w:t>
      </w:r>
    </w:p>
    <w:p>
      <w:pPr>
        <w:spacing w:after="0" w:line="130" w:lineRule="exact"/>
        <w:rPr>
          <w:rFonts w:ascii="Arial" w:cs="Arial" w:eastAsia="Arial" w:hAnsi="Arial"/>
          <w:sz w:val="18"/>
          <w:szCs w:val="18"/>
          <w:color w:val="auto"/>
        </w:rPr>
      </w:pPr>
    </w:p>
    <w:p>
      <w:pPr>
        <w:jc w:val="both"/>
        <w:ind w:left="900" w:right="360" w:hanging="325"/>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“sophisticated investor” under section 708(8)(c) or (d) of the Corporations Act and that you have provided an accountant’s certificate to us which complies with the requirements of section 708(8)(c)(i) or (ii) of the Corporations Act and related regulations before the offer has been made;</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person associated with the company under section 708(12) of the Corporations Act; or</w:t>
      </w:r>
    </w:p>
    <w:p>
      <w:pPr>
        <w:spacing w:after="0" w:line="130"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“professional investor” within the meaning of section 708(11)(a) or (b) of the Corporations Act, and to the extent that you are unable to confirm or warrant that you are an exempt sophisticated investor, associated person or professional investor under the Corporations Act any offer made to you under this document is void and incapable of acceptance; and</w:t>
      </w:r>
    </w:p>
    <w:p>
      <w:pPr>
        <w:spacing w:after="0" w:line="86" w:lineRule="exact"/>
        <w:rPr>
          <w:rFonts w:ascii="Arial" w:cs="Arial" w:eastAsia="Arial" w:hAnsi="Arial"/>
          <w:sz w:val="18"/>
          <w:szCs w:val="18"/>
          <w:color w:val="auto"/>
        </w:rPr>
      </w:pPr>
    </w:p>
    <w:p>
      <w:pPr>
        <w:ind w:left="900" w:right="320" w:hanging="325"/>
        <w:spacing w:after="0" w:line="34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you warrant and agree that you will not offer any of the common stock for resale in Australia within 12 months of that common stock being issued unless any such resale offer is exempt from the requirement to issue a disclosure document under section 708 of the Corporations Act.</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60"/>
        <w:spacing w:after="0" w:line="308" w:lineRule="auto"/>
        <w:rPr>
          <w:sz w:val="20"/>
          <w:szCs w:val="20"/>
          <w:color w:val="auto"/>
        </w:rPr>
      </w:pPr>
      <w:r>
        <w:rPr>
          <w:rFonts w:ascii="Arial" w:cs="Arial" w:eastAsia="Arial" w:hAnsi="Arial"/>
          <w:sz w:val="17"/>
          <w:szCs w:val="17"/>
          <w:color w:val="auto"/>
        </w:rPr>
        <w:t>The validity of the shares of common stock being offered hereby will be passed upon for us by Fenwick &amp; West LLP, San Francisco, California. Certain legal matters in connection with this offering will be passed upon for the underwriters by Latham &amp; Watkins LLP, Boston, Massachusetts.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Ernst &amp; Young LLP, independent registered public accounting firm, has audited our financial statements included in our Annual Report on Form 10-K for the year ended December 31, 2017, as set forth in their report, which is incorporated by reference in this prospectus supplement and elsewhere in the registration statement. Our financial statements are incorporated by reference in reliance on Ernst &amp; Young LLP’s report, given on their authority as experts in accounting and auditing.</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filed a registration statement on Form S-3 with the SEC under the Securities Act. This prospectus supplement and the accompanying prospectus are part of the registration statement but the registration statement includes and incorporates by reference additional information and exhibits. We file annual, quarterly and current reports, proxy statements and other information with the SEC. You may read and copy the registration statement and any document we file with the SEC at the Public Reference Room maintained by the SEC at 100 F Street, N.E., Washington, D.C. 20549. You may obtain information on the operation of the public reference room by calling the SEC at 1-800-SEC-0330. The SEC also maintains a website that contains reports, proxy and information statements and other information regarding companies, such as ours, that file documents electronically with the SEC. The address of that site on the Internet is http://www.sec.gov. The information on the SEC’s website is not part of this prospectus supplement or the accompanying prospectus, and any references to this website or any other website are inactive textual references only.</w:t>
      </w:r>
    </w:p>
    <w:p>
      <w:pPr>
        <w:spacing w:after="0" w:line="17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SEC permits us to “incorporate by reference” the information contained in documents we file with the SEC, which means that we can disclose important information to you by referring you to those documents rather than by including them in this prospectus supplement or the accompanying prospectus. Information that is incorporated by reference is considered to be part of this prospectus supplement and the accompanying prospectus and you should read it with the same care that you read this prospectus supplement and the accompanying prospectus. Later information that we file with the SEC will automatically update and supersede the information that is either contained, or incorporated by reference, in this prospectus supplement and the accompanying prospectus, and will be considered to be a part of this prospectus supplement and the accompanying prospectus from the date those documents are filed. We have filed with the SEC, and incorporate by reference in this prospectus supplement and the accompanying prospectus:</w:t>
      </w:r>
    </w:p>
    <w:p>
      <w:pPr>
        <w:spacing w:after="0" w:line="83" w:lineRule="exact"/>
        <w:rPr>
          <w:sz w:val="20"/>
          <w:szCs w:val="20"/>
          <w:color w:val="auto"/>
        </w:rPr>
      </w:pPr>
    </w:p>
    <w:p>
      <w:pPr>
        <w:ind w:left="440" w:right="340" w:hanging="324"/>
        <w:spacing w:after="0" w:line="264"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2017, filed with the SEC on February 27, 2018, including certain information incorporated by reference therein from our Definitive Proxy Statement for our 2018 annual meeting of stockholders filed with the SEC on April 19, 2018;</w:t>
      </w:r>
    </w:p>
    <w:p>
      <w:pPr>
        <w:spacing w:after="0" w:line="86" w:lineRule="exact"/>
        <w:rPr>
          <w:rFonts w:ascii="Arial" w:cs="Arial" w:eastAsia="Arial" w:hAnsi="Arial"/>
          <w:sz w:val="18"/>
          <w:szCs w:val="18"/>
          <w:color w:val="auto"/>
        </w:rPr>
      </w:pPr>
    </w:p>
    <w:p>
      <w:pPr>
        <w:ind w:left="440" w:right="80" w:hanging="324"/>
        <w:spacing w:after="0" w:line="277"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2018, filed with the SEC on May 1, 2018, and June 30, 2018, filed with the SEC on July 23, 2018;</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January 8, 2018, February 28, 2018 and June 6, 2018; and</w:t>
      </w:r>
    </w:p>
    <w:p>
      <w:pPr>
        <w:spacing w:after="0" w:line="130" w:lineRule="exact"/>
        <w:rPr>
          <w:rFonts w:ascii="Arial" w:cs="Arial" w:eastAsia="Arial" w:hAnsi="Arial"/>
          <w:sz w:val="18"/>
          <w:szCs w:val="18"/>
          <w:color w:val="auto"/>
        </w:rPr>
      </w:pPr>
    </w:p>
    <w:p>
      <w:pPr>
        <w:jc w:val="both"/>
        <w:ind w:left="440" w:right="160" w:hanging="324"/>
        <w:spacing w:after="0" w:line="264"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with the SEC on October 28, 2013 under Section 12 of the Securities and Exchange Act of 1934, as amended, or the Exchange Act, including any amendment or report filed for the purpose of updating such description.</w:t>
      </w:r>
    </w:p>
    <w:p>
      <w:pPr>
        <w:spacing w:after="0" w:line="181"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We also incorporate by reference all additional documents that we file with the SEC under the terms of Section 13(a), 13(c), 14 or 15(d) of the Exchange Act that are made after the initial filing date of the registration statement of which this prospectus supplement and the accompanying prospectus is a part and the effectiveness of the registration statement, as well as between the date of this prospectus supplement and the termination of any offering of securities offered by this prospectus supplement and the accompanying prospectus. We are not, however, incorporating, in each case, any documents or information that we are deemed to furnish and not file in accordance with SEC rules.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You may request a copy of any or all of the documents incorporated by reference but not delivered with this prospectus supplement and the accompanying prospectus, at no cost, by writing or telephoning us at the following address and number: Investor Relations, Veracyte, Inc., 6000 Shoreline Court, Suite 300, South San Francisco, California 94080 and (650) 243-6300. We will not, however, send exhibits to those documents, unless the exhibits are specifically incorporated by reference in those documents.</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make available free of charge on our website our annual reports on Form 10-K, quarterly reports on Form 10-Q, current reports on Form 8-K and amendments to those reports, as soon as reasonably practicable after we electronically file or furnish such materials to the SEC. You may obtain a free copy of these reports on the Investor Relations section of our website, www.veracyte.com.</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$125,000,000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178435</wp:posOffset>
            </wp:positionV>
            <wp:extent cx="2178050" cy="651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7805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VERACYTE, INC.</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Common Stock, Preferred Stock,</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Debt Securities, Warrants,</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Subscription Rights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We may, from time to time, offer and sell common stock, preferred stock, debt securities, warrants, subscription rights, and/or units consisting of some or all of these securities, in any combination, together or separately, in one or more offerings. The preferred stock, debt securities and warrants may be convertible into or exercisable or exchangeable for common or preferred stock or debt securities. The subscription rights may be exercisable for common or preferred stock. The aggregate initial offering price of all securities sold under this prospectus will not exceed $125,000,000.</w:t>
      </w:r>
    </w:p>
    <w:p>
      <w:pPr>
        <w:spacing w:after="0" w:line="17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will specify in an accompanying prospectus supplement more specific information about any such offering. This prospectus may not be used to sell any of these securities unless accompanied by the applicable prospectus supplement.</w:t>
      </w:r>
    </w:p>
    <w:p>
      <w:pPr>
        <w:spacing w:after="0" w:line="170"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Our common stock is listed on The Nasdaq Global Market under the symbol “VCYT.” On April 30, 2018, the last reported sale price of our common stock on The Nasdaq Global Market was $6.06 per share. None of the other securities we may offer are currently traded on any securities exchange. The applicable prospectus supplement and any related free writing prospectus will contain information, where applicable, as to any other listing on The Nasdaq Global Market or any securities market or exchange of the securities covered by the prospectus supplement and any related free writing prospectus.</w:t>
      </w:r>
    </w:p>
    <w:p>
      <w:pPr>
        <w:spacing w:after="0" w:line="141" w:lineRule="exact"/>
        <w:rPr>
          <w:sz w:val="20"/>
          <w:szCs w:val="20"/>
          <w:color w:val="auto"/>
        </w:rPr>
      </w:pPr>
    </w:p>
    <w:p>
      <w:pPr>
        <w:ind w:right="20" w:firstLine="456"/>
        <w:spacing w:after="0" w:line="254" w:lineRule="auto"/>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securities involves risks. See the section entitled “</w:t>
      </w:r>
      <w:hyperlink w:anchor="page27">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on page 3 of this prospectus. You should carefully review the risks and uncertainties described under the heading “Risk Factors” contained in the applicable prospectus supplement and any related free writing prospectus, and under similar headings in the other documents that are incorporated or deemed incorporated by reference into this prospectus.</w:t>
      </w:r>
    </w:p>
    <w:p>
      <w:pPr>
        <w:spacing w:after="0" w:line="179"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The securities described in this prospectus may be offered and sold to or through underwriters, dealers or agents as designated from time to time, or directly to one or more other purchasers or through a combination of such methods. See “Plan of Distribution” on page 14. If any underwriters, dealers or agents are involved in the sale of any of the securities, their names, and any applicable purchase price, fee, commission or discount arrangements between or among them, will be set forth, or will be calculable from the information set forth, in the applicable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regulators have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date of this prospectus is May 11, 2018.</w:t>
      </w:r>
    </w:p>
    <w:p>
      <w:pPr>
        <w:sectPr>
          <w:pgSz w:w="11900" w:h="16838" w:orient="portrait"/>
          <w:cols w:equalWidth="0" w:num="1">
            <w:col w:w="11400"/>
          </w:cols>
          <w:pgMar w:left="240" w:top="459" w:right="25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4680" w:type="dxa"/>
            <w:vAlign w:val="bottom"/>
            <w:gridSpan w:val="18"/>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6680" w:type="dxa"/>
            <w:vAlign w:val="bottom"/>
          </w:tcPr>
          <w:p>
            <w:pPr>
              <w:spacing w:after="0"/>
              <w:rPr>
                <w:sz w:val="17"/>
                <w:szCs w:val="17"/>
                <w:color w:val="auto"/>
              </w:rPr>
            </w:pPr>
          </w:p>
        </w:tc>
      </w:tr>
      <w:tr>
        <w:trPr>
          <w:trHeight w:val="534"/>
        </w:trPr>
        <w:tc>
          <w:tcPr>
            <w:tcW w:w="8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80" w:type="dxa"/>
            <w:vAlign w:val="bottom"/>
          </w:tcPr>
          <w:p>
            <w:pPr>
              <w:jc w:val="right"/>
              <w:ind w:right="4590"/>
              <w:spacing w:after="0"/>
              <w:rPr>
                <w:sz w:val="20"/>
                <w:szCs w:val="20"/>
                <w:color w:val="auto"/>
              </w:rPr>
            </w:pPr>
            <w:r>
              <w:rPr>
                <w:rFonts w:ascii="Arial" w:cs="Arial" w:eastAsia="Arial" w:hAnsi="Arial"/>
                <w:sz w:val="18"/>
                <w:szCs w:val="18"/>
                <w:b w:val="1"/>
                <w:bCs w:val="1"/>
                <w:color w:val="auto"/>
              </w:rPr>
              <w:t>TABLE OF CONTENTS</w:t>
            </w:r>
          </w:p>
        </w:tc>
      </w:tr>
      <w:tr>
        <w:trPr>
          <w:trHeight w:val="419"/>
        </w:trPr>
        <w:tc>
          <w:tcPr>
            <w:tcW w:w="2360" w:type="dxa"/>
            <w:vAlign w:val="bottom"/>
            <w:tcBorders>
              <w:bottom w:val="single" w:sz="8" w:color="0000EE"/>
            </w:tcBorders>
            <w:gridSpan w:val="9"/>
          </w:tcPr>
          <w:p>
            <w:pPr>
              <w:spacing w:after="0"/>
              <w:rPr>
                <w:rFonts w:ascii="Arial" w:cs="Arial" w:eastAsia="Arial" w:hAnsi="Arial"/>
                <w:sz w:val="18"/>
                <w:szCs w:val="18"/>
                <w:b w:val="1"/>
                <w:bCs w:val="1"/>
                <w:color w:val="0000EE"/>
                <w:w w:val="97"/>
              </w:rPr>
            </w:pPr>
            <w:hyperlink w:anchor="page26">
              <w:r>
                <w:rPr>
                  <w:rFonts w:ascii="Arial" w:cs="Arial" w:eastAsia="Arial" w:hAnsi="Arial"/>
                  <w:sz w:val="18"/>
                  <w:szCs w:val="18"/>
                  <w:b w:val="1"/>
                  <w:bCs w:val="1"/>
                  <w:color w:val="0000EE"/>
                  <w:w w:val="97"/>
                </w:rPr>
                <w:t>ABOUT THIS PROSPECTUS</w:t>
              </w:r>
            </w:hyperlink>
          </w:p>
        </w:tc>
        <w:tc>
          <w:tcPr>
            <w:tcW w:w="2320" w:type="dxa"/>
            <w:vAlign w:val="bottom"/>
            <w:gridSpan w:val="9"/>
          </w:tcPr>
          <w:p>
            <w:pPr>
              <w:spacing w:after="0"/>
              <w:rPr>
                <w:sz w:val="24"/>
                <w:szCs w:val="24"/>
                <w:color w:val="auto"/>
              </w:rPr>
            </w:pPr>
          </w:p>
        </w:tc>
        <w:tc>
          <w:tcPr>
            <w:tcW w:w="6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196"/>
        </w:trPr>
        <w:tc>
          <w:tcPr>
            <w:tcW w:w="220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8"/>
              </w:rPr>
            </w:pPr>
            <w:hyperlink w:anchor="page26">
              <w:r>
                <w:rPr>
                  <w:rFonts w:ascii="Arial" w:cs="Arial" w:eastAsia="Arial" w:hAnsi="Arial"/>
                  <w:sz w:val="18"/>
                  <w:szCs w:val="18"/>
                  <w:b w:val="1"/>
                  <w:bCs w:val="1"/>
                  <w:color w:val="0000EE"/>
                  <w:w w:val="98"/>
                </w:rPr>
                <w:t>PROSPECTUS SUMMARY</w:t>
              </w:r>
            </w:hyperlink>
          </w:p>
        </w:tc>
        <w:tc>
          <w:tcPr>
            <w:tcW w:w="2480" w:type="dxa"/>
            <w:vAlign w:val="bottom"/>
            <w:gridSpan w:val="10"/>
          </w:tcPr>
          <w:p>
            <w:pPr>
              <w:spacing w:after="0"/>
              <w:rPr>
                <w:sz w:val="17"/>
                <w:szCs w:val="17"/>
                <w:color w:val="auto"/>
              </w:rPr>
            </w:pPr>
          </w:p>
        </w:tc>
        <w:tc>
          <w:tcPr>
            <w:tcW w:w="66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3720" w:type="dxa"/>
            <w:vAlign w:val="bottom"/>
            <w:tcBorders>
              <w:bottom w:val="single" w:sz="8" w:color="0000EE"/>
            </w:tcBorders>
            <w:gridSpan w:val="16"/>
          </w:tcPr>
          <w:p>
            <w:pPr>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RATIO OF EARNINGS TO FIXED CHARGES</w:t>
              </w:r>
            </w:hyperlink>
          </w:p>
        </w:tc>
        <w:tc>
          <w:tcPr>
            <w:tcW w:w="960" w:type="dxa"/>
            <w:vAlign w:val="bottom"/>
            <w:gridSpan w:val="2"/>
          </w:tcPr>
          <w:p>
            <w:pPr>
              <w:spacing w:after="0"/>
              <w:rPr>
                <w:sz w:val="17"/>
                <w:szCs w:val="17"/>
                <w:color w:val="auto"/>
              </w:rPr>
            </w:pPr>
          </w:p>
        </w:tc>
        <w:tc>
          <w:tcPr>
            <w:tcW w:w="66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34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97"/>
              </w:rPr>
            </w:pPr>
            <w:hyperlink w:anchor="page27">
              <w:r>
                <w:rPr>
                  <w:rFonts w:ascii="Arial" w:cs="Arial" w:eastAsia="Arial" w:hAnsi="Arial"/>
                  <w:sz w:val="18"/>
                  <w:szCs w:val="18"/>
                  <w:b w:val="1"/>
                  <w:bCs w:val="1"/>
                  <w:color w:val="0000EE"/>
                  <w:w w:val="97"/>
                </w:rPr>
                <w:t>RISK FACTORS</w:t>
              </w:r>
            </w:hyperlink>
          </w:p>
        </w:tc>
        <w:tc>
          <w:tcPr>
            <w:tcW w:w="3340" w:type="dxa"/>
            <w:vAlign w:val="bottom"/>
            <w:gridSpan w:val="16"/>
          </w:tcPr>
          <w:p>
            <w:pPr>
              <w:spacing w:after="0"/>
              <w:rPr>
                <w:sz w:val="17"/>
                <w:szCs w:val="17"/>
                <w:color w:val="auto"/>
              </w:rPr>
            </w:pPr>
          </w:p>
        </w:tc>
        <w:tc>
          <w:tcPr>
            <w:tcW w:w="66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4680" w:type="dxa"/>
            <w:vAlign w:val="bottom"/>
            <w:gridSpan w:val="18"/>
          </w:tcPr>
          <w:p>
            <w:pPr>
              <w:spacing w:after="0" w:line="19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FORWARD-LOOKING STATEMENTS</w:t>
              </w:r>
            </w:hyperlink>
          </w:p>
        </w:tc>
        <w:tc>
          <w:tcPr>
            <w:tcW w:w="66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6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b w:val="1"/>
                <w:bCs w:val="1"/>
                <w:color w:val="0000EE"/>
                <w:w w:val="95"/>
              </w:rPr>
            </w:pPr>
            <w:hyperlink w:anchor="page28">
              <w:r>
                <w:rPr>
                  <w:rFonts w:ascii="Arial" w:cs="Arial" w:eastAsia="Arial" w:hAnsi="Arial"/>
                  <w:sz w:val="18"/>
                  <w:szCs w:val="18"/>
                  <w:b w:val="1"/>
                  <w:bCs w:val="1"/>
                  <w:color w:val="0000EE"/>
                  <w:w w:val="95"/>
                </w:rPr>
                <w:t>USE OF PROCEEDS</w:t>
              </w:r>
            </w:hyperlink>
          </w:p>
        </w:tc>
        <w:tc>
          <w:tcPr>
            <w:tcW w:w="1440" w:type="dxa"/>
            <w:vAlign w:val="bottom"/>
            <w:tcBorders>
              <w:top w:val="single" w:sz="8" w:color="0000EE"/>
            </w:tcBorders>
            <w:gridSpan w:val="6"/>
          </w:tcPr>
          <w:p>
            <w:pPr>
              <w:spacing w:after="0"/>
              <w:rPr>
                <w:sz w:val="17"/>
                <w:szCs w:val="17"/>
                <w:color w:val="auto"/>
              </w:rPr>
            </w:pPr>
          </w:p>
        </w:tc>
        <w:tc>
          <w:tcPr>
            <w:tcW w:w="1560" w:type="dxa"/>
            <w:vAlign w:val="bottom"/>
            <w:gridSpan w:val="7"/>
          </w:tcPr>
          <w:p>
            <w:pPr>
              <w:spacing w:after="0"/>
              <w:rPr>
                <w:sz w:val="17"/>
                <w:szCs w:val="17"/>
                <w:color w:val="auto"/>
              </w:rPr>
            </w:pPr>
          </w:p>
        </w:tc>
        <w:tc>
          <w:tcPr>
            <w:tcW w:w="66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316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DESCRIPTION OF COMMON STOCK</w:t>
              </w:r>
            </w:hyperlink>
          </w:p>
        </w:tc>
        <w:tc>
          <w:tcPr>
            <w:tcW w:w="1520" w:type="dxa"/>
            <w:vAlign w:val="bottom"/>
            <w:gridSpan w:val="6"/>
          </w:tcPr>
          <w:p>
            <w:pPr>
              <w:spacing w:after="0"/>
              <w:rPr>
                <w:sz w:val="17"/>
                <w:szCs w:val="17"/>
                <w:color w:val="auto"/>
              </w:rPr>
            </w:pPr>
          </w:p>
        </w:tc>
        <w:tc>
          <w:tcPr>
            <w:tcW w:w="66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680" w:type="dxa"/>
            <w:vAlign w:val="bottom"/>
            <w:gridSpan w:val="18"/>
          </w:tcPr>
          <w:p>
            <w:pPr>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DESCRIPTION OF PREFERRED STOCK</w:t>
              </w:r>
            </w:hyperlink>
          </w:p>
        </w:tc>
        <w:tc>
          <w:tcPr>
            <w:tcW w:w="66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360" w:type="dxa"/>
            <w:vAlign w:val="bottom"/>
            <w:tcBorders>
              <w:top w:val="single" w:sz="8" w:color="0000EE"/>
            </w:tcBorders>
            <w:gridSpan w:val="14"/>
          </w:tcPr>
          <w:p>
            <w:pPr>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DESCRIPTION OF DEBT SECURITIES</w:t>
              </w:r>
            </w:hyperlink>
          </w:p>
        </w:tc>
        <w:tc>
          <w:tcPr>
            <w:tcW w:w="1320" w:type="dxa"/>
            <w:vAlign w:val="bottom"/>
            <w:gridSpan w:val="4"/>
          </w:tcPr>
          <w:p>
            <w:pPr>
              <w:spacing w:after="0"/>
              <w:rPr>
                <w:sz w:val="17"/>
                <w:szCs w:val="17"/>
                <w:color w:val="auto"/>
              </w:rPr>
            </w:pPr>
          </w:p>
        </w:tc>
        <w:tc>
          <w:tcPr>
            <w:tcW w:w="66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220" w:type="dxa"/>
            <w:vAlign w:val="bottom"/>
            <w:tcBorders>
              <w:top w:val="single" w:sz="8" w:color="0000EE"/>
            </w:tcBorders>
            <w:gridSpan w:val="13"/>
          </w:tcPr>
          <w:p>
            <w:pPr>
              <w:spacing w:after="0" w:line="19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DESCRIPTION OF WARRANTS</w:t>
              </w:r>
            </w:hyperlink>
          </w:p>
        </w:tc>
        <w:tc>
          <w:tcPr>
            <w:tcW w:w="1460" w:type="dxa"/>
            <w:vAlign w:val="bottom"/>
            <w:gridSpan w:val="5"/>
          </w:tcPr>
          <w:p>
            <w:pPr>
              <w:spacing w:after="0"/>
              <w:rPr>
                <w:sz w:val="17"/>
                <w:szCs w:val="17"/>
                <w:color w:val="auto"/>
              </w:rPr>
            </w:pPr>
          </w:p>
        </w:tc>
        <w:tc>
          <w:tcPr>
            <w:tcW w:w="66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84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196"/>
        </w:trPr>
        <w:tc>
          <w:tcPr>
            <w:tcW w:w="3700" w:type="dxa"/>
            <w:vAlign w:val="bottom"/>
            <w:tcBorders>
              <w:bottom w:val="single" w:sz="8" w:color="0000EE"/>
            </w:tcBorders>
            <w:gridSpan w:val="15"/>
          </w:tcPr>
          <w:p>
            <w:pPr>
              <w:spacing w:after="0" w:line="19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DESCRIPTION OF SUBSCRIPTION RIGHTS</w:t>
              </w:r>
            </w:hyperlink>
          </w:p>
        </w:tc>
        <w:tc>
          <w:tcPr>
            <w:tcW w:w="980" w:type="dxa"/>
            <w:vAlign w:val="bottom"/>
            <w:gridSpan w:val="3"/>
          </w:tcPr>
          <w:p>
            <w:pPr>
              <w:spacing w:after="0"/>
              <w:rPr>
                <w:sz w:val="17"/>
                <w:szCs w:val="17"/>
                <w:color w:val="auto"/>
              </w:rPr>
            </w:pPr>
          </w:p>
        </w:tc>
        <w:tc>
          <w:tcPr>
            <w:tcW w:w="66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4680" w:type="dxa"/>
            <w:vAlign w:val="bottom"/>
            <w:gridSpan w:val="18"/>
          </w:tcPr>
          <w:p>
            <w:pPr>
              <w:spacing w:after="0" w:line="196"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DESCRIPTION OF UNITS</w:t>
              </w:r>
            </w:hyperlink>
          </w:p>
        </w:tc>
        <w:tc>
          <w:tcPr>
            <w:tcW w:w="66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84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1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196"/>
        </w:trPr>
        <w:tc>
          <w:tcPr>
            <w:tcW w:w="4680" w:type="dxa"/>
            <w:vAlign w:val="bottom"/>
            <w:gridSpan w:val="18"/>
          </w:tcPr>
          <w:p>
            <w:pPr>
              <w:spacing w:after="0" w:line="196"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PLAN OF DISTRIBUTION</w:t>
              </w:r>
            </w:hyperlink>
          </w:p>
        </w:tc>
        <w:tc>
          <w:tcPr>
            <w:tcW w:w="66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5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LEGAL MATTERS</w:t>
              </w:r>
            </w:hyperlink>
          </w:p>
        </w:tc>
        <w:tc>
          <w:tcPr>
            <w:tcW w:w="600" w:type="dxa"/>
            <w:vAlign w:val="bottom"/>
            <w:tcBorders>
              <w:top w:val="single" w:sz="8" w:color="0000EE"/>
            </w:tcBorders>
            <w:gridSpan w:val="3"/>
          </w:tcPr>
          <w:p>
            <w:pPr>
              <w:spacing w:after="0"/>
              <w:rPr>
                <w:sz w:val="17"/>
                <w:szCs w:val="17"/>
                <w:color w:val="auto"/>
              </w:rPr>
            </w:pPr>
          </w:p>
        </w:tc>
        <w:tc>
          <w:tcPr>
            <w:tcW w:w="2520" w:type="dxa"/>
            <w:vAlign w:val="bottom"/>
            <w:gridSpan w:val="11"/>
          </w:tcPr>
          <w:p>
            <w:pPr>
              <w:spacing w:after="0"/>
              <w:rPr>
                <w:sz w:val="17"/>
                <w:szCs w:val="17"/>
                <w:color w:val="auto"/>
              </w:rPr>
            </w:pPr>
          </w:p>
        </w:tc>
        <w:tc>
          <w:tcPr>
            <w:tcW w:w="66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840" w:type="dxa"/>
            <w:vAlign w:val="bottom"/>
            <w:tcBorders>
              <w:bottom w:val="single" w:sz="8" w:color="0000EE"/>
            </w:tcBorders>
          </w:tcPr>
          <w:p>
            <w:pPr>
              <w:spacing w:after="0" w:line="196" w:lineRule="exact"/>
              <w:rPr>
                <w:rFonts w:ascii="Arial" w:cs="Arial" w:eastAsia="Arial" w:hAnsi="Arial"/>
                <w:sz w:val="18"/>
                <w:szCs w:val="18"/>
                <w:b w:val="1"/>
                <w:bCs w:val="1"/>
                <w:color w:val="0000EE"/>
                <w:w w:val="97"/>
              </w:rPr>
            </w:pPr>
            <w:hyperlink w:anchor="page41">
              <w:r>
                <w:rPr>
                  <w:rFonts w:ascii="Arial" w:cs="Arial" w:eastAsia="Arial" w:hAnsi="Arial"/>
                  <w:sz w:val="18"/>
                  <w:szCs w:val="18"/>
                  <w:b w:val="1"/>
                  <w:bCs w:val="1"/>
                  <w:color w:val="0000EE"/>
                  <w:w w:val="97"/>
                </w:rPr>
                <w:t>EXPERTS</w:t>
              </w:r>
            </w:hyperlink>
          </w:p>
        </w:tc>
        <w:tc>
          <w:tcPr>
            <w:tcW w:w="3840" w:type="dxa"/>
            <w:vAlign w:val="bottom"/>
            <w:gridSpan w:val="17"/>
          </w:tcPr>
          <w:p>
            <w:pPr>
              <w:spacing w:after="0"/>
              <w:rPr>
                <w:sz w:val="17"/>
                <w:szCs w:val="17"/>
                <w:color w:val="auto"/>
              </w:rPr>
            </w:pPr>
          </w:p>
        </w:tc>
        <w:tc>
          <w:tcPr>
            <w:tcW w:w="66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4040" w:type="dxa"/>
            <w:vAlign w:val="bottom"/>
            <w:tcBorders>
              <w:bottom w:val="single" w:sz="8" w:color="0000EE"/>
            </w:tcBorders>
            <w:gridSpan w:val="17"/>
          </w:tcPr>
          <w:p>
            <w:pPr>
              <w:spacing w:after="0" w:line="196"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WHERE YOU CAN FIND MORE INFORMATION</w:t>
              </w:r>
            </w:hyperlink>
          </w:p>
        </w:tc>
        <w:tc>
          <w:tcPr>
            <w:tcW w:w="640" w:type="dxa"/>
            <w:vAlign w:val="bottom"/>
          </w:tcPr>
          <w:p>
            <w:pPr>
              <w:spacing w:after="0"/>
              <w:rPr>
                <w:sz w:val="17"/>
                <w:szCs w:val="17"/>
                <w:color w:val="auto"/>
              </w:rPr>
            </w:pPr>
          </w:p>
        </w:tc>
        <w:tc>
          <w:tcPr>
            <w:tcW w:w="66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4680" w:type="dxa"/>
            <w:vAlign w:val="bottom"/>
            <w:tcBorders>
              <w:bottom w:val="single" w:sz="8" w:color="0000EE"/>
            </w:tcBorders>
            <w:gridSpan w:val="18"/>
          </w:tcPr>
          <w:p>
            <w:pPr>
              <w:spacing w:after="0" w:line="196"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INCORPORATION OF INFORMATION BY REFERENCE</w:t>
              </w:r>
            </w:hyperlink>
          </w:p>
        </w:tc>
        <w:tc>
          <w:tcPr>
            <w:tcW w:w="66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bl>
    <w:p>
      <w:pPr>
        <w:jc w:val="right"/>
        <w:spacing w:after="0" w:line="196" w:lineRule="exact"/>
        <w:rPr>
          <w:sz w:val="20"/>
          <w:szCs w:val="20"/>
          <w:color w:val="auto"/>
        </w:rPr>
        <w:sectPr>
          <w:pgSz w:w="11900" w:h="16838" w:orient="portrait"/>
          <w:cols w:equalWidth="0" w:num="1">
            <w:col w:w="11360"/>
          </w:cols>
          <w:pgMar w:left="240" w:top="446"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or SEC, using a “shelf” registration, or continuous offering, process under the Securities Act of 1933, as amended, or the Securities Act. Under this shelf registration process, we may, from time to time, offer and sell separately or together in any combination the securities described in this prospectus in one or more offerings up to a maximum aggregate offering price of $125,000,000.</w:t>
      </w:r>
    </w:p>
    <w:p>
      <w:pPr>
        <w:spacing w:after="0" w:line="18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This prospectus provides you with a general description of the securities we may offer. Each time we sell securities, we will provide one or more prospectus supplements that will contain specific information about the terms of the offering. We may also authorize one or more free writing prospectuses to be provided to you in connection with these offerings. Any prospectus supplement and any free writing prospectus may also add, update or change information contained in this prospectus. You should read this prospectus, the information incorporated, or deemed to be incorporated, by reference in this prospectus, the accompanying prospectus supplement and any free writing prospectus, together with the additional information described under the heading “Where You Can Find More Information,” before making your investment decision.</w:t>
      </w:r>
    </w:p>
    <w:p>
      <w:pPr>
        <w:spacing w:after="0" w:line="178" w:lineRule="exact"/>
        <w:rPr>
          <w:sz w:val="20"/>
          <w:szCs w:val="20"/>
          <w:color w:val="auto"/>
        </w:rPr>
      </w:pPr>
    </w:p>
    <w:p>
      <w:pPr>
        <w:ind w:right="180" w:firstLine="456"/>
        <w:spacing w:after="0" w:line="272" w:lineRule="auto"/>
        <w:rPr>
          <w:sz w:val="20"/>
          <w:szCs w:val="20"/>
          <w:color w:val="auto"/>
        </w:rPr>
      </w:pPr>
      <w:r>
        <w:rPr>
          <w:rFonts w:ascii="Arial" w:cs="Arial" w:eastAsia="Arial" w:hAnsi="Arial"/>
          <w:sz w:val="17"/>
          <w:szCs w:val="17"/>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the accompanying prospectus supplement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operating results and prospects may have changed materially since those dates.</w:t>
      </w:r>
    </w:p>
    <w:p>
      <w:pPr>
        <w:spacing w:after="0" w:line="17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This prospectus contains summaries of certain provisions contained in some of the documents described herein, but reference is made to the actual documents for complete information.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Unless the context otherwise requires, references in this prospectus and the accompanying prospectus supplement to “Veracyte,” the “company,” “we,” “us” and “our” refer to Veracyte, Inc.</w:t>
      </w:r>
    </w:p>
    <w:p>
      <w:pPr>
        <w:spacing w:after="0" w:line="17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Veracyte, the Veracyte logo, Afirma, Percepta, Envisia and our other registered or common law trademarks, service marks, or trade names appearing in this prospectus are the property of Veracyte, Inc. This prospectus and the documents incorporated by reference into this prospectus may also contain trademarks and trade names that are the property of their respective owners. We do not intend our use or display of other companies’ trade names, trademarks or service marks to imply relationships with, or endorsements or sponsorship of us by, these other companies.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This summary does not contain all of the information that you should consider before investing in our securities. You should carefully read this entire prospectus and the information incorporated by reference in this prospectus, including “Risk Factors” and the financial data and related notes and other information incorporated by reference, before making an investment decision.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are a leading genomic diagnostics company that provides trustworthy and actionable answers that fundamentally improve patient care when current diagnostic test results are uncertain. Our products uniquely combine genomic technology, clinical science and machine learning to provide answers that give physicians and patients a clear path forward without risky, costly surgery that is often unnecessary. Our vision is to lead a transformation of diagnostics with a new genomic standard of truth, providing answers that illuminate the pathway to health. Our goal is to drive stockholder value by improving patient outcomes and reducing the cost of healthcare.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Since our founding in 2008, we have commercialized three genomic classifiers that we believe are transforming diagnostics: the next-generation Afirma Genomic Sequencing Classifier, and its predecessor, the Afirma Gene Expression Classifier, for thyroid cancer; the Percepta Bronchial Genomic Classifier for lung cancer; and the Envisia Genomic Classifier for idiopathic pulmonary fibrosis. Collectively, we believe these three tests address a $2 billion global market opportunity. Patients typically access our tests through their physician during the diagnostic process. All of our testing services are made available through our clinical reference laboratories located in San Francisco, California and Austin, Texas, which are each certified under the Clinical Laboratory Improvement Amendments of 1988.</w:t>
      </w:r>
    </w:p>
    <w:p>
      <w:pPr>
        <w:spacing w:after="0" w:line="193"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We believe our focus on developing clinically useful tests that change patient care is enabling the company to set new standards in genomic test reimbursement. Our Afirma genomic classifier is now covered by every major health plan in the United States, covering more than 275 million people, for use in thyroid cancer diagnosis. It is available as an in-network, contracted offering to more than 175 million people nationwide through their insurers. Our second commercial product, the Percepta classifier, is the first genomic test to gain Medicare coverage for improved lung cancer screening and diagnosis, making it a covered benefit for more than 60 million people.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were incorporated in Delaware as Calderome, Inc. in August 2006. Calderome operated as an incubator until early 2008. We changed our name to Veracyte, Inc. in March 2008. Our principal executive offices are located at 6000 Shoreline Court, Suite 300, South San Francisco, California 94080 and our telephone number is (650) 243-6300. Our website address is www.veracyte.com. We do not incorporate the information on, or accessible through, our website into this prospectus, and you should not consider any information on, or accessible through, our website as part of this prospectus.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The ratio of earnings to fixed charges for each of the periods indicated are set forth in the following table. Our earnings were insufficient to cover fixed charges for each of those periods. For the periods indicated, we had no outstanding shares of preferred stock with required dividend payments. Therefore, earnings were insufficient to cover combined fixed charges and preferred stock dividends by the same amounts referenced in footnote 1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Three Months Ended</w:t>
            </w:r>
          </w:p>
        </w:tc>
      </w:tr>
      <w:tr>
        <w:trPr>
          <w:trHeight w:val="142"/>
        </w:trPr>
        <w:tc>
          <w:tcPr>
            <w:tcW w:w="7080" w:type="dxa"/>
            <w:vAlign w:val="bottom"/>
          </w:tcPr>
          <w:p>
            <w:pPr>
              <w:spacing w:after="0"/>
              <w:rPr>
                <w:sz w:val="12"/>
                <w:szCs w:val="12"/>
                <w:color w:val="auto"/>
              </w:rPr>
            </w:pPr>
          </w:p>
        </w:tc>
        <w:tc>
          <w:tcPr>
            <w:tcW w:w="34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6"/>
              </w:rPr>
              <w:t>2013</w:t>
            </w:r>
          </w:p>
        </w:tc>
        <w:tc>
          <w:tcPr>
            <w:tcW w:w="620" w:type="dxa"/>
            <w:vAlign w:val="bottom"/>
            <w:gridSpan w:val="2"/>
          </w:tcPr>
          <w:p>
            <w:pPr>
              <w:ind w:left="300"/>
              <w:spacing w:after="0" w:line="142" w:lineRule="exact"/>
              <w:rPr>
                <w:sz w:val="20"/>
                <w:szCs w:val="20"/>
                <w:color w:val="auto"/>
              </w:rPr>
            </w:pPr>
            <w:r>
              <w:rPr>
                <w:rFonts w:ascii="Arial" w:cs="Arial" w:eastAsia="Arial" w:hAnsi="Arial"/>
                <w:sz w:val="14"/>
                <w:szCs w:val="14"/>
                <w:b w:val="1"/>
                <w:bCs w:val="1"/>
                <w:color w:val="auto"/>
                <w:w w:val="96"/>
              </w:rPr>
              <w:t>2014</w:t>
            </w:r>
          </w:p>
        </w:tc>
        <w:tc>
          <w:tcPr>
            <w:tcW w:w="240" w:type="dxa"/>
            <w:vAlign w:val="bottom"/>
          </w:tcPr>
          <w:p>
            <w:pPr>
              <w:spacing w:after="0"/>
              <w:rPr>
                <w:sz w:val="12"/>
                <w:szCs w:val="12"/>
                <w:color w:val="auto"/>
              </w:rPr>
            </w:pPr>
          </w:p>
        </w:tc>
        <w:tc>
          <w:tcPr>
            <w:tcW w:w="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260" w:type="dxa"/>
            <w:vAlign w:val="bottom"/>
          </w:tcPr>
          <w:p>
            <w:pPr>
              <w:spacing w:after="0"/>
              <w:rPr>
                <w:sz w:val="12"/>
                <w:szCs w:val="12"/>
                <w:color w:val="auto"/>
              </w:rPr>
            </w:pPr>
          </w:p>
        </w:tc>
        <w:tc>
          <w:tcPr>
            <w:tcW w:w="34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6"/>
              </w:rPr>
              <w:t>2016</w:t>
            </w:r>
          </w:p>
        </w:tc>
        <w:tc>
          <w:tcPr>
            <w:tcW w:w="260" w:type="dxa"/>
            <w:vAlign w:val="bottom"/>
          </w:tcPr>
          <w:p>
            <w:pPr>
              <w:spacing w:after="0"/>
              <w:rPr>
                <w:sz w:val="12"/>
                <w:szCs w:val="12"/>
                <w:color w:val="auto"/>
              </w:rPr>
            </w:pPr>
          </w:p>
        </w:tc>
        <w:tc>
          <w:tcPr>
            <w:tcW w:w="36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6"/>
              </w:rPr>
              <w:t>2017</w:t>
            </w:r>
          </w:p>
        </w:tc>
        <w:tc>
          <w:tcPr>
            <w:tcW w:w="240" w:type="dxa"/>
            <w:vAlign w:val="bottom"/>
          </w:tcPr>
          <w:p>
            <w:pPr>
              <w:spacing w:after="0"/>
              <w:rPr>
                <w:sz w:val="12"/>
                <w:szCs w:val="12"/>
                <w:color w:val="auto"/>
              </w:rPr>
            </w:pPr>
          </w:p>
        </w:tc>
        <w:tc>
          <w:tcPr>
            <w:tcW w:w="13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March 31, 2018</w:t>
            </w:r>
          </w:p>
        </w:tc>
      </w:tr>
      <w:tr>
        <w:trPr>
          <w:trHeight w:val="210"/>
        </w:trPr>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charges(1)(2)</w:t>
            </w:r>
          </w:p>
        </w:tc>
        <w:tc>
          <w:tcPr>
            <w:tcW w:w="3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2"/>
              </w:rPr>
              <w:t>NM</w:t>
            </w: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9"/>
              </w:rPr>
              <w:t>NM</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2"/>
              </w:rPr>
              <w:t>NM</w:t>
            </w: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9"/>
              </w:rPr>
              <w:t>NM</w:t>
            </w:r>
          </w:p>
        </w:tc>
        <w:tc>
          <w:tcPr>
            <w:tcW w:w="2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60" w:hanging="452"/>
        <w:spacing w:after="0" w:line="285"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ratio of earnings to fixed charges is computed by dividing loss before taxes plus fixed charges by fixed charges. Fixed charges consist of interest expense (including interest expense from capital leases), debt financing expense, end-of-term debt obligation and prepayment penalty expense and the estimated portion of rental expense deemed by us to be representative of the interest factor of rental payments under operating leases. Earnings were insufficient to cover fixed charges by approximately $25.6 million, $29.4 million, $33.7 million, $31.4 million, $31.0 million and $9.2 million for the years ended December 31, 2013, 2014, 2015, 2016 and 2017 and the three months ended March 31, 2018, respectively.</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NM—Not meaningful.</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Investing in our securities involves risk. The prospectus supplement relating to a particular offering will contain a discussion of risks applicable to an investment in the securities offered. Prior to making a decision about investing in our securities, you should carefully consider the specific factors discussed under the heading “Risk Factors” in the applicable prospectus supplement together with all of the other information contained in the prospectus supplement or appearing or incorporated by reference in this prospectus. You should also consider the risks, uncertainties and assumptions discussed under Part II, Item 1A, “Risk Factors,” in our Quarterly Report on Form 10-Q for the quarterly period ended March 31, 2018, which is incorporated herein by reference, and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When used in this prospectus and documents incorporated herein by reference, the words “expects,” “believes,” “anticipates,” “estimates,” “may,” “could,” “intends,” and similar expressions are intended to identify forward-looking statements. These statements are subject to known and unknown risks and uncertainties that could cause actual results to differ materially from those projected or otherwise implied by the forward-looking statements. These forward-looking statements speak only as of the date of this prospectus. Given these risks and uncertainties, you should not place undue reliance on these forward-looking statements. We will discuss many of these risks and uncertainties in greater detail in any prospectus supplement under the heading “Risk Factors.” Additional cautionary statements or discussions of risks and uncertainties that could affect our results or the achievement of the expectations described in forward-looking statements may also be contained in the documents we incorporate by reference into this prospectus.</w:t>
      </w:r>
    </w:p>
    <w:p>
      <w:pPr>
        <w:spacing w:after="0" w:line="16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These forward-looking statements are based on the current beliefs and expectations of our management and speak only as of the date of this prospectus. We expressly disclaim any obligation or undertaking to release publicly any updates or revisions to any forward-looking statements contained herein to reflect any change in our expectations with regard thereto or any change in events, conditions or circumstances on which any such statement is based. You should, however, review additional disclosures we make in our Annual Report on Form 10-K, Quarterly Reports on Form 10-Q, and Current Reports on Form 8-K filed with the SEC.</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Unless we state otherwise in the applicable prospectus supplement, we intend to use the net proceeds from the sale of the securities offered by this prospectus for general corporate purposes. General corporate purposes may include additions to working capital, financing of capital expenditures, repayment or redemption of existing indebtedness, and future acquisitions and strategic investment opportunities. Unless we state otherwise in the applicable prospectus supplement, pending the application of net proceeds, we expect to invest the net proceeds in short- and intermediate-term, interest-bearing obligations, investment-grade instruments, certificates of deposit or direct or guaranteed obligations of the U.S. government.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This section describes the general terms and provisions of the shares of our common stock, par value $0.001 per share. This description is only a summary and is qualified in its entirety by reference to the description of our common stock incorporated by reference in this prospectus. Our restated certificate of incorporation and our bylaws have been filed as exhibits to our periodic reports filed with the SEC, which are incorporated by reference in this prospectus. You should read our restated certificate of incorporation and our bylaws for additional information before you buy any of our common stock or other securities. See “Where You Can Find More Information.”</w:t>
      </w:r>
    </w:p>
    <w:p>
      <w:pPr>
        <w:spacing w:after="0" w:line="188"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We have 125,000,000 shares of authorized common stock. As of March 31, 2018, there were 34,326,808 shares of common stock issued and outstanding. Each holder of common stock is entitled to one vote for each share of common stock held on all matters submitted to a vote of stockholders. We have not provided for cumulative voting for the election of directors in our restated certificate of incorporation. This means that the holders of a majority of the shares voted can elect all of the directors then standing for election. Subject to preferences that may apply to shares of preferred stock outstanding at the time, the holders of outstanding shares of our common stock are entitled to receive dividends out of assets legally available at the times and in the amounts that our board of directors may determine from time to time. Upon our liquidation, dissolution or winding-up, the holders of common stock are entitled to share ratably in all assets remaining after payment of all liabilities and the liquidation preferences of any outstanding preferred stock. Holders of common stock have no preemptive or conversion rights or other subscription rights. There are no redemption or sinking fund provisions applicable to the common stock. All outstanding shares of common stock are fully paid and nonassessable.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Restated Certificate of Incorporation and Bylaws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Certain provisions of Delaware law, our restated certificate of incorporation and our amended and restated bylaws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persons seeking to acquire control of us to first negotiate with our board of directors.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Certificate of Incorporation and Bylaws</w:t>
      </w:r>
      <w:r>
        <w:rPr>
          <w:rFonts w:ascii="Arial" w:cs="Arial" w:eastAsia="Arial" w:hAnsi="Arial"/>
          <w:sz w:val="17"/>
          <w:szCs w:val="17"/>
          <w:color w:val="auto"/>
        </w:rPr>
        <w:t>. Our restated certificate of incorporation and amended and restated bylaws include provisions that:</w:t>
      </w:r>
    </w:p>
    <w:p>
      <w:pPr>
        <w:spacing w:after="0" w:line="142"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5,000,000 shares of undesignated preferred stock;</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142" w:lineRule="exact"/>
        <w:rPr>
          <w:rFonts w:ascii="Arial" w:cs="Arial" w:eastAsia="Arial" w:hAnsi="Arial"/>
          <w:sz w:val="17"/>
          <w:szCs w:val="17"/>
          <w:color w:val="auto"/>
        </w:rPr>
      </w:pPr>
    </w:p>
    <w:p>
      <w:pPr>
        <w:ind w:left="900" w:right="12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our chairman of the board, or our chief executive officer;</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except as otherwise required by law, be filled only by a majority of directors then in office, even if less than a quorum;</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25" w:lineRule="exact"/>
        <w:rPr>
          <w:sz w:val="20"/>
          <w:szCs w:val="20"/>
          <w:color w:val="auto"/>
        </w:rPr>
      </w:pPr>
    </w:p>
    <w:p>
      <w:pPr>
        <w:jc w:val="both"/>
        <w:ind w:right="600" w:firstLine="456"/>
        <w:spacing w:after="0" w:line="286" w:lineRule="auto"/>
        <w:rPr>
          <w:sz w:val="20"/>
          <w:szCs w:val="20"/>
          <w:color w:val="auto"/>
        </w:rPr>
      </w:pPr>
      <w:r>
        <w:rPr>
          <w:rFonts w:ascii="Arial" w:cs="Arial" w:eastAsia="Arial" w:hAnsi="Arial"/>
          <w:sz w:val="17"/>
          <w:szCs w:val="17"/>
          <w:i w:val="1"/>
          <w:iCs w:val="1"/>
          <w:color w:val="auto"/>
        </w:rPr>
        <w:t>Delaware Law</w:t>
      </w:r>
      <w:r>
        <w:rPr>
          <w:rFonts w:ascii="Arial" w:cs="Arial" w:eastAsia="Arial" w:hAnsi="Arial"/>
          <w:sz w:val="17"/>
          <w:szCs w:val="17"/>
          <w:color w:val="auto"/>
        </w:rPr>
        <w:t>. We are subject to the provisions of Section 203 of the General Corporation Law of the State of Delaware regulating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takeovers. In general, those provisions prohibit a publicly-held Delaware corporation from engaging in any business combination with any interested stockholder for a period of three years following the date that the stockholder became an interested stockholder, unless:</w:t>
      </w:r>
    </w:p>
    <w:p>
      <w:pPr>
        <w:spacing w:after="0" w:line="71"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transaction is approved by the board of directors of the corporation before the date the interested stockholder attained that status;</w:t>
      </w:r>
    </w:p>
    <w:p>
      <w:pPr>
        <w:spacing w:after="0" w:line="142" w:lineRule="exact"/>
        <w:rPr>
          <w:rFonts w:ascii="Arial" w:cs="Arial" w:eastAsia="Arial" w:hAnsi="Arial"/>
          <w:sz w:val="17"/>
          <w:szCs w:val="17"/>
          <w:color w:val="auto"/>
        </w:rPr>
      </w:pPr>
    </w:p>
    <w:p>
      <w:pPr>
        <w:ind w:left="900" w:right="60" w:hanging="325"/>
        <w:spacing w:after="0" w:line="25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93"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or after the date the business combination is approved by the board of directors of the corporation and authorized at a meeting of stockholders by at least 66-2/3% of the outstanding voting stock that is not owned by the interested stockholder.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203 defines “business combination” to include the following:</w:t>
      </w:r>
    </w:p>
    <w:p>
      <w:pPr>
        <w:spacing w:after="0" w:line="131"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130"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459" w:right="3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any of these entities or persons.</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 Delaware corporation may opt out of these provisions either with an express provision in its original certificate of incorporation or in an amendment to its certificate of incorporation or bylaws approved by its stockholders. However, we have not opted out, and do not currently intend to opt out of, these provisions. The statute could prohibit or delay mergers or other takeover or change in control attempts and, accordingly, may discourage attempts to acquire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our common stock is Broadridge Corporate Issuer Solutions, Inc.</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of March 31, 2018, our authorized preferred stock, par value $0.001 per share, was 5,000,000 shares, none of which were issued and outstanding. We may issue preferred stock, in series, with such designations, powers, preferences and other rights and qualifications, limitations or restrictions as our board of directors may authorize, without further action by our stockholders, including:</w:t>
      </w:r>
    </w:p>
    <w:p>
      <w:pPr>
        <w:spacing w:after="0" w:line="87"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distinctive designation of each series and the number of shares that will constitute the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voting rights, if any, of shares of the series and the terms and conditions of the voting rights;</w:t>
      </w:r>
    </w:p>
    <w:p>
      <w:pPr>
        <w:spacing w:after="0" w:line="130" w:lineRule="exact"/>
        <w:rPr>
          <w:rFonts w:ascii="Arial" w:cs="Arial" w:eastAsia="Arial" w:hAnsi="Arial"/>
          <w:sz w:val="18"/>
          <w:szCs w:val="18"/>
          <w:color w:val="auto"/>
        </w:rPr>
      </w:pPr>
    </w:p>
    <w:p>
      <w:pPr>
        <w:ind w:left="900" w:right="200" w:hanging="325"/>
        <w:spacing w:after="0" w:line="308"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dividend rate on the shares of the series, the dates on which dividends are payable, any restriction, limitation or condition upon the payment of dividends, whether dividends will be cumulative, and the dates from and after which dividends shall accumulate;</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prices at which, and the terms and conditions on which, the shares of the series may be redeemed, if the shares are redeemable;</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terms and conditions of a sinking or purchase fund for the purchase or redemption of shares of the series, if such a fund is provided;</w:t>
      </w:r>
    </w:p>
    <w:p>
      <w:pPr>
        <w:spacing w:after="0" w:line="142" w:lineRule="exact"/>
        <w:rPr>
          <w:rFonts w:ascii="Arial" w:cs="Arial" w:eastAsia="Arial" w:hAnsi="Arial"/>
          <w:sz w:val="17"/>
          <w:szCs w:val="17"/>
          <w:color w:val="auto"/>
        </w:rPr>
      </w:pPr>
    </w:p>
    <w:p>
      <w:pPr>
        <w:ind w:left="900" w:right="10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preferential amount payable upon shares of the series in the event of the liquidation, dissolution or winding up of, or upon the distribution of any of our assets; and</w:t>
      </w:r>
    </w:p>
    <w:p>
      <w:pPr>
        <w:spacing w:after="0" w:line="75"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prices or rates of conversion or exchange at which, and the terms and conditions on which, the shares of the series may be converted or exchanged into other securities, if the shares are convertible or exchangeable.</w:t>
      </w:r>
    </w:p>
    <w:p>
      <w:pPr>
        <w:spacing w:after="0" w:line="62"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particular terms of any series of preferred stock, and the transfer agent and registrar for that series, will be described in a prospectus supplement. Any material United States federal income tax consequences and other special considerations with respect to any preferred stock offered under this prospectus will also be described in the applicable prospectus supplement.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is a summary of the general terms of the debt securities. We will file a prospectus supplement that may contain additional terms when we issue debt securities. The terms presented here, together with the terms in the applicable prospectus supplement, together with any free writing prospectus or term sheet, will be a description of the material terms of the debt securities. The terms of the debt securities will include those stated in the indenture and those made part of the indenture by reference to the Trust Indenture Act of 1939, as in effect on the date of the indenture. We have filed a copy of the form of indenture as an exhibit to the registration statement in which this prospectus is included. The indenture will be subject to and governed by the terms of the Trust Indenture Act of 1939.</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We may issue, from time to time, debt securities, in one or more series. These debt securities that we may issue include senior debt securities, senior subordinated debt securities, subordinated debt securities, convertible debt securities and exchangeable debt securities. The following is a summary of the material provisions of the form of indenture filed as an exhibit to the registration statement of which this prospectus is a part. For each series of debt securities, the applicable prospectus supplement for the series may change and supplement the summary below.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section only, “we,” “us” and “our” refer to Veracyte, Inc., unless expressly stated or the context otherwise requires.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the Indenture</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indenture does not limit the amount of debt securities that we may issue. It provides that we may issue debt securities for any series of debt securities up to the principal amount that we may authorize.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For each series of debt securities, any restrictive covenants for those debt securities will be described in the applicable prospectus supplement for those debt securities.</w:t>
      </w:r>
    </w:p>
    <w:p>
      <w:pPr>
        <w:spacing w:after="0" w:line="173"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You should refer to the prospectus supplement relating to a particular series of debt securities for a description of the following terms of the debt securities offered by that prospectus supplement and by this prospectus:</w:t>
      </w:r>
    </w:p>
    <w:p>
      <w:pPr>
        <w:spacing w:after="0" w:line="76"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title of the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aggregate principal amount, and, if a series, the total amount authorized and the total amount outstanding;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or dates on which principal and premium, if any, of the debt securities of that series is payable;</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interest rates, and the dates from which interest, if any, on the debt securities of that series will accrue, and the dates when interest is payable and the maturity;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the extensions;</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amount of payments of principal or interest is to be determined by reference to an index or formula, or based on a coin or currency other than that in which the debt securities are stated to be payable, the manner in which these amounts are determined and the calculation agent, if any, with respect thereto;</w:t>
      </w:r>
    </w:p>
    <w:p>
      <w:pPr>
        <w:spacing w:after="0" w:line="86" w:lineRule="exact"/>
        <w:rPr>
          <w:rFonts w:ascii="Arial" w:cs="Arial" w:eastAsia="Arial" w:hAnsi="Arial"/>
          <w:sz w:val="18"/>
          <w:szCs w:val="18"/>
          <w:color w:val="auto"/>
        </w:rPr>
      </w:pPr>
    </w:p>
    <w:p>
      <w:pPr>
        <w:ind w:left="900" w:right="200" w:hanging="325"/>
        <w:spacing w:after="0" w:line="34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place or places where and the manner in which principal of, premium, if any, and interest, if any, on the debt securities of that series will be payable and the place or places where those debt securities may be presented for transfer and, if applicable, conversion or exchange;</w:t>
      </w:r>
    </w:p>
    <w:p>
      <w:pPr>
        <w:spacing w:after="0" w:line="29" w:lineRule="exact"/>
        <w:rPr>
          <w:rFonts w:ascii="Arial" w:cs="Arial" w:eastAsia="Arial" w:hAnsi="Arial"/>
          <w:sz w:val="16"/>
          <w:szCs w:val="16"/>
          <w:color w:val="auto"/>
        </w:rPr>
      </w:pPr>
    </w:p>
    <w:p>
      <w:pPr>
        <w:ind w:left="900" w:right="700" w:hanging="325"/>
        <w:spacing w:after="0" w:line="34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period or periods within which, the price or prices at which, and other terms and conditions upon which those debt securities may be redeemed, in whole or in part, at our option or the option of a holder of those securities, if we or a holder is to have that option;</w:t>
      </w:r>
    </w:p>
    <w:p>
      <w:pPr>
        <w:spacing w:after="0" w:line="29" w:lineRule="exact"/>
        <w:rPr>
          <w:rFonts w:ascii="Arial" w:cs="Arial" w:eastAsia="Arial" w:hAnsi="Arial"/>
          <w:sz w:val="16"/>
          <w:szCs w:val="16"/>
          <w:color w:val="auto"/>
        </w:rPr>
      </w:pPr>
    </w:p>
    <w:p>
      <w:pPr>
        <w:ind w:left="900" w:right="300" w:hanging="325"/>
        <w:spacing w:after="0" w:line="26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obligation or right, if any, to redeem, repay or purchase those debt securities pursuant to any sinking fund or analogous provision or at the option of a holder of those securities, and the terms and conditions upon which the debt securities will be redeemed, repaid or purchased, in whole or in part, pursuant to that obligation;</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terms, if any, on which the debt securities of that series will be subordinate in right and priority of payment to our other debt;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denominations in which those debt securities will be issuable, if other than denominations of $1,000 or any integral multiple of that number;</w:t>
      </w:r>
    </w:p>
    <w:p>
      <w:pPr>
        <w:spacing w:after="0" w:line="153" w:lineRule="exact"/>
        <w:rPr>
          <w:rFonts w:ascii="Arial" w:cs="Arial" w:eastAsia="Arial" w:hAnsi="Arial"/>
          <w:sz w:val="16"/>
          <w:szCs w:val="16"/>
          <w:color w:val="auto"/>
        </w:rPr>
      </w:pPr>
    </w:p>
    <w:p>
      <w:pPr>
        <w:ind w:left="900" w:right="44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other than the entire principal amount of the debt securities when issued, the portion of the principal amount payable upon acceleration of maturity as a result of a default on our obligations;</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any securities of that series are to be issued in whole or in part in the form of one or more global securities and the depositary for those global securities;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31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the principal of or any premium or interest on the debt securities of that series is to be payable, or is to be payable at our election or the election of a holder of those securities, in securities or other property, the type and amount of those securities or other property, or the manner of determining that amount, and the period or periods within which, and the terms and conditions upon which, any such election may be made;</w:t>
      </w:r>
    </w:p>
    <w:p>
      <w:pPr>
        <w:spacing w:after="0" w:line="52"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events of default and covenants relating to the debt securities that are in addition to, modify or delete those described in this prospectus;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conversion or exchange provisions, if any, including conversion or exchange prices or rates and adjustments thereto;</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 if different from the provisions set forth in the indenture;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nature and terms of any security for any secured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terms applicable to any debt securities issued at a discount from their stated principal amount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addition to or change in the covenants and/or the acceleration provisions described in this prospectus or in the indenture;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specific terms of any debt securities.</w:t>
      </w:r>
    </w:p>
    <w:p>
      <w:pPr>
        <w:spacing w:after="0" w:line="225"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may issue the debt securities issued under the indenture as “discount securities,” which means they may be sold at a discount below their stated principal amount. These debt securities, as well as other debt securities that are not issued at a discount, may, for United States federal income tax purposes, be treated as if they were issued with “original issue discount” because of interest payment and other characteristics. Special United States federal income tax considerations applicable to debt securities issued with original issue discount will be described in more detail in any applicable prospectus supplement.</w:t>
      </w:r>
    </w:p>
    <w:p>
      <w:pPr>
        <w:spacing w:after="0" w:line="154"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applicable prospectus supplement will present material United States federal income tax considerations for holders of any debt securities and the securities exchange or quotation system on which any debt securities are to be listed or quoted.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Unless otherwise indicated in this prospectus or the applicable prospectus supplement, our debt securities will not have the benefit of any covenants that limit or restrict our business or operations, the pledging of our assets or the incurrence by us of indebtedness. We will describe in the applicable prospectus supplement any material covenants in respect of a series of debt securities.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Change of Control</w:t>
      </w:r>
    </w:p>
    <w:p>
      <w:pPr>
        <w:spacing w:after="0" w:line="12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indenture does not have any covenants or other provisions providing for a put or increased interest or otherwise that would afford holders of our debt securities additional protection in the event of a recapitalization transaction, a change of control or a highly leveraged transaction. If we offer any covenants or provisions of this type with respect to any debt securities covered by this prospectus, we will describe them in the applicable prospectus supplement.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Debt securities may be convertible into or exchangeable for shares of our equity securities or other securities. The terms and conditions of conversion or exchange will be stated in the applicable prospectus supplement. The terms will include, among others, the following:</w:t>
      </w:r>
    </w:p>
    <w:p>
      <w:pPr>
        <w:spacing w:after="0" w:line="76"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conversion or exchange price;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conversion or exchange period;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provisions regarding our ability or the ability of any holder to convert or exchange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events requiring adjustment to the conversion or exchange price;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provisions affecting conversion or exchange in the event of our redemption of the debt securities;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anti-dilution provisions, if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cannot consolidate with or merge with or into, or transfer or lease all or substantially all of our assets to, any person, unless we are the surviving corporation or the successor person is a corporation organized under the laws of the United States, any state of the United States or the District of Columbia and expressly assumes our obligations under the debt securities and the indenture. In addition, we cannot complete such a transaction unless immediately after completing the transaction, no event of default under the indenture, and no event that, after notice or lapse of time or both, would become an event of default under the indenture, has occurred and is continuing. When the successor person has assumed our obligations under the debt securities and the indenture, we will be discharged from all our obligations under the debt securities and the indenture except in limited circumstances.</w:t>
      </w:r>
    </w:p>
    <w:p>
      <w:pPr>
        <w:spacing w:after="0" w:line="165" w:lineRule="exact"/>
        <w:rPr>
          <w:sz w:val="20"/>
          <w:szCs w:val="20"/>
          <w:color w:val="auto"/>
        </w:rPr>
      </w:pPr>
    </w:p>
    <w:p>
      <w:pPr>
        <w:ind w:right="680" w:firstLine="456"/>
        <w:spacing w:after="0" w:line="342" w:lineRule="auto"/>
        <w:rPr>
          <w:sz w:val="20"/>
          <w:szCs w:val="20"/>
          <w:color w:val="auto"/>
        </w:rPr>
      </w:pPr>
      <w:r>
        <w:rPr>
          <w:rFonts w:ascii="Arial" w:cs="Arial" w:eastAsia="Arial" w:hAnsi="Arial"/>
          <w:sz w:val="16"/>
          <w:szCs w:val="16"/>
          <w:color w:val="auto"/>
        </w:rPr>
        <w:t>This covenant would not apply to any recapitalization transaction, a change of control affecting us or a highly leveraged transaction, unless the transaction or change of control were structured to include a merger or consolidation or transfer or lease of all or substantially all of our assets.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Unless otherwise specified in the applicable prospectus supplement, the following will be “events of default” under the indenture with respect to any series of debt securities:</w:t>
      </w:r>
    </w:p>
    <w:p>
      <w:pPr>
        <w:spacing w:after="0" w:line="76"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pay interest for 30 days after the date payment is due and payable;</w:t>
      </w:r>
    </w:p>
    <w:p>
      <w:pPr>
        <w:spacing w:after="0" w:line="130" w:lineRule="exact"/>
        <w:rPr>
          <w:rFonts w:ascii="Arial" w:cs="Arial" w:eastAsia="Arial" w:hAnsi="Arial"/>
          <w:sz w:val="18"/>
          <w:szCs w:val="18"/>
          <w:color w:val="auto"/>
        </w:rPr>
      </w:pPr>
    </w:p>
    <w:p>
      <w:pPr>
        <w:ind w:left="900" w:right="220" w:hanging="325"/>
        <w:spacing w:after="0" w:line="34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failure to pay principal or premium, if any, on any debt security when due, either at maturity, upon any redemption, by declaration or otherwise and, in the case of technical or administrative difficulties, only if such default persists for a period of more than three business days;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make sinking fund payments when due and continuance of such default for a period of 30 days;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perform other covenants for 60 days after notice that performance was required;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events in bankruptcy, insolvency or reorganization relating to us; or</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event of default provided in the applicable officer’s certificate, resolution of our board of directors or the supplemental indenture under which we issue a series of debt securities.</w:t>
      </w:r>
    </w:p>
    <w:p>
      <w:pPr>
        <w:spacing w:after="0" w:line="62"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indenture. For each series of debt securities, any modifications to the above events of default will be described in the applicable prospectus supplement for those debt securities.</w:t>
      </w:r>
    </w:p>
    <w:p>
      <w:pPr>
        <w:spacing w:after="0" w:line="18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indenture provides that if an event of default specified in the first, second, third, fourth or sixth bullets above occurs and is continuing, either the trustee or the holders of at least 25% in aggregate principal amount of the outstanding debt securities of that series may declare the principal amount of all those debt securities (or, in the case of discount securities or indexed securities, that portion of the principal amount as may be specified in the terms of that series) to be due and payable immediately. If an event of default specified in the fifth bullet above occurs and is continuing, then the principal amount of all those debt securities (or, in the case of discount securities or indexed securities, that portion of the principal amount as may be specified in the terms of that series) will be due and payable immediately, without any declaration or other act on the part of the trustee or any holder. In certain cases, holders of a majority in principal amount of the outstanding debt securities of any series may, on behalf of holders of all those debt securities, rescind and annul a declaration of acceleration.</w:t>
      </w:r>
    </w:p>
    <w:p>
      <w:pPr>
        <w:spacing w:after="0" w:line="192"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indenture imposes limitations on suits brought by holders of debt securities against us. Except for actions for payment of overdue principal or interest, no holder of debt securities of any series may institute any action against us under the indenture unless:</w:t>
      </w:r>
    </w:p>
    <w:p>
      <w:pPr>
        <w:spacing w:after="0" w:line="76"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default and continuance of such default;</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the affected series have requested that the trustee institute the action;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requesting holders have offered the trustee indemnity for the reasonable expenses and liabilities that may be incurred by bringing the action;</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trustee has not instituted the action within 60 days of the request and offer of indemnity; and</w:t>
      </w:r>
    </w:p>
    <w:p>
      <w:pPr>
        <w:spacing w:after="0" w:line="130"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trustee has not received inconsistent direction by the holders of a majority in principal amount of the outstanding debt securities of the affected series.</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will be required to file annually with the trustee a certificate, signed by one of our officers, stating whether or not the officer knows of any default by us in the performance, observance or fulfillment of any condition or covenant of the indenture.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can discharge or decrease our obligations under the indenture as stated below.</w:t>
      </w:r>
    </w:p>
    <w:p>
      <w:pPr>
        <w:spacing w:after="0" w:line="22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may discharge obligations to holders of any series of debt securities that have not already been delivered to the trustee for cancellation and that have either become due and payable or are by their terms to become due and payable, or are scheduled for redemption, within one year. We may effect a discharge by irrevocably depositing with the trustee cash or government obligations, as trust funds, in an amount certified to be enough to pay when due, whether at maturity, upon redemption or otherwise, the principal of, and any premium and interest on, the debt securities and any mandatory sinking fund payments.</w:t>
      </w:r>
    </w:p>
    <w:p>
      <w:pPr>
        <w:spacing w:after="0" w:line="154"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Unless otherwise provided in the applicable prospectus supplement, we may also discharge any and all of our obligations to holders of any series of debt securities at any time, which we refer to as defeasance. We may also be released from the obligations imposed by any covenants of any outstanding series of debt securities and provisions of the indenture, and we may omit to comply with those covenants without creating an event of default under the trust declaration, which we refer to as covenant defeasance. We may effect defeasance and covenant defeasance only if, among other things:</w:t>
      </w:r>
    </w:p>
    <w:p>
      <w:pPr>
        <w:spacing w:after="0" w:line="60" w:lineRule="exact"/>
        <w:rPr>
          <w:sz w:val="20"/>
          <w:szCs w:val="20"/>
          <w:color w:val="auto"/>
        </w:rPr>
      </w:pPr>
    </w:p>
    <w:p>
      <w:pPr>
        <w:ind w:left="900" w:right="40" w:hanging="325"/>
        <w:spacing w:after="0" w:line="264"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irrevocably deposit with the trustee cash or government obligations denominated in the currency of the debt securities, as trust funds, in an amount certified to be enough to pay at maturity, or upon redemption, the principal (including any mandatory sinking fund payments) of, and any premium and interest on, all outstanding debt securities of the series; and</w:t>
      </w:r>
    </w:p>
    <w:p>
      <w:pPr>
        <w:spacing w:after="0" w:line="86"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deliver to the trustee an opinion of counsel from a nationally recognized law firm to the effect that the holders of the series of debt securities will not recognize income, gain or loss for U.S. federal income tax purposes as a result of the defeasance or covenant defeasance and that defeasance or covenant defeasance will not otherwise alter the holders’ U.S. federal income tax treatment of principal, and any premium and interest payments on, the series of debt securities.</w:t>
      </w:r>
    </w:p>
    <w:p>
      <w:pPr>
        <w:spacing w:after="0" w:line="79" w:lineRule="exact"/>
        <w:rPr>
          <w:sz w:val="20"/>
          <w:szCs w:val="20"/>
          <w:color w:val="auto"/>
        </w:rPr>
      </w:pPr>
    </w:p>
    <w:p>
      <w:pPr>
        <w:jc w:val="both"/>
        <w:ind w:right="180" w:firstLine="456"/>
        <w:spacing w:after="0" w:line="342" w:lineRule="auto"/>
        <w:rPr>
          <w:sz w:val="20"/>
          <w:szCs w:val="20"/>
          <w:color w:val="auto"/>
        </w:rPr>
      </w:pPr>
      <w:r>
        <w:rPr>
          <w:rFonts w:ascii="Arial" w:cs="Arial" w:eastAsia="Arial" w:hAnsi="Arial"/>
          <w:sz w:val="16"/>
          <w:szCs w:val="16"/>
          <w:color w:val="auto"/>
        </w:rPr>
        <w:t>In the case of a defeasance by us, the opinion we deliver must be based on a ruling of the Internal Revenue Service issued, or a change in U.S. federal income tax law occurring, after the date of the indenture, since such a result would not occur under the U.S. federal income tax laws in effect on that date.</w:t>
      </w:r>
    </w:p>
    <w:p>
      <w:pPr>
        <w:spacing w:after="0" w:line="124"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Although we may discharge or decrease our obligations under the indenture as described in the two preceding paragraphs, we may not avoid, among other things, our duty to register the transfer or exchange of any series of debt securities, to replace any temporary, mutilated, destroyed, lost or stolen series of debt securities or to maintain an office or agency in respect of any series of debt securities.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indenture provides that we and the trustee may enter into supplemental indentures without the consent of the holders of debt securities to, among other things:</w:t>
      </w:r>
    </w:p>
    <w:p>
      <w:pPr>
        <w:spacing w:after="0" w:line="76"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evidence the assumption by a successor entity of our obligations;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 to our covenants for the benefit of the holders of debt securities, or to surrender any rights or power conferred upon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 any additional events of default;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8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 to, change or eliminate any of the provisions of the indenture in a manner that will become effective only when there is no outstanding debt security which is entitled to the benefit of the provision as to which the modification would apply;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 guarantees with respect to or secure any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the forms or terms of debt securities of any series;</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 and add to or change any of the provisions of the indenture as is necessary for the administration of the trusts by more than one trustee;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cure any ambiguity or correct any inconsistency or defect in the indenture;</w:t>
      </w:r>
    </w:p>
    <w:p>
      <w:pPr>
        <w:spacing w:after="0" w:line="130" w:lineRule="exact"/>
        <w:rPr>
          <w:rFonts w:ascii="Arial" w:cs="Arial" w:eastAsia="Arial" w:hAnsi="Arial"/>
          <w:sz w:val="18"/>
          <w:szCs w:val="18"/>
          <w:color w:val="auto"/>
        </w:rPr>
      </w:pPr>
    </w:p>
    <w:p>
      <w:pPr>
        <w:ind w:left="900" w:right="320" w:hanging="325"/>
        <w:spacing w:after="0" w:line="26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modify, eliminate or add to the provisions of the indenture as shall be necessary to effect the qualification of the indenture under the Trust Indenture Act of 1939 or under any similar federal statute later enacted, and to add to the indenture such other provisions as may be expressly required by the Trust Indenture Act; and</w:t>
      </w:r>
    </w:p>
    <w:p>
      <w:pPr>
        <w:spacing w:after="0" w:line="86"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make any other provisions with respect to matters or questions arising under the indenture that will not be inconsistent with any provision of the indenture as long as the new provisions do not adversely affect the interests of the holders of any outstanding debt securities of any series created prior to the modification.</w:t>
      </w:r>
    </w:p>
    <w:p>
      <w:pPr>
        <w:spacing w:after="0" w:line="181"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The indenture also provides that we and the trustee may, with the consent of the holders of not less than a majority in aggregate principal amount of debt securities of each series of debt securities affected by such supplemental indenture then outstanding, add any provisions to, or change in any manner, eliminate or modify in any way the provisions of, the indenture or any supplemental indenture or modify in any manner the rights of the holders of the debt securities. We and the trustee may not, however, without the consent of the holder of each outstanding debt security affected thereby:</w:t>
      </w:r>
    </w:p>
    <w:p>
      <w:pPr>
        <w:spacing w:after="0" w:line="60"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extend the final maturity of any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 the principal amount or premium,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 the rate or extend the time of payment of interest;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 the amount of the principal of any debt security issued with an original issue discount that is payable upon acceleration;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 the currency in which the principal, and any premium or interest, is payable;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any debt security when due;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applicable, adversely affect the right of a holder to convert or exchange a debt security; or</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of any series whose consent is required for any modification of the indenture or for waivers of compliance with or defaults under the indenture with respect to debt securities of that series.</w:t>
      </w:r>
    </w:p>
    <w:p>
      <w:pPr>
        <w:spacing w:after="0" w:line="6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indenture provides that the holders of not less than a majority in aggregate principal amount of the then outstanding debt securities of any series, by notice to the relevant trustee, may on behalf of the holders of the debt securities of that series waive any default and its consequences under the indenture except:</w:t>
      </w:r>
    </w:p>
    <w:p>
      <w:pPr>
        <w:spacing w:after="0" w:line="87"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default in the payment of, any premium and any interest on, or principal of, any such debt security held by a nonconsenting holder; or</w:t>
      </w:r>
    </w:p>
    <w:p>
      <w:pPr>
        <w:spacing w:after="0" w:line="142" w:lineRule="exact"/>
        <w:rPr>
          <w:rFonts w:ascii="Arial" w:cs="Arial" w:eastAsia="Arial" w:hAnsi="Arial"/>
          <w:sz w:val="17"/>
          <w:szCs w:val="17"/>
          <w:color w:val="auto"/>
        </w:rPr>
      </w:pPr>
    </w:p>
    <w:p>
      <w:pPr>
        <w:ind w:left="900" w:right="40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default in respect of a covenant or provision of the indenture that cannot be modified or amended without the consent of the holder of each outstanding debt security of each series affected.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Global Securities and Book Entry System</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debt securities of a series may be issued in whole or in part in book-entry form and will be represented by one or more fully registered global securities. We will deposit any registered global securities with a depositary or with a nominee for a depositary identified in the applicable prospectus supplement and registered in the name of such depositary or nominee. In such case, we will issue one or more registered global securities denominated in an amount equal to the aggregate principal amount of all of the debt securities of the series to be issued and represented by such registered global security or securities. This means that we will not issue certificates to each holder.</w:t>
      </w:r>
    </w:p>
    <w:p>
      <w:pPr>
        <w:spacing w:after="0" w:line="18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Unless and until it is exchanged in whole or in part for debt securities in definitive registered form, a registered global security may not be transferred except as a whole:</w:t>
      </w:r>
    </w:p>
    <w:p>
      <w:pPr>
        <w:spacing w:after="0" w:line="76"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by the depositary for the registered global security to its nominee;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by a nominee of the depositary to the depositary or another nominee of the depositary;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by the depositary or its nominee to a successor of the depositary or a nominee of the successor.</w:t>
      </w:r>
    </w:p>
    <w:p>
      <w:pPr>
        <w:spacing w:after="0" w:line="225"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The prospectus supplement relating to a series of debt securities will describe the specific terms of the depositary arrangement involving any portion of the series represented by a registered global security. We anticipate that the following provisions will apply to all depositary arrangements for debt securities:</w:t>
      </w:r>
    </w:p>
    <w:p>
      <w:pPr>
        <w:spacing w:after="0" w:line="29" w:lineRule="exact"/>
        <w:rPr>
          <w:sz w:val="20"/>
          <w:szCs w:val="20"/>
          <w:color w:val="auto"/>
        </w:rPr>
      </w:pPr>
    </w:p>
    <w:p>
      <w:pPr>
        <w:ind w:left="900" w:right="640" w:hanging="325"/>
        <w:spacing w:after="0" w:line="34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ownership of beneficial interests in a registered global security will be limited to persons that have accounts with the depositary for such registered global security, these persons being referred to as “participants,” or persons that may hold interests through participants;</w:t>
      </w:r>
    </w:p>
    <w:p>
      <w:pPr>
        <w:spacing w:after="0" w:line="29" w:lineRule="exact"/>
        <w:rPr>
          <w:rFonts w:ascii="Arial" w:cs="Arial" w:eastAsia="Arial" w:hAnsi="Arial"/>
          <w:sz w:val="16"/>
          <w:szCs w:val="16"/>
          <w:color w:val="auto"/>
        </w:rPr>
      </w:pPr>
    </w:p>
    <w:p>
      <w:pPr>
        <w:ind w:left="900" w:right="260" w:hanging="325"/>
        <w:spacing w:after="0" w:line="264"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upon the issuance of a registered global security, the depositary for the registered global security will credit, on its book-entry registration and transfer system, the participants’ accounts with the respective principal amounts of the debt securities represented by the registered global security beneficially owned by the participants;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any dealers, underwriters, or agents participating in the distribution of the debt securities will designate the accounts to be credited; and</w:t>
      </w:r>
    </w:p>
    <w:p>
      <w:pPr>
        <w:spacing w:after="0" w:line="142" w:lineRule="exact"/>
        <w:rPr>
          <w:rFonts w:ascii="Arial" w:cs="Arial" w:eastAsia="Arial" w:hAnsi="Arial"/>
          <w:sz w:val="17"/>
          <w:szCs w:val="17"/>
          <w:color w:val="auto"/>
        </w:rPr>
      </w:pPr>
    </w:p>
    <w:p>
      <w:pPr>
        <w:jc w:val="both"/>
        <w:ind w:left="900" w:right="20" w:hanging="325"/>
        <w:spacing w:after="0" w:line="264"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ownership of beneficial interest in the registered global security will be shown on, and the transfer of the ownership interest will be effected only through, records maintained by the depositary for the registered global security for interests of participants, and on the records of participants for interests of persons holding through participants.</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laws of some states may require that specified purchasers of securities take physical delivery of the securities in definitive form. These laws may limit the ability of those persons to own, transfer or pledge beneficial interests in registered global securities.</w:t>
      </w:r>
    </w:p>
    <w:p>
      <w:pPr>
        <w:spacing w:after="0" w:line="170"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So long as the depositary for a registered global security, or its nominee, is the registered owner of the registered global security, the depositary or such nominee, as the case may be, will be considered the sole owner or holder of the debt securities represented by the registered global security for all purposes under the indenture. Except as stated below, owners of beneficial interests in a registered global security:</w:t>
      </w:r>
    </w:p>
    <w:p>
      <w:pPr>
        <w:spacing w:after="0" w:line="71"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will not be entitled to have the debt securities represented by a registered global security registered in their names;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delivery of the debt securities in the definitive form;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debt securities under the relevant indenture.</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Accordingly, each person owning a beneficial interest in a registered global security must rely on the procedures of the depositary for the registered global security and, if the person is not a participant, on the procedures of a participant through which the person owns its interest, to exercise any rights of a holder under the indenture.</w:t>
      </w:r>
    </w:p>
    <w:p>
      <w:pPr>
        <w:spacing w:after="0" w:line="181"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the action, and the participants would authorize beneficial owners owning through the participants to give or take the action or would otherwise act upon the instructions of beneficial owners holding through them.</w:t>
      </w:r>
    </w:p>
    <w:p>
      <w:pPr>
        <w:spacing w:after="0" w:line="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We will make payments of principal and premium, if any, and interest, if any, on debt securities represented by a registered global security registered in the name of a depositary or its nominee to the depositary or its nominee, as the case may be, as the registered owners of the registered global security. Neither we nor the trustee, or any other agent of ours or the trustee will be responsible or liable for any aspect of the records relating to, or payments made on account of, beneficial ownership interests in the registered global security or for maintaining, supervising or reviewing any records relating to the beneficial ownership interests.</w:t>
      </w:r>
    </w:p>
    <w:p>
      <w:pPr>
        <w:spacing w:after="0" w:line="18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expect that the depositary for any debt securities represented by a registered global security, upon receipt of any payments of principal and premium, if any, and interest, if any, in respect of the registered global security, will immediately credit participants’ accounts with payments in amounts proportionate to their respective beneficial interests in the registered global security as shown on the records of the depositary. We also expect that standing customer instructions and customary practices will govern payments by participants to owners of beneficial interests in the registered global security held through the participants, as is now the case with the securities held for the accounts of customers in bearer form or registered in “street name.” We also expect that any of these payments will be the responsibility of the participants.</w:t>
      </w:r>
    </w:p>
    <w:p>
      <w:pPr>
        <w:spacing w:after="0" w:line="19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the depositary for any debt securities represented by a registered global security is at any time unwilling or unable to continue as depositary or stops being a clearing agency registered under the Securities Exchange Act of 1934, as amended, or the Exchange Act, we will appoint an eligible successor depositary. If we fail to appoint an eligible successor depositary within 90 days, we will issue the debt securities in definitive form in exchange for the registered global security. In addition, we may at any time and in our sole discretion decide not to have any of the debt securities of a series represented by one or more registered global securities. In that event, we will issue debt securities of the series in a definitive form in exchange for all of the registered global securities representing the debt securities. The trustee will register any debt securities issued in definitive form in exchange for a registered global security in the name or names as the depositary, based upon instructions from its participants, shall instruct the trustee.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indenture provides that there may be more than one trustee under the indenture, each for one or more series of debt securities. If there are different trustees for different series of debt securities, each trustee will be a trustee of a trust under the indenture separate and apart from the trust administered by any other trustee under that indenture. Except as otherwise indicated in this prospectus or any prospectus supplement, any action permitted to be taken by a trustee may be taken by such trustee only on the one or more series of debt securities for which it is the trustee under the indenture. Any trustee under the indenture may resign or be removed from one or more series of debt securities. All payments of principal of, and any premium and interest on, and all registration, transfer, exchange, authentication and delivery of, the debt securities of a series will be effected by the trustee for that series at an office designated by the trustee in New York, New York.</w:t>
      </w:r>
    </w:p>
    <w:p>
      <w:pPr>
        <w:spacing w:after="0" w:line="189"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indenture provides that, except during the continuance of an event of default, the trustee will perform only such duties as are specifically set forth in the indenture. During the existence of an event of default, the trustee will exercise those rights and powers vested in it under the indenture and use the same degree of care and skill in its exercise as a prudent person would exercise under the circumstances in the conduct of such person’s own affairs.</w:t>
      </w:r>
    </w:p>
    <w:p>
      <w:pPr>
        <w:spacing w:after="0" w:line="14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If the trustee becomes a creditor of ours, the indenture places limitations on the right of the trustee to obtain payment of claims or to realize on property received in respect of any such claim as security or otherwise. The trustee may engage in other transactions. If it acquires any conflicting interest relating to any duties concerning the debt securities, however, it must eliminate the conflict or resign as trustee.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Individual Liability of Incorporators, Stockholders, Officers or Directors</w:t>
      </w:r>
    </w:p>
    <w:p>
      <w:pPr>
        <w:spacing w:after="0" w:line="12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indenture provides that no past, present or future director, officer, stockholder or employee of ours, any of our affiliates, or any successor corporation, in their capacity as such, shall have any individual liability for any of our obligations, covenants or agreements under the debt securities or the indenture.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may issue warrants for the purchase of common stock, preferred stock, debt securities, or any combination thereof. We may issue warrants independently or together with any other securities offered by any prospectus supplement and may be attached to or separate from the other offered securities. Each series of warrants may be issued under a separate warrant agreement to be entered into by us with a warrant agent. The applicable warrant agent will act solely as our agent in connection with the warrants and will not assume any obligation or relationship of agency or trust for or with any holders or beneficial owners of warrants. Further terms of the warrants and the applicable warrant agreements will be set forth in the applicable prospectus supplement.</w:t>
      </w:r>
    </w:p>
    <w:p>
      <w:pPr>
        <w:spacing w:after="0" w:line="15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applicable prospectus supplement relating to any particular issue of warrants will describe the terms of the warrants, including, as applicable, the following:</w:t>
      </w:r>
    </w:p>
    <w:p>
      <w:pPr>
        <w:spacing w:after="0" w:line="76"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price or prices at which the warrants will be issued;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designation, terms and number of shares of common stock, preferred stock or debt securities purchasable upon exercise of the warrants;</w:t>
      </w:r>
    </w:p>
    <w:p>
      <w:pPr>
        <w:spacing w:after="0" w:line="153" w:lineRule="exact"/>
        <w:rPr>
          <w:rFonts w:ascii="Arial" w:cs="Arial" w:eastAsia="Arial" w:hAnsi="Arial"/>
          <w:sz w:val="16"/>
          <w:szCs w:val="16"/>
          <w:color w:val="auto"/>
        </w:rPr>
      </w:pPr>
    </w:p>
    <w:p>
      <w:pPr>
        <w:ind w:left="900" w:right="28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designation and terms of the offered securities, if any, with which the warrants are issued and the number of the warrants issued with each offered security;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date, if any, on and after which the warrants and the related common stock, preferred stock or debt securities will be separately transferable;</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price at which each share of common stock, preferred stock or debt securities purchasable upon exercise of the warrants may be purchased;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shall commence and the date on which that right shall expire;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minimum or maximum amount of the warrants which may be exercised at any one time;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terms of the warrants, including terms, procedures and limitations relating to the exchange and exercise of the warrants.</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and the applicable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SUBSCRIPTION RIGHTS</w:t>
      </w:r>
    </w:p>
    <w:p>
      <w:pPr>
        <w:spacing w:after="0" w:line="229"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We may issue subscription rights to purchase common stock or preferred stock. This prospectus and any accompanying prospectus supplement will contain the material terms and conditions for each subscription right. The accompanying prospectus supplement may add, update or change the terms and conditions of the subscription rights as described in this prospectus.</w:t>
      </w:r>
    </w:p>
    <w:p>
      <w:pPr>
        <w:spacing w:after="0" w:line="181" w:lineRule="exact"/>
        <w:rPr>
          <w:sz w:val="20"/>
          <w:szCs w:val="20"/>
          <w:color w:val="auto"/>
        </w:rPr>
      </w:pPr>
    </w:p>
    <w:p>
      <w:pPr>
        <w:jc w:val="both"/>
        <w:ind w:right="300" w:firstLine="456"/>
        <w:spacing w:after="0" w:line="342" w:lineRule="auto"/>
        <w:rPr>
          <w:sz w:val="20"/>
          <w:szCs w:val="20"/>
          <w:color w:val="auto"/>
        </w:rPr>
      </w:pPr>
      <w:r>
        <w:rPr>
          <w:rFonts w:ascii="Arial" w:cs="Arial" w:eastAsia="Arial" w:hAnsi="Arial"/>
          <w:sz w:val="16"/>
          <w:szCs w:val="16"/>
          <w:color w:val="auto"/>
        </w:rPr>
        <w:t>We will describe in the applicable prospectus supplement the terms and conditions of the issue of subscription rights being offered, the subscription rights agreement relating to the subscription rights and the subscription rights certificates representing the subscription rights, including, as applicable:</w:t>
      </w:r>
    </w:p>
    <w:p>
      <w:pPr>
        <w:spacing w:after="0" w:line="29"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title of the subscription rights;</w:t>
      </w:r>
    </w:p>
    <w:p>
      <w:pPr>
        <w:spacing w:after="0" w:line="130" w:lineRule="exact"/>
        <w:rPr>
          <w:rFonts w:ascii="Arial" w:cs="Arial" w:eastAsia="Arial" w:hAnsi="Arial"/>
          <w:sz w:val="18"/>
          <w:szCs w:val="18"/>
          <w:color w:val="auto"/>
        </w:rPr>
      </w:pPr>
    </w:p>
    <w:p>
      <w:pPr>
        <w:ind w:left="5620" w:right="4240" w:hanging="5045"/>
        <w:spacing w:after="0" w:line="449" w:lineRule="auto"/>
        <w:tabs>
          <w:tab w:leader="none" w:pos="89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date of determining the stockholders entitled to the subscription rights distribution; 14</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title, aggregate number of shares of common stock or preferred stock purchasable upon exercise of the subscription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aggregate number of subscription rights issued;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date, if any, on and after which the subscription rights will be separately transferable;</w:t>
      </w:r>
    </w:p>
    <w:p>
      <w:pPr>
        <w:spacing w:after="0" w:line="130"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date on which the subscription right to exercise the subscription rights will commence and the date on which the subscription right will expire; and</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other terms of the subscription rights, including terms, procedures and limitations relating to the distribution, exchange and exercise of the subscription rights.</w:t>
      </w:r>
    </w:p>
    <w:p>
      <w:pPr>
        <w:spacing w:after="0" w:line="17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Each subscription right will entitle the holder of subscription rights to purchase for cash the principal amount of shares of common stock or preferred stock at the exercise price provided in the applicable prospectus supplement. Subscription rights may be exercised at any time up to the close of business on the expiration date for the subscription rights provided in the applicable prospectus supplement. After the close of business on the expiration date, all unexercised subscription rights will be void.</w:t>
      </w:r>
    </w:p>
    <w:p>
      <w:pPr>
        <w:spacing w:after="0" w:line="187"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Holders may exercise subscription rights as described in the applicable prospectus supplement. Upon receipt of payment and the subscription rights certificate properly completed and duly executed at the corporate trust office of the subscription rights agent or any other office indicated in the prospectus supplement, we will, as soon as practicable, forward the shares of common stock or preferred stock purchasable upon exercise of the subscription rights. If less than all of the subscription rights issued in any subscription rights offering are exercised, we may offer any unsubscribed securities directly to persons other than stockholders, to or through agents, underwriters or dealers or through a combination of such methods, including pursuant to standby underwriting arrangements, as described in the applicable prospectus supplement.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may issue units consisting of some or all of the securities described above, in any combination, including common stock, preferred stock, warrants and/or debt securities. The terms of these units will be set forth in a prospectus supplement. The description of the terms of these units in the related prospectus supplement will not be complete. You should refer to the applicable form of unit and unit agreement for complete information with respect to these units.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We may sell the securities offered by this prospectus to one or more underwriters or dealers for public offering and sale by them or to investors directly or through agents. The accompanying prospectus supplement will set forth the terms of the offering and the method of distribution and will identify any firms acting as underwriters, dealers or agents in connection with the offering, including:</w:t>
      </w:r>
    </w:p>
    <w:p>
      <w:pPr>
        <w:spacing w:after="0" w:line="87"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to us from the sale;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underwriting discounts and other items constituting compensation to underwriters, dealers or agents;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30" w:lineRule="exact"/>
        <w:rPr>
          <w:rFonts w:ascii="Arial" w:cs="Arial" w:eastAsia="Arial" w:hAnsi="Arial"/>
          <w:sz w:val="18"/>
          <w:szCs w:val="18"/>
          <w:color w:val="auto"/>
        </w:rPr>
      </w:pPr>
    </w:p>
    <w:p>
      <w:pPr>
        <w:ind w:left="5620" w:right="2620" w:hanging="5045"/>
        <w:spacing w:after="0" w:line="449" w:lineRule="auto"/>
        <w:tabs>
          <w:tab w:leader="none" w:pos="896"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offered in the prospectus supplement may be listed. 15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Only those underwriters identified in such prospectus supplement are deemed to be underwriters in connection with the securities offered in the prospectus supplement. We may directly solicit offers to purchase the securities being offered by this prospectus. We may also designate agents to solicit offers to purchase the securities from time to time. We will name in a prospectus supplement any agent involved in the offer or sale of our securities. Unless otherwise indicated in a prospectus supplement, an agent will be acting on a best efforts basis, and a dealer will purchase securities as a principal for resale at varying prices to be determined by the dealer.</w:t>
      </w:r>
    </w:p>
    <w:p>
      <w:pPr>
        <w:spacing w:after="0" w:line="188"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The distribution of the securities may be effected from time to time in one or more transactions at a fixed price or prices, which may be changed, or at prices determined as the applicable prospectus supplement specifies. The securities may be sold through an at-the-market offering, a subscription rights offering, forward contracts or similar arrangements.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connection with the sale of the securities, underwriters, dealers or agents may be deemed to have received compensation from us in the form of underwriting discounts or commissions and also may receive commissions from securities purchasers for whom they may act as agent. Underwriters may sell the securities to or through dealers, and the dealers may receive compensation in the form of discounts, concessions or commissions from the underwriters or commissions from the purchasers for whom they may act as agent.</w:t>
      </w:r>
    </w:p>
    <w:p>
      <w:pPr>
        <w:spacing w:after="0" w:line="18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will provide in the applicable prospectus supplement information regarding any underwriting discounts or other compensation that we pay to underwriters or agents in connection with the securities offering, and any discounts, concessions or commissions that underwriters allow to dealers. Underwriters, dealers and agents participating in the securities distribution may be deemed to be underwriters, and any discounts, commissions or concessions they receive and any profit they realize on the resale of the securities may be deemed to be underwriting discounts and commissions under the Securities Act. Underwriters and their controlling persons, dealers and agents may be entitled, under agreements entered into with us, to indemnification against and contribution toward specific civil liabilities, including liabilities under the Securities Act. Some of the underwriters, dealers or agents who participate in the securities distribution may engage in other transactions with, and perform other services for, us in the ordinary course of business.</w:t>
      </w:r>
    </w:p>
    <w:p>
      <w:pPr>
        <w:spacing w:after="0" w:line="16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common stock is currently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580" w:firstLine="456"/>
        <w:spacing w:after="0" w:line="308" w:lineRule="auto"/>
        <w:rPr>
          <w:sz w:val="20"/>
          <w:szCs w:val="20"/>
          <w:color w:val="auto"/>
        </w:rPr>
      </w:pPr>
      <w:r>
        <w:rPr>
          <w:rFonts w:ascii="Arial" w:cs="Arial" w:eastAsia="Arial" w:hAnsi="Arial"/>
          <w:sz w:val="17"/>
          <w:szCs w:val="17"/>
          <w:color w:val="auto"/>
        </w:rPr>
        <w:t>The validity of any securities offered by this prospectus will be passed upon for us by Fenwick &amp; West LLP, San Francisco and Mountain View, California. Counsel representing any underwriters, dealers or agents will be named in the applicable prospectus supplement.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Ernst &amp; Young LLP, independent registered public accounting firm, has audited our financial statements included in our Annual Report on Form 10-K for the year ended December 31, 2017,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filed with the SEC a registration statement on Form S-3 under the Securities Act with respect to the securities offered hereby. This prospectus, which constitutes a part of the registration statement, does not contain all of the information set forth in the registration statement, the exhibits filed therewith or the documents incorporated by reference therein. For further information about us and the securities offered hereby, reference is made to the registration statement, the exhibits filed therewith and the documents incorporated by reference therein.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A copy of the registration statement and the exhibits filed therewith may be inspected without charge at the public reference room maintained by the SEC, located at 100 F Street, NE, Washington, DC 20549, and copies of all or any part of the registration statement may be obtained from that office. Please call the SEC at 1-800-SEC-0330 for further information about the public reference room. The SEC also maintains a website that contains reports, proxy and information statements and other information regarding registrants that file electronically with the SEC. The address of the website is www.sec.gov.</w:t>
      </w:r>
    </w:p>
    <w:p>
      <w:pPr>
        <w:spacing w:after="0" w:line="169"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We are subject to the information and reporting requirements of the Exchange Act, and, in accordance with this law, file periodic reports and other information with the SEC. These periodic reports and other information are available for inspection and copying at the SEC’s public reference facilities and the website of the SEC referred to above. We also maintain a website at www.veracyte.com.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OF INFORMATION BY REFERENCE</w:t>
      </w:r>
    </w:p>
    <w:p>
      <w:pPr>
        <w:spacing w:after="0" w:line="229"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The SEC permits us to “incorporate by reference” the information contained in documents we file with the SEC, which means that we can disclose important information to you by referring you to those documents rather than by including them in this prospectus. Information that is incorporated by reference is considered to be part of this prospectus and you should read it with the same care that you read this prospectus. Later information that we file with the SEC will automatically update and supersede the information that is either contained, or incorporated by reference, in this prospectus, and will be considered to be a part of this prospectus from the date those documents are filed. We have filed with the SEC, and incorporate by reference in this prospectus:</w:t>
      </w:r>
    </w:p>
    <w:p>
      <w:pPr>
        <w:spacing w:after="0" w:line="99"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2017, filed with the SEC on February 27, 2018;</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specifically incorporated by reference into our Annual Report on Form 10-K for the year ended December 31, 2017 from our definitive proxy statement on Schedule 14A, which was filed with the SEC on April 19, 2018;</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2018, filed with the SEC on May 1, 2018;</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January 8, 2018 (only the portion disclosed pursuant to Item 8.01) and February 28, 2018; and</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on October 28, 2013, including any amendment or report filed for the purpose of updating such description.</w:t>
      </w:r>
    </w:p>
    <w:p>
      <w:pPr>
        <w:spacing w:after="0" w:line="170"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We also incorporate by reference all additional documents that we file with the SEC under the terms of Section 13(a), 13(c), 14 or 15(d) of the Exchange Act that are made after the initial filing date of the registration statement of which this prospectus is a part and the effectiveness of the registration statement, as well as between the date of this prospectus and the termination of any offering of securities offered by this prospectus. We are not, however, incorporating, in each case, any documents or information that we are deemed to furnish and not file in accordance with SEC rules.</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You may request a copy of any or all of the documents incorporated by reference but not delivered with this prospectus, at no cost, by writing or telephoning us at the following address and number: Investor Relations, Veracyte, Inc., 6000 Shoreline Court, Suite 300, South San Francisco, California 94080, telephone (650) 243-6300. We will not, however, send exhibits to those documents, unless the exhibits are specifically incorporated by reference in those documents.</w:t>
      </w:r>
    </w:p>
    <w:p>
      <w:pPr>
        <w:sectPr>
          <w:pgSz w:w="11900" w:h="16838" w:orient="portrait"/>
          <w:cols w:equalWidth="0" w:num="1">
            <w:col w:w="11380"/>
          </w:cols>
          <w:pgMar w:left="240" w:top="459" w:right="279" w:bottom="1440" w:gutter="0" w:footer="0" w:header="0"/>
        </w:sectPr>
      </w:pP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380"/>
          </w:cols>
          <w:pgMar w:left="240" w:top="459" w:right="27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680"/>
        <w:spacing w:after="0"/>
        <w:rPr>
          <w:sz w:val="20"/>
          <w:szCs w:val="20"/>
          <w:color w:val="auto"/>
        </w:rPr>
      </w:pPr>
      <w:r>
        <w:rPr>
          <w:rFonts w:ascii="Arial" w:cs="Arial" w:eastAsia="Arial" w:hAnsi="Arial"/>
          <w:sz w:val="29"/>
          <w:szCs w:val="29"/>
          <w:b w:val="1"/>
          <w:bCs w:val="1"/>
          <w:color w:val="auto"/>
        </w:rPr>
        <w:t>5,000,000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340360</wp:posOffset>
            </wp:positionV>
            <wp:extent cx="2178050" cy="651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7805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88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406400</wp:posOffset>
            </wp:positionV>
            <wp:extent cx="15176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right="2139"/>
        <w:spacing w:after="0"/>
        <w:tabs>
          <w:tab w:leader="none" w:pos="1240" w:val="left"/>
        </w:tabs>
        <w:rPr>
          <w:sz w:val="20"/>
          <w:szCs w:val="20"/>
          <w:color w:val="auto"/>
        </w:rPr>
      </w:pPr>
      <w:r>
        <w:rPr>
          <w:rFonts w:ascii="Arial" w:cs="Arial" w:eastAsia="Arial" w:hAnsi="Arial"/>
          <w:sz w:val="22"/>
          <w:szCs w:val="22"/>
          <w:b w:val="1"/>
          <w:bCs w:val="1"/>
          <w:color w:val="auto"/>
        </w:rPr>
        <w:t>Leerink Partners</w:t>
      </w:r>
      <w:r>
        <w:rPr>
          <w:sz w:val="20"/>
          <w:szCs w:val="20"/>
          <w:color w:val="auto"/>
        </w:rPr>
        <w:tab/>
      </w:r>
      <w:r>
        <w:rPr>
          <w:rFonts w:ascii="Arial" w:cs="Arial" w:eastAsia="Arial" w:hAnsi="Arial"/>
          <w:sz w:val="19"/>
          <w:szCs w:val="19"/>
          <w:b w:val="1"/>
          <w:bCs w:val="1"/>
          <w:color w:val="auto"/>
        </w:rPr>
        <w:t>William Blair</w:t>
      </w:r>
    </w:p>
    <w:p>
      <w:pPr>
        <w:spacing w:after="0" w:line="206" w:lineRule="exact"/>
        <w:rPr>
          <w:sz w:val="20"/>
          <w:szCs w:val="20"/>
          <w:color w:val="auto"/>
        </w:rPr>
      </w:pPr>
    </w:p>
    <w:p>
      <w:pPr>
        <w:ind w:left="5440"/>
        <w:spacing w:after="0"/>
        <w:rPr>
          <w:sz w:val="20"/>
          <w:szCs w:val="20"/>
          <w:color w:val="auto"/>
        </w:rPr>
      </w:pPr>
      <w:r>
        <w:rPr>
          <w:rFonts w:ascii="Arial" w:cs="Arial" w:eastAsia="Arial" w:hAnsi="Arial"/>
          <w:sz w:val="22"/>
          <w:szCs w:val="22"/>
          <w:b w:val="1"/>
          <w:bCs w:val="1"/>
          <w:color w:val="auto"/>
        </w:rPr>
        <w:t>BTIG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July 25,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24662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1)"/>
      <w:numFmt w:val="lowerRoman"/>
      <w:start w:val="3"/>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1."/>
      <w:numFmt w:val="upperLetter"/>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2019-12-07T07:36:05Z</dcterms:created>
  <dcterms:modified xsi:type="dcterms:W3CDTF">2019-12-07T07:36:05Z</dcterms:modified>
</cp:coreProperties>
</file>