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34" w:lineRule="auto"/>
        <w:rPr>
          <w:rFonts w:ascii="Arial" w:cs="Arial" w:eastAsia="Arial" w:hAnsi="Arial"/>
          <w:sz w:val="21"/>
          <w:szCs w:val="21"/>
          <w:u w:val="single" w:color="auto"/>
          <w:color w:val="0000EE"/>
        </w:rPr>
      </w:pPr>
      <w:hyperlink w:anchor="page128">
        <w:r>
          <w:rPr>
            <w:rFonts w:ascii="Arial" w:cs="Arial" w:eastAsia="Arial" w:hAnsi="Arial"/>
            <w:sz w:val="21"/>
            <w:szCs w:val="21"/>
            <w:u w:val="single" w:color="auto"/>
            <w:color w:val="0000EE"/>
          </w:rPr>
          <w:t>VERACYTE, INC. Index to Audited Financial Statements Years Ended December 31, 2011 and 2012</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56">
        <w:r>
          <w:rPr>
            <w:rFonts w:ascii="Arial" w:cs="Arial" w:eastAsia="Arial" w:hAnsi="Arial"/>
            <w:sz w:val="21"/>
            <w:szCs w:val="21"/>
            <w:u w:val="single" w:color="auto"/>
            <w:color w:val="0000EE"/>
          </w:rPr>
          <w:t>VERACYTE, INC. Index to Unaudited Interim Condensed Financial Statements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line="262" w:lineRule="auto"/>
        <w:rPr>
          <w:sz w:val="20"/>
          <w:szCs w:val="20"/>
          <w:color w:val="auto"/>
        </w:rPr>
      </w:pPr>
      <w:r>
        <w:rPr>
          <w:rFonts w:ascii="Arial" w:cs="Arial" w:eastAsia="Arial" w:hAnsi="Arial"/>
          <w:sz w:val="13"/>
          <w:szCs w:val="13"/>
          <w:b w:val="1"/>
          <w:bCs w:val="1"/>
          <w:color w:val="auto"/>
        </w:rPr>
        <w:t>Confidential Draft Submission No. 2 as confidentially submitted to the Securities and Exchange Commission on August 30, 2013. This draft registration statement has not been publicly filed with the Securities and Exchange Commission and all information herein remains strictly confidential.</w:t>
      </w:r>
    </w:p>
    <w:p>
      <w:pPr>
        <w:spacing w:after="0" w:line="172" w:lineRule="exact"/>
        <w:rPr>
          <w:sz w:val="24"/>
          <w:szCs w:val="24"/>
          <w:color w:val="auto"/>
        </w:rPr>
      </w:pPr>
    </w:p>
    <w:p>
      <w:pPr>
        <w:ind w:left="99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line="231"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Delaware</w:t>
            </w:r>
          </w:p>
        </w:tc>
        <w:tc>
          <w:tcPr>
            <w:tcW w:w="2060" w:type="dxa"/>
            <w:vAlign w:val="bottom"/>
          </w:tcPr>
          <w:p>
            <w:pPr>
              <w:jc w:val="center"/>
              <w:ind w:right="214"/>
              <w:spacing w:after="0"/>
              <w:rPr>
                <w:sz w:val="20"/>
                <w:szCs w:val="20"/>
                <w:color w:val="auto"/>
              </w:rPr>
            </w:pPr>
            <w:r>
              <w:rPr>
                <w:rFonts w:ascii="Arial" w:cs="Arial" w:eastAsia="Arial" w:hAnsi="Arial"/>
                <w:sz w:val="13"/>
                <w:szCs w:val="13"/>
                <w:b w:val="1"/>
                <w:bCs w:val="1"/>
                <w:color w:val="auto"/>
                <w:w w:val="89"/>
              </w:rPr>
              <w:t>8071</w:t>
            </w:r>
          </w:p>
        </w:tc>
        <w:tc>
          <w:tcPr>
            <w:tcW w:w="110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20-5455398</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3"/>
              </w:rPr>
              <w:t>(State or other jurisdiction of</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2"/>
              </w:rPr>
              <w:t>(Primary Standard Industrial</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4"/>
              </w:rPr>
              <w:t>(I.R.S. Employer</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2"/>
              </w:rPr>
              <w:t>incorporation or</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3"/>
              </w:rPr>
              <w:t>Classification Code Number)</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6"/>
              </w:rPr>
              <w:t>Identification No.)</w:t>
            </w:r>
          </w:p>
        </w:tc>
      </w:tr>
      <w:tr>
        <w:trPr>
          <w:trHeight w:val="165"/>
        </w:trPr>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organization)</w:t>
            </w:r>
          </w:p>
        </w:tc>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7000 Shoreline Court, Suite 250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Bonnie H. Anderson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jc w:val="center"/>
        <w:spacing w:after="0" w:line="231" w:lineRule="auto"/>
        <w:rPr>
          <w:sz w:val="20"/>
          <w:szCs w:val="20"/>
          <w:color w:val="auto"/>
        </w:rPr>
      </w:pPr>
      <w:r>
        <w:rPr>
          <w:rFonts w:ascii="Arial" w:cs="Arial" w:eastAsia="Arial" w:hAnsi="Arial"/>
          <w:sz w:val="13"/>
          <w:szCs w:val="13"/>
          <w:b w:val="1"/>
          <w:bCs w:val="1"/>
          <w:color w:val="auto"/>
        </w:rPr>
        <w:t>7000 Shoreline Court, Suite 250</w:t>
      </w:r>
    </w:p>
    <w:p>
      <w:pPr>
        <w:jc w:val="center"/>
        <w:spacing w:after="0" w:line="232" w:lineRule="auto"/>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218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3"/>
                <w:szCs w:val="13"/>
                <w:i w:val="1"/>
                <w:iCs w:val="1"/>
                <w:color w:val="auto"/>
                <w:w w:val="92"/>
              </w:rPr>
              <w:t>Copies to:</w:t>
            </w:r>
          </w:p>
        </w:tc>
        <w:tc>
          <w:tcPr>
            <w:tcW w:w="2220" w:type="dxa"/>
            <w:vAlign w:val="bottom"/>
          </w:tcPr>
          <w:p>
            <w:pPr>
              <w:spacing w:after="0"/>
              <w:rPr>
                <w:sz w:val="14"/>
                <w:szCs w:val="14"/>
                <w:color w:val="auto"/>
              </w:rPr>
            </w:pPr>
          </w:p>
        </w:tc>
      </w:tr>
      <w:tr>
        <w:trPr>
          <w:trHeight w:val="356"/>
        </w:trPr>
        <w:tc>
          <w:tcPr>
            <w:tcW w:w="2380" w:type="dxa"/>
            <w:vAlign w:val="bottom"/>
          </w:tcPr>
          <w:p>
            <w:pPr>
              <w:jc w:val="center"/>
              <w:ind w:right="154"/>
              <w:spacing w:after="0"/>
              <w:rPr>
                <w:sz w:val="20"/>
                <w:szCs w:val="20"/>
                <w:color w:val="auto"/>
              </w:rPr>
            </w:pPr>
            <w:r>
              <w:rPr>
                <w:rFonts w:ascii="Arial" w:cs="Arial" w:eastAsia="Arial" w:hAnsi="Arial"/>
                <w:sz w:val="13"/>
                <w:szCs w:val="13"/>
                <w:b w:val="1"/>
                <w:bCs w:val="1"/>
                <w:color w:val="auto"/>
                <w:w w:val="91"/>
              </w:rPr>
              <w:t>Stanton D. Wong</w:t>
            </w: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93"/>
              </w:rPr>
              <w:t>Shelly D. Guyer</w:t>
            </w:r>
          </w:p>
        </w:tc>
        <w:tc>
          <w:tcPr>
            <w:tcW w:w="2220" w:type="dxa"/>
            <w:vAlign w:val="bottom"/>
          </w:tcPr>
          <w:p>
            <w:pPr>
              <w:jc w:val="center"/>
              <w:ind w:left="294"/>
              <w:spacing w:after="0"/>
              <w:rPr>
                <w:sz w:val="20"/>
                <w:szCs w:val="20"/>
                <w:color w:val="auto"/>
              </w:rPr>
            </w:pPr>
            <w:r>
              <w:rPr>
                <w:rFonts w:ascii="Arial" w:cs="Arial" w:eastAsia="Arial" w:hAnsi="Arial"/>
                <w:sz w:val="13"/>
                <w:szCs w:val="13"/>
                <w:b w:val="1"/>
                <w:bCs w:val="1"/>
                <w:color w:val="auto"/>
                <w:w w:val="96"/>
              </w:rPr>
              <w:t>William H. Hinman</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Gabriella A. Lombardi</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Chief Financial Officer</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4"/>
              </w:rPr>
              <w:t>Simpson Thacher &amp; Bartlett LLP</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5"/>
              </w:rPr>
              <w:t>Heidi E. Mayon</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Veracyte, Inc.</w:t>
            </w:r>
          </w:p>
        </w:tc>
        <w:tc>
          <w:tcPr>
            <w:tcW w:w="2220" w:type="dxa"/>
            <w:vAlign w:val="bottom"/>
          </w:tcPr>
          <w:p>
            <w:pPr>
              <w:jc w:val="center"/>
              <w:ind w:left="294"/>
              <w:spacing w:after="0" w:line="144" w:lineRule="exact"/>
              <w:rPr>
                <w:sz w:val="20"/>
                <w:szCs w:val="20"/>
                <w:color w:val="auto"/>
              </w:rPr>
            </w:pPr>
            <w:r>
              <w:rPr>
                <w:rFonts w:ascii="Arial" w:cs="Arial" w:eastAsia="Arial" w:hAnsi="Arial"/>
                <w:sz w:val="13"/>
                <w:szCs w:val="13"/>
                <w:b w:val="1"/>
                <w:bCs w:val="1"/>
                <w:color w:val="auto"/>
                <w:w w:val="91"/>
              </w:rPr>
              <w:t>2475 Hanover Street</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Pillsbury Winthrop Shaw</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7000 Shoreline Court, Suite 250</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3"/>
              </w:rPr>
              <w:t>Palo Alto, California 94304</w:t>
            </w:r>
          </w:p>
        </w:tc>
      </w:tr>
      <w:tr>
        <w:trPr>
          <w:trHeight w:val="144"/>
        </w:trPr>
        <w:tc>
          <w:tcPr>
            <w:tcW w:w="23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7"/>
              </w:rPr>
              <w:t>Pittman LLP</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South San Francisco, California 94080</w:t>
            </w:r>
          </w:p>
        </w:tc>
        <w:tc>
          <w:tcPr>
            <w:tcW w:w="2220" w:type="dxa"/>
            <w:vAlign w:val="bottom"/>
          </w:tcPr>
          <w:p>
            <w:pPr>
              <w:spacing w:after="0"/>
              <w:rPr>
                <w:sz w:val="12"/>
                <w:szCs w:val="12"/>
                <w:color w:val="auto"/>
              </w:rPr>
            </w:pP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Four Embarcadero Center, 22nd Floor</w:t>
            </w:r>
          </w:p>
        </w:tc>
        <w:tc>
          <w:tcPr>
            <w:tcW w:w="23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9"/>
        </w:trPr>
        <w:tc>
          <w:tcPr>
            <w:tcW w:w="2380" w:type="dxa"/>
            <w:vAlign w:val="bottom"/>
          </w:tcPr>
          <w:p>
            <w:pPr>
              <w:jc w:val="center"/>
              <w:ind w:right="134"/>
              <w:spacing w:after="0"/>
              <w:rPr>
                <w:sz w:val="20"/>
                <w:szCs w:val="20"/>
                <w:color w:val="auto"/>
              </w:rPr>
            </w:pPr>
            <w:r>
              <w:rPr>
                <w:rFonts w:ascii="Arial" w:cs="Arial" w:eastAsia="Arial" w:hAnsi="Arial"/>
                <w:sz w:val="13"/>
                <w:szCs w:val="13"/>
                <w:b w:val="1"/>
                <w:bCs w:val="1"/>
                <w:color w:val="auto"/>
                <w:w w:val="90"/>
              </w:rPr>
              <w:t>San Francisco, California 94111</w:t>
            </w:r>
          </w:p>
        </w:tc>
        <w:tc>
          <w:tcPr>
            <w:tcW w:w="23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98"/>
        </w:trPr>
        <w:tc>
          <w:tcPr>
            <w:tcW w:w="23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20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37"/>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4" w:orient="portrait"/>
          <w:cols w:equalWidth="0" w:num="1">
            <w:col w:w="11420"/>
          </w:cols>
          <w:pgMar w:left="240" w:top="669" w:right="239" w:bottom="0" w:gutter="0" w:footer="0" w:header="0"/>
        </w:sectPr>
      </w:pPr>
    </w:p>
    <w:p>
      <w:pPr>
        <w:spacing w:after="0" w:line="179"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86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53" w:lineRule="exact"/>
        <w:rPr>
          <w:sz w:val="24"/>
          <w:szCs w:val="24"/>
          <w:color w:val="auto"/>
        </w:rPr>
      </w:pPr>
    </w:p>
    <w:p>
      <w:pPr>
        <w:jc w:val="center"/>
        <w:ind w:right="860"/>
        <w:spacing w:after="0"/>
        <w:rPr>
          <w:sz w:val="20"/>
          <w:szCs w:val="20"/>
          <w:color w:val="auto"/>
        </w:rPr>
      </w:pPr>
      <w:r>
        <w:rPr>
          <w:rFonts w:ascii="Arial" w:cs="Arial" w:eastAsia="Arial" w:hAnsi="Arial"/>
          <w:sz w:val="13"/>
          <w:szCs w:val="13"/>
          <w:color w:val="auto"/>
        </w:rPr>
        <w:t>(Do not check if a</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ectPr>
          <w:pgSz w:w="11900" w:h="16904" w:orient="portrait"/>
          <w:cols w:equalWidth="0" w:num="4">
            <w:col w:w="3140" w:space="720"/>
            <w:col w:w="1320" w:space="720"/>
            <w:col w:w="2120" w:space="720"/>
            <w:col w:w="2680"/>
          </w:cols>
          <w:pgMar w:left="240" w:top="669" w:right="239" w:bottom="0" w:gutter="0" w:footer="0" w:header="0"/>
          <w:type w:val="continuous"/>
        </w:sectPr>
      </w:pPr>
    </w:p>
    <w:bookmarkStart w:id="1" w:name="page2"/>
    <w:bookmarkEnd w:id="1"/>
    <w:p>
      <w:pPr>
        <w:ind w:left="580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135255</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4700" w:type="dxa"/>
            <w:vAlign w:val="bottom"/>
            <w:tcBorders>
              <w:top w:val="single" w:sz="8" w:color="auto"/>
              <w:bottom w:val="single" w:sz="8" w:color="auto"/>
            </w:tcBorders>
          </w:tcPr>
          <w:p>
            <w:pPr>
              <w:spacing w:after="0"/>
              <w:rPr>
                <w:sz w:val="3"/>
                <w:szCs w:val="3"/>
                <w:color w:val="auto"/>
              </w:rPr>
            </w:pPr>
          </w:p>
        </w:tc>
        <w:tc>
          <w:tcPr>
            <w:tcW w:w="27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1"/>
        </w:trPr>
        <w:tc>
          <w:tcPr>
            <w:tcW w:w="4700" w:type="dxa"/>
            <w:vAlign w:val="bottom"/>
          </w:tcPr>
          <w:p>
            <w:pPr>
              <w:spacing w:after="0"/>
              <w:rPr>
                <w:sz w:val="9"/>
                <w:szCs w:val="9"/>
                <w:color w:val="auto"/>
              </w:rPr>
            </w:pPr>
          </w:p>
        </w:tc>
        <w:tc>
          <w:tcPr>
            <w:tcW w:w="2780" w:type="dxa"/>
            <w:vAlign w:val="bottom"/>
          </w:tcPr>
          <w:p>
            <w:pPr>
              <w:jc w:val="center"/>
              <w:ind w:left="761"/>
              <w:spacing w:after="0" w:line="111" w:lineRule="exact"/>
              <w:rPr>
                <w:sz w:val="20"/>
                <w:szCs w:val="20"/>
                <w:color w:val="auto"/>
              </w:rPr>
            </w:pPr>
            <w:r>
              <w:rPr>
                <w:rFonts w:ascii="Arial" w:cs="Arial" w:eastAsia="Arial" w:hAnsi="Arial"/>
                <w:sz w:val="12"/>
                <w:szCs w:val="12"/>
                <w:b w:val="1"/>
                <w:bCs w:val="1"/>
                <w:color w:val="auto"/>
                <w:w w:val="97"/>
              </w:rPr>
              <w:t>Proposed maximum</w:t>
            </w:r>
          </w:p>
        </w:tc>
        <w:tc>
          <w:tcPr>
            <w:tcW w:w="1640" w:type="dxa"/>
            <w:vAlign w:val="bottom"/>
          </w:tcPr>
          <w:p>
            <w:pPr>
              <w:spacing w:after="0"/>
              <w:rPr>
                <w:sz w:val="9"/>
                <w:szCs w:val="9"/>
                <w:color w:val="auto"/>
              </w:rPr>
            </w:pPr>
          </w:p>
        </w:tc>
      </w:tr>
      <w:tr>
        <w:trPr>
          <w:trHeight w:val="157"/>
        </w:trPr>
        <w:tc>
          <w:tcPr>
            <w:tcW w:w="4700" w:type="dxa"/>
            <w:vAlign w:val="bottom"/>
          </w:tcPr>
          <w:p>
            <w:pPr>
              <w:jc w:val="center"/>
              <w:ind w:left="754"/>
              <w:spacing w:after="0"/>
              <w:rPr>
                <w:sz w:val="20"/>
                <w:szCs w:val="20"/>
                <w:color w:val="auto"/>
              </w:rPr>
            </w:pPr>
            <w:r>
              <w:rPr>
                <w:rFonts w:ascii="Arial" w:cs="Arial" w:eastAsia="Arial" w:hAnsi="Arial"/>
                <w:sz w:val="13"/>
                <w:szCs w:val="13"/>
                <w:b w:val="1"/>
                <w:bCs w:val="1"/>
                <w:color w:val="auto"/>
                <w:w w:val="87"/>
              </w:rPr>
              <w:t>Title of each class of</w:t>
            </w:r>
          </w:p>
        </w:tc>
        <w:tc>
          <w:tcPr>
            <w:tcW w:w="2780" w:type="dxa"/>
            <w:vAlign w:val="bottom"/>
          </w:tcPr>
          <w:p>
            <w:pPr>
              <w:jc w:val="center"/>
              <w:ind w:left="781"/>
              <w:spacing w:after="0"/>
              <w:rPr>
                <w:sz w:val="20"/>
                <w:szCs w:val="20"/>
                <w:color w:val="auto"/>
              </w:rPr>
            </w:pPr>
            <w:r>
              <w:rPr>
                <w:rFonts w:ascii="Arial" w:cs="Arial" w:eastAsia="Arial" w:hAnsi="Arial"/>
                <w:sz w:val="13"/>
                <w:szCs w:val="13"/>
                <w:b w:val="1"/>
                <w:bCs w:val="1"/>
                <w:color w:val="auto"/>
                <w:w w:val="89"/>
              </w:rPr>
              <w:t>aggregate offering</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211"/>
        </w:trPr>
        <w:tc>
          <w:tcPr>
            <w:tcW w:w="4700" w:type="dxa"/>
            <w:vAlign w:val="bottom"/>
          </w:tcPr>
          <w:p>
            <w:pPr>
              <w:jc w:val="center"/>
              <w:ind w:left="774"/>
              <w:spacing w:after="0"/>
              <w:rPr>
                <w:sz w:val="20"/>
                <w:szCs w:val="20"/>
                <w:color w:val="auto"/>
              </w:rPr>
            </w:pPr>
            <w:r>
              <w:rPr>
                <w:rFonts w:ascii="Arial" w:cs="Arial" w:eastAsia="Arial" w:hAnsi="Arial"/>
                <w:sz w:val="13"/>
                <w:szCs w:val="13"/>
                <w:b w:val="1"/>
                <w:bCs w:val="1"/>
                <w:color w:val="auto"/>
                <w:w w:val="87"/>
              </w:rPr>
              <w:t>securities to be registered</w:t>
            </w:r>
          </w:p>
        </w:tc>
        <w:tc>
          <w:tcPr>
            <w:tcW w:w="2780" w:type="dxa"/>
            <w:vAlign w:val="bottom"/>
          </w:tcPr>
          <w:p>
            <w:pPr>
              <w:jc w:val="center"/>
              <w:ind w:left="781"/>
              <w:spacing w:after="0" w:line="211" w:lineRule="exact"/>
              <w:rPr>
                <w:sz w:val="20"/>
                <w:szCs w:val="20"/>
                <w:color w:val="auto"/>
              </w:rPr>
            </w:pPr>
            <w:r>
              <w:rPr>
                <w:rFonts w:ascii="Arial" w:cs="Arial" w:eastAsia="Arial" w:hAnsi="Arial"/>
                <w:sz w:val="24"/>
                <w:szCs w:val="24"/>
                <w:b w:val="1"/>
                <w:bCs w:val="1"/>
                <w:color w:val="auto"/>
                <w:w w:val="86"/>
                <w:vertAlign w:val="subscript"/>
              </w:rPr>
              <w:t>price</w:t>
            </w:r>
            <w:r>
              <w:rPr>
                <w:rFonts w:ascii="Arial" w:cs="Arial" w:eastAsia="Arial" w:hAnsi="Arial"/>
                <w:sz w:val="10"/>
                <w:szCs w:val="10"/>
                <w:b w:val="1"/>
                <w:bCs w:val="1"/>
                <w:color w:val="auto"/>
                <w:w w:val="86"/>
              </w:rPr>
              <w:t>(1)(2)</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registration fee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-8255</wp:posOffset>
            </wp:positionV>
            <wp:extent cx="5793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12700</wp:posOffset>
            </wp:positionV>
            <wp:extent cx="579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3740"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29210</wp:posOffset>
            </wp:positionV>
            <wp:extent cx="5793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spacing w:after="0" w:line="227" w:lineRule="exact"/>
        <w:rPr>
          <w:sz w:val="20"/>
          <w:szCs w:val="20"/>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offering price of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135255</wp:posOffset>
            </wp:positionV>
            <wp:extent cx="1473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54"/>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i w:val="1"/>
          <w:iCs w:val="1"/>
          <w:color w:val="FF4019"/>
        </w:rPr>
        <w:t>Issued</w:t>
      </w:r>
      <w:r>
        <w:rPr>
          <w:sz w:val="20"/>
          <w:szCs w:val="20"/>
          <w:color w:val="auto"/>
        </w:rPr>
        <w:tab/>
      </w:r>
      <w:r>
        <w:rPr>
          <w:rFonts w:ascii="Arial" w:cs="Arial" w:eastAsia="Arial" w:hAnsi="Arial"/>
          <w:sz w:val="17"/>
          <w:szCs w:val="17"/>
          <w:i w:val="1"/>
          <w:iCs w:val="1"/>
          <w:color w:val="FF4019"/>
        </w:rPr>
        <w:t>, 2013</w:t>
      </w:r>
    </w:p>
    <w:p>
      <w:pPr>
        <w:spacing w:after="0" w:line="186" w:lineRule="exact"/>
        <w:rPr>
          <w:sz w:val="20"/>
          <w:szCs w:val="20"/>
          <w:color w:val="auto"/>
        </w:rPr>
      </w:pPr>
    </w:p>
    <w:p>
      <w:pPr>
        <w:ind w:left="6160"/>
        <w:spacing w:after="0"/>
        <w:rPr>
          <w:sz w:val="20"/>
          <w:szCs w:val="20"/>
          <w:color w:val="auto"/>
        </w:rPr>
      </w:pPr>
      <w:r>
        <w:rPr>
          <w:rFonts w:ascii="Arial" w:cs="Arial" w:eastAsia="Arial" w:hAnsi="Arial"/>
          <w:sz w:val="31"/>
          <w:szCs w:val="3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152400</wp:posOffset>
            </wp:positionV>
            <wp:extent cx="2780665" cy="1248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8066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20"/>
                <w:szCs w:val="20"/>
                <w:color w:val="auto"/>
              </w:rPr>
            </w:pPr>
            <w:r>
              <w:rPr>
                <w:rFonts w:ascii="Arial" w:cs="Arial" w:eastAsia="Arial" w:hAnsi="Arial"/>
                <w:sz w:val="17"/>
                <w:szCs w:val="17"/>
                <w:b w:val="1"/>
                <w:bCs w:val="1"/>
                <w:i w:val="1"/>
                <w:iCs w:val="1"/>
                <w:color w:val="auto"/>
              </w:rPr>
              <w:t>Veracyte, Inc. is offering</w:t>
            </w:r>
          </w:p>
        </w:tc>
        <w:tc>
          <w:tcPr>
            <w:tcW w:w="9360" w:type="dxa"/>
            <w:vAlign w:val="bottom"/>
            <w:gridSpan w:val="4"/>
          </w:tcPr>
          <w:p>
            <w:pPr>
              <w:ind w:left="320"/>
              <w:spacing w:after="0"/>
              <w:rPr>
                <w:sz w:val="20"/>
                <w:szCs w:val="20"/>
                <w:color w:val="auto"/>
              </w:rPr>
            </w:pPr>
            <w:r>
              <w:rPr>
                <w:rFonts w:ascii="Arial" w:cs="Arial" w:eastAsia="Arial" w:hAnsi="Arial"/>
                <w:sz w:val="17"/>
                <w:szCs w:val="17"/>
                <w:b w:val="1"/>
                <w:bCs w:val="1"/>
                <w:i w:val="1"/>
                <w:iCs w:val="1"/>
                <w:color w:val="auto"/>
                <w:w w:val="87"/>
              </w:rPr>
              <w:t>shares of its common stock. This is our initial public offering and no public market currently exists for our shares. We anticipate</w:t>
            </w:r>
          </w:p>
        </w:tc>
      </w:tr>
      <w:tr>
        <w:trPr>
          <w:trHeight w:val="216"/>
        </w:trPr>
        <w:tc>
          <w:tcPr>
            <w:tcW w:w="5560" w:type="dxa"/>
            <w:vAlign w:val="bottom"/>
            <w:gridSpan w:val="3"/>
          </w:tcPr>
          <w:p>
            <w:pPr>
              <w:spacing w:after="0"/>
              <w:rPr>
                <w:sz w:val="20"/>
                <w:szCs w:val="20"/>
                <w:color w:val="auto"/>
              </w:rPr>
            </w:pPr>
            <w:r>
              <w:rPr>
                <w:rFonts w:ascii="Arial" w:cs="Arial" w:eastAsia="Arial" w:hAnsi="Arial"/>
                <w:sz w:val="17"/>
                <w:szCs w:val="17"/>
                <w:b w:val="1"/>
                <w:bCs w:val="1"/>
                <w:i w:val="1"/>
                <w:iCs w:val="1"/>
                <w:color w:val="auto"/>
                <w:w w:val="92"/>
              </w:rPr>
              <w:t>that the initial public offering price of our common stock will be between $</w:t>
            </w:r>
          </w:p>
        </w:tc>
        <w:tc>
          <w:tcPr>
            <w:tcW w:w="136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and $</w:t>
            </w:r>
          </w:p>
        </w:tc>
        <w:tc>
          <w:tcPr>
            <w:tcW w:w="4500" w:type="dxa"/>
            <w:vAlign w:val="bottom"/>
          </w:tcPr>
          <w:p>
            <w:pPr>
              <w:spacing w:after="0"/>
              <w:rPr>
                <w:sz w:val="20"/>
                <w:szCs w:val="20"/>
                <w:color w:val="auto"/>
              </w:rPr>
            </w:pPr>
            <w:r>
              <w:rPr>
                <w:rFonts w:ascii="Arial" w:cs="Arial" w:eastAsia="Arial" w:hAnsi="Arial"/>
                <w:sz w:val="17"/>
                <w:szCs w:val="17"/>
                <w:b w:val="1"/>
                <w:bCs w:val="1"/>
                <w:i w:val="1"/>
                <w:iCs w:val="1"/>
                <w:color w:val="auto"/>
              </w:rPr>
              <w:t>per share.</w:t>
            </w:r>
          </w:p>
        </w:tc>
      </w:tr>
      <w:tr>
        <w:trPr>
          <w:trHeight w:val="212"/>
        </w:trPr>
        <w:tc>
          <w:tcPr>
            <w:tcW w:w="2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intend to apply to list our common stock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under applicable Securities and Exchange Commission rules and will be subject to reduced public company reporting requirements for this prospectus and future filings.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Investing in our common stock involves risks. Please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7"/>
          <w:szCs w:val="17"/>
          <w:i w:val="1"/>
          <w:iCs w:val="1"/>
          <w:color w:val="auto"/>
        </w:rPr>
        <w:t xml:space="preserve">PRICE </w:t>
      </w:r>
      <w:r>
        <w:rPr>
          <w:rFonts w:ascii="Arial" w:cs="Arial" w:eastAsia="Arial" w:hAnsi="Arial"/>
          <w:sz w:val="20"/>
          <w:szCs w:val="20"/>
          <w:i w:val="1"/>
          <w:iCs w:val="1"/>
          <w:color w:val="auto"/>
        </w:rPr>
        <w:t>$</w:t>
      </w:r>
      <w:r>
        <w:rPr>
          <w:sz w:val="20"/>
          <w:szCs w:val="20"/>
          <w:color w:val="auto"/>
        </w:rPr>
        <w:tab/>
      </w:r>
      <w:r>
        <w:rPr>
          <w:rFonts w:ascii="Arial" w:cs="Arial" w:eastAsia="Arial" w:hAnsi="Arial"/>
          <w:sz w:val="15"/>
          <w:szCs w:val="15"/>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5398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i w:val="1"/>
                <w:iCs w:val="1"/>
                <w:color w:val="auto"/>
                <w:w w:val="92"/>
              </w:rPr>
              <w:t>Underwriting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Price to</w:t>
            </w:r>
          </w:p>
        </w:tc>
        <w:tc>
          <w:tcPr>
            <w:tcW w:w="700" w:type="dxa"/>
            <w:vAlign w:val="bottom"/>
          </w:tcPr>
          <w:p>
            <w:pPr>
              <w:spacing w:after="0"/>
              <w:rPr>
                <w:sz w:val="12"/>
                <w:szCs w:val="12"/>
                <w:color w:val="auto"/>
              </w:rPr>
            </w:pPr>
          </w:p>
        </w:tc>
        <w:tc>
          <w:tcPr>
            <w:tcW w:w="138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1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i w:val="1"/>
                <w:iCs w:val="1"/>
                <w:color w:val="auto"/>
                <w:w w:val="88"/>
              </w:rPr>
              <w:t>Proceeds to</w:t>
            </w:r>
          </w:p>
        </w:tc>
        <w:tc>
          <w:tcPr>
            <w:tcW w:w="0" w:type="dxa"/>
            <w:vAlign w:val="bottom"/>
          </w:tcPr>
          <w:p>
            <w:pPr>
              <w:spacing w:after="0"/>
              <w:rPr>
                <w:sz w:val="1"/>
                <w:szCs w:val="1"/>
                <w:color w:val="auto"/>
              </w:rPr>
            </w:pPr>
          </w:p>
        </w:tc>
      </w:tr>
      <w:tr>
        <w:trPr>
          <w:trHeight w:val="153"/>
        </w:trPr>
        <w:tc>
          <w:tcPr>
            <w:tcW w:w="5420" w:type="dxa"/>
            <w:vAlign w:val="bottom"/>
            <w:vMerge w:val="restart"/>
          </w:tcPr>
          <w:p>
            <w:pPr>
              <w:ind w:left="1160"/>
              <w:spacing w:after="0"/>
              <w:rPr>
                <w:sz w:val="20"/>
                <w:szCs w:val="20"/>
                <w:color w:val="auto"/>
              </w:rPr>
            </w:pPr>
            <w:r>
              <w:rPr>
                <w:rFonts w:ascii="Arial" w:cs="Arial" w:eastAsia="Arial" w:hAnsi="Arial"/>
                <w:sz w:val="17"/>
                <w:szCs w:val="17"/>
                <w:i w:val="1"/>
                <w:iCs w:val="1"/>
                <w:color w:val="auto"/>
              </w:rPr>
              <w:t>Per Share</w:t>
            </w:r>
          </w:p>
        </w:tc>
        <w:tc>
          <w:tcPr>
            <w:tcW w:w="1140" w:type="dxa"/>
            <w:vAlign w:val="bottom"/>
            <w:vMerge w:val="restart"/>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7"/>
              </w:rPr>
              <w:t>Public</w:t>
            </w:r>
          </w:p>
        </w:tc>
        <w:tc>
          <w:tcPr>
            <w:tcW w:w="7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i w:val="1"/>
                <w:iCs w:val="1"/>
                <w:color w:val="auto"/>
              </w:rPr>
              <w:t>Company</w:t>
            </w:r>
          </w:p>
        </w:tc>
        <w:tc>
          <w:tcPr>
            <w:tcW w:w="0" w:type="dxa"/>
            <w:vAlign w:val="bottom"/>
          </w:tcPr>
          <w:p>
            <w:pPr>
              <w:spacing w:after="0"/>
              <w:rPr>
                <w:sz w:val="1"/>
                <w:szCs w:val="1"/>
                <w:color w:val="auto"/>
              </w:rPr>
            </w:pPr>
          </w:p>
        </w:tc>
      </w:tr>
      <w:tr>
        <w:trPr>
          <w:trHeight w:val="194"/>
        </w:trPr>
        <w:tc>
          <w:tcPr>
            <w:tcW w:w="54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right"/>
              <w:ind w:right="710"/>
              <w:spacing w:after="0" w:line="194" w:lineRule="exact"/>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6"/>
                <w:szCs w:val="16"/>
                <w:color w:val="auto"/>
              </w:rPr>
            </w:pPr>
          </w:p>
        </w:tc>
        <w:tc>
          <w:tcPr>
            <w:tcW w:w="840" w:type="dxa"/>
            <w:vAlign w:val="bottom"/>
            <w:gridSpan w:val="2"/>
          </w:tcPr>
          <w:p>
            <w:pPr>
              <w:jc w:val="right"/>
              <w:ind w:right="634"/>
              <w:spacing w:after="0" w:line="194"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160"/>
              <w:spacing w:after="0"/>
              <w:rPr>
                <w:sz w:val="20"/>
                <w:szCs w:val="20"/>
                <w:color w:val="auto"/>
              </w:rPr>
            </w:pPr>
            <w:r>
              <w:rPr>
                <w:rFonts w:ascii="Arial" w:cs="Arial" w:eastAsia="Arial" w:hAnsi="Arial"/>
                <w:sz w:val="17"/>
                <w:szCs w:val="17"/>
                <w:i w:val="1"/>
                <w:iCs w:val="1"/>
                <w:color w:val="auto"/>
              </w:rPr>
              <w:t>Total</w:t>
            </w: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Pr>
          <w:p>
            <w:pPr>
              <w:spacing w:after="0"/>
              <w:rPr>
                <w:sz w:val="18"/>
                <w:szCs w:val="18"/>
                <w:color w:val="auto"/>
              </w:rPr>
            </w:pPr>
          </w:p>
        </w:tc>
        <w:tc>
          <w:tcPr>
            <w:tcW w:w="1600" w:type="dxa"/>
            <w:vAlign w:val="bottom"/>
            <w:gridSpan w:val="2"/>
          </w:tcPr>
          <w:p>
            <w:pPr>
              <w:jc w:val="right"/>
              <w:ind w:right="710"/>
              <w:spacing w:after="0"/>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634"/>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7"/>
                <w:szCs w:val="17"/>
                <w:i w:val="1"/>
                <w:iCs w:val="1"/>
                <w:color w:val="auto"/>
                <w:w w:val="96"/>
              </w:rPr>
              <w:t>We have granted the underwriters the right to purchase up to an additional</w:t>
            </w:r>
          </w:p>
        </w:tc>
        <w:tc>
          <w:tcPr>
            <w:tcW w:w="3740" w:type="dxa"/>
            <w:vAlign w:val="bottom"/>
            <w:gridSpan w:val="5"/>
          </w:tcPr>
          <w:p>
            <w:pPr>
              <w:ind w:left="300"/>
              <w:spacing w:after="0"/>
              <w:rPr>
                <w:sz w:val="20"/>
                <w:szCs w:val="20"/>
                <w:color w:val="auto"/>
              </w:rPr>
            </w:pPr>
            <w:r>
              <w:rPr>
                <w:rFonts w:ascii="Arial" w:cs="Arial" w:eastAsia="Arial" w:hAnsi="Arial"/>
                <w:sz w:val="17"/>
                <w:szCs w:val="17"/>
                <w:i w:val="1"/>
                <w:iCs w:val="1"/>
                <w:color w:val="auto"/>
                <w:w w:val="91"/>
              </w:rPr>
              <w:t>shares of common stock to cover over-allotments.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Arial" w:cs="Arial" w:eastAsia="Arial" w:hAnsi="Arial"/>
                <w:sz w:val="17"/>
                <w:szCs w:val="17"/>
                <w:i w:val="1"/>
                <w:iCs w:val="1"/>
                <w:color w:val="auto"/>
                <w:w w:val="94"/>
              </w:rPr>
              <w:t>The underwriters expect to deliver the shares of common stock to purchasers on</w:t>
            </w:r>
          </w:p>
        </w:tc>
        <w:tc>
          <w:tcPr>
            <w:tcW w:w="1160" w:type="dxa"/>
            <w:vAlign w:val="bottom"/>
          </w:tcPr>
          <w:p>
            <w:pPr>
              <w:jc w:val="right"/>
              <w:ind w:right="315"/>
              <w:spacing w:after="0"/>
              <w:rPr>
                <w:sz w:val="20"/>
                <w:szCs w:val="20"/>
                <w:color w:val="auto"/>
              </w:rPr>
            </w:pPr>
            <w:r>
              <w:rPr>
                <w:rFonts w:ascii="Arial" w:cs="Arial" w:eastAsia="Arial" w:hAnsi="Arial"/>
                <w:sz w:val="17"/>
                <w:szCs w:val="17"/>
                <w:i w:val="1"/>
                <w:iCs w:val="1"/>
                <w:color w:val="auto"/>
              </w:rPr>
              <w:t>, 2013.</w:t>
            </w:r>
          </w:p>
        </w:tc>
      </w:tr>
      <w:tr>
        <w:trPr>
          <w:trHeight w:val="212"/>
        </w:trPr>
        <w:tc>
          <w:tcPr>
            <w:tcW w:w="45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64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1"/>
          <w:szCs w:val="21"/>
          <w:i w:val="1"/>
          <w:iCs w:val="1"/>
          <w:color w:val="auto"/>
        </w:rPr>
        <w:t>LEERINK SWANN</w:t>
      </w:r>
    </w:p>
    <w:p>
      <w:pPr>
        <w:spacing w:after="0" w:line="221"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i w:val="1"/>
          <w:iCs w:val="1"/>
          <w:color w:val="auto"/>
        </w:rPr>
        <w:t>WILLIAM BLAIR</w:t>
      </w:r>
      <w:r>
        <w:rPr>
          <w:sz w:val="20"/>
          <w:szCs w:val="20"/>
          <w:color w:val="auto"/>
        </w:rPr>
        <w:tab/>
      </w:r>
      <w:r>
        <w:rPr>
          <w:rFonts w:ascii="Arial" w:cs="Arial" w:eastAsia="Arial" w:hAnsi="Arial"/>
          <w:sz w:val="15"/>
          <w:szCs w:val="15"/>
          <w:i w:val="1"/>
          <w:iCs w:val="1"/>
          <w:color w:val="auto"/>
        </w:rPr>
        <w:t>COWEN AND COMPANY</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693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769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gridSpan w:val="6"/>
          </w:tcPr>
          <w:p>
            <w:pPr>
              <w:ind w:left="20"/>
              <w:spacing w:after="0"/>
              <w:rPr>
                <w:sz w:val="20"/>
                <w:szCs w:val="20"/>
                <w:color w:val="auto"/>
              </w:rPr>
            </w:pPr>
            <w:r>
              <w:rPr>
                <w:rFonts w:ascii="Arial" w:cs="Arial" w:eastAsia="Arial" w:hAnsi="Arial"/>
                <w:sz w:val="17"/>
                <w:szCs w:val="17"/>
                <w:b w:val="1"/>
                <w:bCs w:val="1"/>
                <w:color w:val="auto"/>
              </w:rPr>
              <w:t>TABLE OF CONTENTS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440" w:type="dxa"/>
            <w:vAlign w:val="bottom"/>
            <w:gridSpan w:val="10"/>
            <w:vMerge w:val="restart"/>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Prospectus Summary</w:t>
              </w:r>
            </w:hyperlink>
          </w:p>
        </w:tc>
        <w:tc>
          <w:tcPr>
            <w:tcW w:w="7300" w:type="dxa"/>
            <w:vAlign w:val="bottom"/>
            <w:gridSpan w:val="15"/>
            <w:vMerge w:val="restart"/>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6"/>
          </w:tcPr>
          <w:p>
            <w:pPr>
              <w:jc w:val="right"/>
              <w:ind w:right="60"/>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64"/>
        </w:trPr>
        <w:tc>
          <w:tcPr>
            <w:tcW w:w="1440" w:type="dxa"/>
            <w:vAlign w:val="bottom"/>
            <w:gridSpan w:val="10"/>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360" w:type="dxa"/>
            <w:vAlign w:val="bottom"/>
            <w:tcBorders>
              <w:top w:val="single" w:sz="8" w:color="auto"/>
            </w:tcBorders>
            <w:gridSpan w:val="6"/>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0"/>
          </w:tcPr>
          <w:p>
            <w:pPr>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7300" w:type="dxa"/>
            <w:vAlign w:val="bottom"/>
            <w:gridSpan w:val="15"/>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10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Information Regarding Forward-Looking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32</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85"/>
              </w:rPr>
            </w:pPr>
            <w:hyperlink w:anchor="page38">
              <w:r>
                <w:rPr>
                  <w:rFonts w:ascii="Arial" w:cs="Arial" w:eastAsia="Arial" w:hAnsi="Arial"/>
                  <w:sz w:val="17"/>
                  <w:szCs w:val="17"/>
                  <w:color w:val="0000EE"/>
                  <w:w w:val="85"/>
                </w:rPr>
                <w:t>Use of Proceeds</w:t>
              </w:r>
            </w:hyperlink>
          </w:p>
        </w:tc>
        <w:tc>
          <w:tcPr>
            <w:tcW w:w="2500" w:type="dxa"/>
            <w:vAlign w:val="bottom"/>
            <w:tcBorders>
              <w:top w:val="single" w:sz="8" w:color="0000EE"/>
            </w:tcBorders>
            <w:gridSpan w:val="10"/>
          </w:tcPr>
          <w:p>
            <w:pPr>
              <w:spacing w:after="0"/>
              <w:rPr>
                <w:sz w:val="16"/>
                <w:szCs w:val="16"/>
                <w:color w:val="auto"/>
              </w:rPr>
            </w:pPr>
          </w:p>
        </w:tc>
        <w:tc>
          <w:tcPr>
            <w:tcW w:w="5140" w:type="dxa"/>
            <w:vAlign w:val="bottom"/>
            <w:gridSpan w:val="6"/>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8">
              <w:r>
                <w:rPr>
                  <w:rFonts w:ascii="Arial" w:cs="Arial" w:eastAsia="Arial" w:hAnsi="Arial"/>
                  <w:sz w:val="17"/>
                  <w:szCs w:val="17"/>
                  <w:color w:val="0000EE"/>
                  <w:w w:val="84"/>
                </w:rPr>
                <w:t>33</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Dividend Policy</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33</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2"/>
              </w:rPr>
            </w:pPr>
            <w:hyperlink w:anchor="page39">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640" w:type="dxa"/>
            <w:vAlign w:val="bottom"/>
            <w:gridSpan w:val="16"/>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9">
              <w:r>
                <w:rPr>
                  <w:rFonts w:ascii="Arial" w:cs="Arial" w:eastAsia="Arial" w:hAnsi="Arial"/>
                  <w:sz w:val="17"/>
                  <w:szCs w:val="17"/>
                  <w:color w:val="0000EE"/>
                  <w:w w:val="84"/>
                </w:rPr>
                <w:t>34</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1">
              <w:r>
                <w:rPr>
                  <w:rFonts w:ascii="Arial" w:cs="Arial" w:eastAsia="Arial" w:hAnsi="Arial"/>
                  <w:sz w:val="17"/>
                  <w:szCs w:val="17"/>
                  <w:color w:val="0000EE"/>
                  <w:w w:val="95"/>
                </w:rPr>
                <w:t>Dilution</w:t>
              </w:r>
            </w:hyperlink>
          </w:p>
        </w:tc>
        <w:tc>
          <w:tcPr>
            <w:tcW w:w="8180" w:type="dxa"/>
            <w:vAlign w:val="bottom"/>
            <w:gridSpan w:val="23"/>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43">
              <w:r>
                <w:rPr>
                  <w:rFonts w:ascii="Arial" w:cs="Arial" w:eastAsia="Arial" w:hAnsi="Arial"/>
                  <w:sz w:val="17"/>
                  <w:szCs w:val="17"/>
                  <w:color w:val="0000EE"/>
                  <w:w w:val="89"/>
                </w:rPr>
                <w:t>Selected Financial Data</w:t>
              </w:r>
            </w:hyperlink>
          </w:p>
        </w:tc>
        <w:tc>
          <w:tcPr>
            <w:tcW w:w="7120" w:type="dxa"/>
            <w:vAlign w:val="bottom"/>
            <w:gridSpan w:val="13"/>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4"/>
          </w:tcPr>
          <w:p>
            <w:pPr>
              <w:spacing w:after="0" w:line="189" w:lineRule="exact"/>
              <w:rPr>
                <w:rFonts w:ascii="Arial" w:cs="Arial" w:eastAsia="Arial" w:hAnsi="Arial"/>
                <w:sz w:val="17"/>
                <w:szCs w:val="17"/>
                <w:color w:val="0000EE"/>
                <w:w w:val="90"/>
              </w:rPr>
            </w:pPr>
            <w:hyperlink w:anchor="page44">
              <w:r>
                <w:rPr>
                  <w:rFonts w:ascii="Arial" w:cs="Arial" w:eastAsia="Arial" w:hAnsi="Arial"/>
                  <w:sz w:val="17"/>
                  <w:szCs w:val="17"/>
                  <w:color w:val="0000EE"/>
                  <w:w w:val="90"/>
                </w:rPr>
                <w:t>Management's Discussion and Analysis of Financial Condition and Results of Operations</w:t>
              </w:r>
            </w:hyperlink>
          </w:p>
        </w:tc>
        <w:tc>
          <w:tcPr>
            <w:tcW w:w="2640" w:type="dxa"/>
            <w:vAlign w:val="bottom"/>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64">
              <w:r>
                <w:rPr>
                  <w:rFonts w:ascii="Arial" w:cs="Arial" w:eastAsia="Arial" w:hAnsi="Arial"/>
                  <w:sz w:val="17"/>
                  <w:szCs w:val="17"/>
                  <w:color w:val="0000EE"/>
                  <w:w w:val="84"/>
                </w:rPr>
                <w:t>Business</w:t>
              </w:r>
            </w:hyperlink>
          </w:p>
        </w:tc>
        <w:tc>
          <w:tcPr>
            <w:tcW w:w="8140" w:type="dxa"/>
            <w:vAlign w:val="bottom"/>
            <w:gridSpan w:val="22"/>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64">
              <w:r>
                <w:rPr>
                  <w:rFonts w:ascii="Arial" w:cs="Arial" w:eastAsia="Arial" w:hAnsi="Arial"/>
                  <w:sz w:val="17"/>
                  <w:szCs w:val="17"/>
                  <w:color w:val="0000EE"/>
                  <w:w w:val="84"/>
                </w:rPr>
                <w:t>59</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92">
              <w:r>
                <w:rPr>
                  <w:rFonts w:ascii="Arial" w:cs="Arial" w:eastAsia="Arial" w:hAnsi="Arial"/>
                  <w:sz w:val="17"/>
                  <w:szCs w:val="17"/>
                  <w:color w:val="0000EE"/>
                </w:rPr>
                <w:t>Management</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92">
              <w:r>
                <w:rPr>
                  <w:rFonts w:ascii="Arial" w:cs="Arial" w:eastAsia="Arial" w:hAnsi="Arial"/>
                  <w:sz w:val="17"/>
                  <w:szCs w:val="17"/>
                  <w:color w:val="0000EE"/>
                </w:rPr>
                <w:t>87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98">
              <w:r>
                <w:rPr>
                  <w:rFonts w:ascii="Arial" w:cs="Arial" w:eastAsia="Arial" w:hAnsi="Arial"/>
                  <w:sz w:val="17"/>
                  <w:szCs w:val="17"/>
                  <w:color w:val="0000EE"/>
                </w:rPr>
                <w:t>Executive Compensation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98">
              <w:r>
                <w:rPr>
                  <w:rFonts w:ascii="Arial" w:cs="Arial" w:eastAsia="Arial" w:hAnsi="Arial"/>
                  <w:sz w:val="17"/>
                  <w:szCs w:val="17"/>
                  <w:color w:val="0000EE"/>
                </w:rPr>
                <w:t>93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Certain Relationships and Related Party Transactions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103</w:t>
              </w:r>
            </w:hyperlink>
          </w:p>
        </w:tc>
        <w:tc>
          <w:tcPr>
            <w:tcW w:w="0" w:type="dxa"/>
            <w:vAlign w:val="bottom"/>
          </w:tcPr>
          <w:p>
            <w:pPr>
              <w:spacing w:after="0"/>
              <w:rPr>
                <w:sz w:val="1"/>
                <w:szCs w:val="1"/>
                <w:color w:val="auto"/>
              </w:rPr>
            </w:pPr>
          </w:p>
        </w:tc>
      </w:tr>
      <w:tr>
        <w:trPr>
          <w:trHeight w:val="190"/>
        </w:trPr>
        <w:tc>
          <w:tcPr>
            <w:tcW w:w="154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110">
              <w:r>
                <w:rPr>
                  <w:rFonts w:ascii="Arial" w:cs="Arial" w:eastAsia="Arial" w:hAnsi="Arial"/>
                  <w:sz w:val="17"/>
                  <w:szCs w:val="17"/>
                  <w:color w:val="0000EE"/>
                  <w:w w:val="90"/>
                </w:rPr>
                <w:t>Principal Stockholders</w:t>
              </w:r>
            </w:hyperlink>
          </w:p>
        </w:tc>
        <w:tc>
          <w:tcPr>
            <w:tcW w:w="2080" w:type="dxa"/>
            <w:vAlign w:val="bottom"/>
            <w:tcBorders>
              <w:top w:val="single" w:sz="8" w:color="0000EE"/>
            </w:tcBorders>
            <w:gridSpan w:val="9"/>
          </w:tcPr>
          <w:p>
            <w:pPr>
              <w:spacing w:after="0"/>
              <w:rPr>
                <w:sz w:val="16"/>
                <w:szCs w:val="16"/>
                <w:color w:val="auto"/>
              </w:rPr>
            </w:pPr>
          </w:p>
        </w:tc>
        <w:tc>
          <w:tcPr>
            <w:tcW w:w="5120" w:type="dxa"/>
            <w:vAlign w:val="bottom"/>
            <w:gridSpan w:val="5"/>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10">
              <w:r>
                <w:rPr>
                  <w:rFonts w:ascii="Arial" w:cs="Arial" w:eastAsia="Arial" w:hAnsi="Arial"/>
                  <w:sz w:val="17"/>
                  <w:szCs w:val="17"/>
                  <w:color w:val="0000EE"/>
                  <w:w w:val="84"/>
                </w:rPr>
                <w:t>105</w:t>
              </w:r>
            </w:hyperlink>
          </w:p>
        </w:tc>
        <w:tc>
          <w:tcPr>
            <w:tcW w:w="0" w:type="dxa"/>
            <w:vAlign w:val="bottom"/>
          </w:tcPr>
          <w:p>
            <w:pPr>
              <w:spacing w:after="0"/>
              <w:rPr>
                <w:sz w:val="1"/>
                <w:szCs w:val="1"/>
                <w:color w:val="auto"/>
              </w:rPr>
            </w:pPr>
          </w:p>
        </w:tc>
      </w:tr>
      <w:tr>
        <w:trPr>
          <w:trHeight w:val="190"/>
        </w:trPr>
        <w:tc>
          <w:tcPr>
            <w:tcW w:w="1940" w:type="dxa"/>
            <w:vAlign w:val="bottom"/>
            <w:tcBorders>
              <w:bottom w:val="single" w:sz="8" w:color="0000EE"/>
            </w:tcBorders>
            <w:gridSpan w:val="14"/>
          </w:tcPr>
          <w:p>
            <w:pPr>
              <w:spacing w:after="0" w:line="189" w:lineRule="exact"/>
              <w:rPr>
                <w:rFonts w:ascii="Arial" w:cs="Arial" w:eastAsia="Arial" w:hAnsi="Arial"/>
                <w:sz w:val="17"/>
                <w:szCs w:val="17"/>
                <w:color w:val="0000EE"/>
                <w:w w:val="91"/>
              </w:rPr>
            </w:pPr>
            <w:hyperlink w:anchor="page113">
              <w:r>
                <w:rPr>
                  <w:rFonts w:ascii="Arial" w:cs="Arial" w:eastAsia="Arial" w:hAnsi="Arial"/>
                  <w:sz w:val="17"/>
                  <w:szCs w:val="17"/>
                  <w:color w:val="0000EE"/>
                  <w:w w:val="91"/>
                </w:rPr>
                <w:t>Description of Capital Stock</w:t>
              </w:r>
            </w:hyperlink>
          </w:p>
        </w:tc>
        <w:tc>
          <w:tcPr>
            <w:tcW w:w="6800" w:type="dxa"/>
            <w:vAlign w:val="bottom"/>
            <w:gridSpan w:val="11"/>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13">
              <w:r>
                <w:rPr>
                  <w:rFonts w:ascii="Arial" w:cs="Arial" w:eastAsia="Arial" w:hAnsi="Arial"/>
                  <w:sz w:val="17"/>
                  <w:szCs w:val="17"/>
                  <w:color w:val="0000EE"/>
                  <w:w w:val="84"/>
                </w:rPr>
                <w:t>108</w:t>
              </w:r>
            </w:hyperlink>
          </w:p>
        </w:tc>
        <w:tc>
          <w:tcPr>
            <w:tcW w:w="0" w:type="dxa"/>
            <w:vAlign w:val="bottom"/>
          </w:tcPr>
          <w:p>
            <w:pPr>
              <w:spacing w:after="0"/>
              <w:rPr>
                <w:sz w:val="1"/>
                <w:szCs w:val="1"/>
                <w:color w:val="auto"/>
              </w:rPr>
            </w:pPr>
          </w:p>
        </w:tc>
      </w:tr>
      <w:tr>
        <w:trPr>
          <w:trHeight w:val="190"/>
        </w:trPr>
        <w:tc>
          <w:tcPr>
            <w:tcW w:w="2100" w:type="dxa"/>
            <w:vAlign w:val="bottom"/>
            <w:gridSpan w:val="15"/>
          </w:tcPr>
          <w:p>
            <w:pPr>
              <w:spacing w:after="0" w:line="189" w:lineRule="exact"/>
              <w:rPr>
                <w:rFonts w:ascii="Arial" w:cs="Arial" w:eastAsia="Arial" w:hAnsi="Arial"/>
                <w:sz w:val="17"/>
                <w:szCs w:val="17"/>
                <w:color w:val="0000EE"/>
                <w:w w:val="90"/>
              </w:rPr>
            </w:pPr>
            <w:hyperlink w:anchor="page117">
              <w:r>
                <w:rPr>
                  <w:rFonts w:ascii="Arial" w:cs="Arial" w:eastAsia="Arial" w:hAnsi="Arial"/>
                  <w:sz w:val="17"/>
                  <w:szCs w:val="17"/>
                  <w:color w:val="0000EE"/>
                  <w:w w:val="90"/>
                </w:rPr>
                <w:t>Shares Eligible for Future Sale</w:t>
              </w:r>
            </w:hyperlink>
          </w:p>
        </w:tc>
        <w:tc>
          <w:tcPr>
            <w:tcW w:w="6640" w:type="dxa"/>
            <w:vAlign w:val="bottom"/>
            <w:gridSpan w:val="10"/>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7">
              <w:r>
                <w:rPr>
                  <w:rFonts w:ascii="Arial" w:cs="Arial" w:eastAsia="Arial" w:hAnsi="Arial"/>
                  <w:sz w:val="17"/>
                  <w:szCs w:val="17"/>
                  <w:color w:val="0000EE"/>
                </w:rPr>
                <w:t>112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2"/>
          </w:tcPr>
          <w:p>
            <w:pPr>
              <w:spacing w:after="0" w:line="189" w:lineRule="exact"/>
              <w:rPr>
                <w:rFonts w:ascii="Arial" w:cs="Arial" w:eastAsia="Arial" w:hAnsi="Arial"/>
                <w:sz w:val="17"/>
                <w:szCs w:val="17"/>
                <w:color w:val="0000EE"/>
                <w:w w:val="90"/>
              </w:rPr>
            </w:pPr>
            <w:hyperlink w:anchor="page119">
              <w:r>
                <w:rPr>
                  <w:rFonts w:ascii="Arial" w:cs="Arial" w:eastAsia="Arial" w:hAnsi="Arial"/>
                  <w:sz w:val="17"/>
                  <w:szCs w:val="17"/>
                  <w:color w:val="0000EE"/>
                  <w:w w:val="90"/>
                </w:rPr>
                <w:t>Material United States Tax Considerations to Non-U.S. Holders</w:t>
              </w:r>
            </w:hyperlink>
          </w:p>
        </w:tc>
        <w:tc>
          <w:tcPr>
            <w:tcW w:w="4400" w:type="dxa"/>
            <w:vAlign w:val="bottom"/>
            <w:gridSpan w:val="3"/>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114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gridSpan w:val="6"/>
          </w:tcPr>
          <w:p>
            <w:pPr>
              <w:spacing w:after="0" w:line="189" w:lineRule="exact"/>
              <w:rPr>
                <w:rFonts w:ascii="Arial" w:cs="Arial" w:eastAsia="Arial" w:hAnsi="Arial"/>
                <w:sz w:val="17"/>
                <w:szCs w:val="17"/>
                <w:color w:val="0000EE"/>
                <w:w w:val="91"/>
              </w:rPr>
            </w:pPr>
            <w:hyperlink w:anchor="page123">
              <w:r>
                <w:rPr>
                  <w:rFonts w:ascii="Arial" w:cs="Arial" w:eastAsia="Arial" w:hAnsi="Arial"/>
                  <w:sz w:val="17"/>
                  <w:szCs w:val="17"/>
                  <w:color w:val="0000EE"/>
                  <w:w w:val="91"/>
                </w:rPr>
                <w:t>Underwriters</w:t>
              </w:r>
            </w:hyperlink>
          </w:p>
        </w:tc>
        <w:tc>
          <w:tcPr>
            <w:tcW w:w="3440" w:type="dxa"/>
            <w:vAlign w:val="bottom"/>
            <w:gridSpan w:val="16"/>
          </w:tcPr>
          <w:p>
            <w:pPr>
              <w:spacing w:after="0"/>
              <w:rPr>
                <w:sz w:val="16"/>
                <w:szCs w:val="16"/>
                <w:color w:val="auto"/>
              </w:rPr>
            </w:pPr>
          </w:p>
        </w:tc>
        <w:tc>
          <w:tcPr>
            <w:tcW w:w="4400" w:type="dxa"/>
            <w:vAlign w:val="bottom"/>
            <w:gridSpan w:val="3"/>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23">
              <w:r>
                <w:rPr>
                  <w:rFonts w:ascii="Arial" w:cs="Arial" w:eastAsia="Arial" w:hAnsi="Arial"/>
                  <w:sz w:val="17"/>
                  <w:szCs w:val="17"/>
                  <w:color w:val="0000EE"/>
                </w:rPr>
                <w:t>118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Legal Matters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122</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27">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6"/>
                <w:szCs w:val="16"/>
                <w:color w:val="auto"/>
              </w:rPr>
            </w:pPr>
          </w:p>
        </w:tc>
        <w:tc>
          <w:tcPr>
            <w:tcW w:w="7800" w:type="dxa"/>
            <w:vAlign w:val="bottom"/>
            <w:gridSpan w:val="18"/>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27">
              <w:r>
                <w:rPr>
                  <w:rFonts w:ascii="Arial" w:cs="Arial" w:eastAsia="Arial" w:hAnsi="Arial"/>
                  <w:sz w:val="17"/>
                  <w:szCs w:val="17"/>
                  <w:color w:val="0000EE"/>
                  <w:w w:val="84"/>
                </w:rPr>
                <w:t>122</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Where You Can Find Additional Information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122</w:t>
              </w:r>
            </w:hyperlink>
          </w:p>
        </w:tc>
        <w:tc>
          <w:tcPr>
            <w:tcW w:w="0" w:type="dxa"/>
            <w:vAlign w:val="bottom"/>
          </w:tcPr>
          <w:p>
            <w:pPr>
              <w:spacing w:after="0"/>
              <w:rPr>
                <w:sz w:val="1"/>
                <w:szCs w:val="1"/>
                <w:color w:val="auto"/>
              </w:rPr>
            </w:pPr>
          </w:p>
        </w:tc>
      </w:tr>
      <w:tr>
        <w:trPr>
          <w:trHeight w:val="190"/>
        </w:trPr>
        <w:tc>
          <w:tcPr>
            <w:tcW w:w="2620" w:type="dxa"/>
            <w:vAlign w:val="bottom"/>
            <w:tcBorders>
              <w:top w:val="single" w:sz="8" w:color="0000EE"/>
            </w:tcBorders>
            <w:gridSpan w:val="16"/>
          </w:tcPr>
          <w:p>
            <w:pPr>
              <w:spacing w:after="0" w:line="189" w:lineRule="exact"/>
              <w:rPr>
                <w:rFonts w:ascii="Arial" w:cs="Arial" w:eastAsia="Arial" w:hAnsi="Arial"/>
                <w:sz w:val="17"/>
                <w:szCs w:val="17"/>
                <w:color w:val="0000EE"/>
                <w:w w:val="90"/>
              </w:rPr>
            </w:pPr>
            <w:hyperlink w:anchor="page128">
              <w:r>
                <w:rPr>
                  <w:rFonts w:ascii="Arial" w:cs="Arial" w:eastAsia="Arial" w:hAnsi="Arial"/>
                  <w:sz w:val="17"/>
                  <w:szCs w:val="17"/>
                  <w:color w:val="0000EE"/>
                  <w:w w:val="90"/>
                </w:rPr>
                <w:t>Index to Audited Financial Statements</w:t>
              </w:r>
            </w:hyperlink>
          </w:p>
        </w:tc>
        <w:tc>
          <w:tcPr>
            <w:tcW w:w="440" w:type="dxa"/>
            <w:vAlign w:val="bottom"/>
            <w:tcBorders>
              <w:top w:val="single" w:sz="8" w:color="0000EE"/>
            </w:tcBorders>
          </w:tcPr>
          <w:p>
            <w:pPr>
              <w:spacing w:after="0"/>
              <w:rPr>
                <w:sz w:val="16"/>
                <w:szCs w:val="16"/>
                <w:color w:val="auto"/>
              </w:rPr>
            </w:pPr>
          </w:p>
        </w:tc>
        <w:tc>
          <w:tcPr>
            <w:tcW w:w="5680" w:type="dxa"/>
            <w:vAlign w:val="bottom"/>
            <w:gridSpan w:val="8"/>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jc w:val="right"/>
              <w:spacing w:after="0" w:line="189" w:lineRule="exact"/>
              <w:rPr>
                <w:rFonts w:ascii="Arial" w:cs="Arial" w:eastAsia="Arial" w:hAnsi="Arial"/>
                <w:sz w:val="17"/>
                <w:szCs w:val="17"/>
                <w:color w:val="0000EE"/>
                <w:w w:val="78"/>
              </w:rPr>
            </w:pPr>
            <w:hyperlink w:anchor="page128">
              <w:r>
                <w:rPr>
                  <w:rFonts w:ascii="Arial" w:cs="Arial" w:eastAsia="Arial" w:hAnsi="Arial"/>
                  <w:sz w:val="17"/>
                  <w:szCs w:val="17"/>
                  <w:color w:val="0000EE"/>
                  <w:w w:val="78"/>
                </w:rPr>
                <w:t>F-1</w:t>
              </w:r>
            </w:hyperlink>
          </w:p>
        </w:tc>
        <w:tc>
          <w:tcPr>
            <w:tcW w:w="0" w:type="dxa"/>
            <w:vAlign w:val="bottom"/>
          </w:tcPr>
          <w:p>
            <w:pPr>
              <w:spacing w:after="0"/>
              <w:rPr>
                <w:sz w:val="1"/>
                <w:szCs w:val="1"/>
                <w:color w:val="auto"/>
              </w:rPr>
            </w:pPr>
          </w:p>
        </w:tc>
      </w:tr>
      <w:tr>
        <w:trPr>
          <w:trHeight w:val="20"/>
        </w:trPr>
        <w:tc>
          <w:tcPr>
            <w:tcW w:w="2620" w:type="dxa"/>
            <w:vAlign w:val="bottom"/>
            <w:gridSpan w:val="16"/>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56">
              <w:r>
                <w:rPr>
                  <w:rFonts w:ascii="Arial" w:cs="Arial" w:eastAsia="Arial" w:hAnsi="Arial"/>
                  <w:sz w:val="17"/>
                  <w:szCs w:val="17"/>
                  <w:color w:val="0000EE"/>
                </w:rPr>
                <w:t>Index to Unaudited Interim Condensed Financial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56">
              <w:r>
                <w:rPr>
                  <w:rFonts w:ascii="Arial" w:cs="Arial" w:eastAsia="Arial" w:hAnsi="Arial"/>
                  <w:sz w:val="17"/>
                  <w:szCs w:val="17"/>
                  <w:color w:val="0000EE"/>
                </w:rPr>
                <w:t>F-29</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500" w:type="dxa"/>
            <w:vAlign w:val="bottom"/>
            <w:tcBorders>
              <w:top w:val="single" w:sz="8" w:color="0000EE"/>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79"/>
        <w:spacing w:after="0" w:line="303" w:lineRule="auto"/>
        <w:rPr>
          <w:sz w:val="20"/>
          <w:szCs w:val="20"/>
          <w:color w:val="auto"/>
        </w:rPr>
      </w:pPr>
      <w:r>
        <w:rPr>
          <w:rFonts w:ascii="Arial" w:cs="Arial" w:eastAsia="Arial" w:hAnsi="Arial"/>
          <w:sz w:val="15"/>
          <w:szCs w:val="15"/>
          <w:color w:val="auto"/>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58" w:lineRule="exact"/>
        <w:rPr>
          <w:sz w:val="20"/>
          <w:szCs w:val="20"/>
          <w:color w:val="auto"/>
        </w:rPr>
      </w:pPr>
    </w:p>
    <w:p>
      <w:pPr>
        <w:jc w:val="both"/>
        <w:ind w:firstLine="420"/>
        <w:spacing w:after="0" w:line="272" w:lineRule="auto"/>
        <w:rPr>
          <w:sz w:val="20"/>
          <w:szCs w:val="20"/>
          <w:color w:val="auto"/>
        </w:rPr>
      </w:pPr>
      <w:r>
        <w:rPr>
          <w:rFonts w:ascii="Arial" w:cs="Arial" w:eastAsia="Arial" w:hAnsi="Arial"/>
          <w:sz w:val="17"/>
          <w:szCs w:val="17"/>
          <w:b w:val="1"/>
          <w:bCs w:val="1"/>
          <w:color w:val="auto"/>
        </w:rPr>
        <w:t>Until ,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59"/>
        <w:spacing w:after="0" w:line="287"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 information you should consider in making your investment decision. You should read the entire prospectus carefully before making an investment in our commo stock. You should carefully consider, among other things, our financial statements and the related notes and the sections entitled "Risk Factors" and "Management Discussion and Analysis of Financial Condition and Results of Operations" included elsewhere in this prospectus.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 that often require invasive procedures for an accurate diagnosis – diseases where many healthy patients undergo costly interventions that ultimately prove unnecessar We improve the accuracy of diagnosis at an earlier stage of patient care by deriving clinically actionable genomic information from cytology samples collected in outpatient setting. Our first commercial solution, the Afirma Thyroid FNA Analysis, includes as its centerpiece our Gene Expression Classifier, which we refer to the GEC. The GEC helps physicians reduce the number of unnecessary surgeries by employing a proprietary 142-gene signature to preoperatively determine wheth thyroid nodules previously classified by cytopathology as indeterminate can be reclassified as benign. We have demonstrated the clinical utility and cost effectivene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left="240"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 and performed more than 10,000 GECs to resolve indeterminate cytopathology results. We have obtained positive coverage decisions from Aetna, Humana, Medica and UnitedHealthcare. Collectively, these payers represent more than 100 million covered lives. Additionally, we have entered into a global co-promotion agreeme with Genzyme Corporation, a subsidiary of Sanofi. Our revenue has increased from $2.6 million in 2011 to $17.1 million for the trailing twelve months endin June 30, 2013.</w:t>
      </w:r>
    </w:p>
    <w:p>
      <w:pPr>
        <w:spacing w:after="0" w:line="187"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 analyze the genomic material in these samples have emerged as an important complement to surgical pathology by predicting outcomes and guiding treatme decisions. Both approaches, however, typically require relatively large quantities of tissue that must be obtained through an invasive surgical procedur Cytopathology, which relies on small samples such as FNAs collected in an outpatient setting, is often the first step in the diagnostic process because it offers minimally invasive and cost-effective alternative to surgery. However, cytology samples tend to be small and non-uniform, which contributes to a relatively high ra of diagnostic ambiguity and results in many patients undergoing surgery to obtain an accurate diagnosis. Molecular diagnostics broadly used today are not designed reduce this ambiguity.</w:t>
      </w:r>
    </w:p>
    <w:p>
      <w:pPr>
        <w:spacing w:after="0" w:line="190" w:lineRule="exact"/>
        <w:rPr>
          <w:sz w:val="20"/>
          <w:szCs w:val="20"/>
          <w:color w:val="auto"/>
        </w:rPr>
      </w:pPr>
    </w:p>
    <w:p>
      <w:pPr>
        <w:jc w:val="both"/>
        <w:ind w:left="240" w:firstLine="523"/>
        <w:spacing w:after="0" w:line="263" w:lineRule="auto"/>
        <w:rPr>
          <w:sz w:val="20"/>
          <w:szCs w:val="20"/>
          <w:color w:val="auto"/>
        </w:rPr>
      </w:pPr>
      <w:r>
        <w:rPr>
          <w:rFonts w:ascii="Arial" w:cs="Arial" w:eastAsia="Arial" w:hAnsi="Arial"/>
          <w:sz w:val="17"/>
          <w:szCs w:val="17"/>
          <w:color w:val="auto"/>
        </w:rPr>
        <w:t>We are building our molecular cytology business by developing molecular diagnostics that yield clinically actionable genomic information from cytolog samples, as opposed to surgical tissue samples. Molecular cytology identifies genomic signatures from cytology samples to inform clinical decisions pre-operativel We believe molecular cytology has the potential to improve patient care while simultaneously lowering costs to the healthcare system in a broad range of are including thyroid, pulmonology, dermatology and reproductive endocrinology. Based on our internal analysis and third-party data, we believe molecular diagnost solutions to address these markets could represent an approximately $4.0 billion opportunity.</w:t>
      </w:r>
    </w:p>
    <w:p>
      <w:pPr>
        <w:spacing w:after="0" w:line="187" w:lineRule="exact"/>
        <w:rPr>
          <w:sz w:val="20"/>
          <w:szCs w:val="20"/>
          <w:color w:val="auto"/>
        </w:rPr>
      </w:pPr>
    </w:p>
    <w:p>
      <w:pPr>
        <w:jc w:val="both"/>
        <w:ind w:left="240" w:firstLine="474"/>
        <w:spacing w:after="0" w:line="315" w:lineRule="auto"/>
        <w:rPr>
          <w:sz w:val="20"/>
          <w:szCs w:val="20"/>
          <w:color w:val="auto"/>
        </w:rPr>
      </w:pPr>
      <w:r>
        <w:rPr>
          <w:rFonts w:ascii="Arial" w:cs="Arial" w:eastAsia="Arial" w:hAnsi="Arial"/>
          <w:sz w:val="16"/>
          <w:szCs w:val="16"/>
          <w:color w:val="auto"/>
        </w:rPr>
        <w:t>Our strategy is to focus on diseases where a large number of patients undergo invasive and costly diagnostic procedures that could be avoided with a mo accurate diagnosis from a cytology sample taken pre-operatively. In prioritizing our opportunities, we develop a detailed understanding of the unmet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82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38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94" w:lineRule="auto"/>
        <w:rPr>
          <w:sz w:val="20"/>
          <w:szCs w:val="20"/>
          <w:color w:val="auto"/>
        </w:rPr>
      </w:pPr>
      <w:r>
        <w:rPr>
          <w:rFonts w:ascii="Arial" w:cs="Arial" w:eastAsia="Arial" w:hAnsi="Arial"/>
          <w:sz w:val="16"/>
          <w:szCs w:val="16"/>
          <w:color w:val="auto"/>
        </w:rPr>
        <w:t>clinical need and the shortcomings of the current standard of care. We define the precise clinical question in these diseases that, if informed by genomic informatio would alter the standard of care in a way that improves patient outcomes while reducing costs in both the short- and long-term. Only then do we deploy our scientif expertise in biomarker discovery and algorithm development to derive a genomic signature that provides meaningful diagnostic information.</w:t>
      </w:r>
    </w:p>
    <w:p>
      <w:pPr>
        <w:spacing w:after="0" w:line="163" w:lineRule="exact"/>
        <w:rPr>
          <w:sz w:val="20"/>
          <w:szCs w:val="20"/>
          <w:color w:val="auto"/>
        </w:rPr>
      </w:pPr>
    </w:p>
    <w:p>
      <w:pPr>
        <w:jc w:val="both"/>
        <w:ind w:left="240" w:firstLine="338"/>
        <w:spacing w:after="0" w:line="278" w:lineRule="auto"/>
        <w:rPr>
          <w:sz w:val="20"/>
          <w:szCs w:val="20"/>
          <w:color w:val="auto"/>
        </w:rPr>
      </w:pPr>
      <w:r>
        <w:rPr>
          <w:rFonts w:ascii="Arial" w:cs="Arial" w:eastAsia="Arial" w:hAnsi="Arial"/>
          <w:sz w:val="16"/>
          <w:szCs w:val="16"/>
          <w:color w:val="auto"/>
        </w:rPr>
        <w:t>We developed our first commercial offering, Afirma, to address a significant unmet need in thyroid nodule diagnosis. Thyroid nodules, or bumps under the skin the neck around the thyroid gland, are usually benign; however, patients with nodules are generally referred to an endocrinologist for evaluation. Endocrinologis typically collect cells from the nodule for cytopathology with an FNA and send these samples to a cytopathologist for analysis. Approximately 525,000 thyroid FNA were performed in the United States in 2011. Typically, 15% to 30% of FNAs yield indeterminate results, meaning they cannot be diagnosed as definitively benign malignant by cytopathology alone. Because the risk of malignancy is approximately 25% for an indeterminate diagnosis, clinical practice guidelines have historical recommended patients with indeterminate cytopathology results undergo surgery to remove part or all of their thyroid to obtain an accurate pathology diagnosi However, in 70% to 80% of these cases, the thyroid nodule proves to be benign for cancer. We estimate the average cost of this surgery to be $15,000, and surgery ca result in complications and leave a patient in need of hormone replacement therapy for life. We believe Afirma, if fully adopted, could result in over $500 million direct cost savings to the healthcare system over five years.</w:t>
      </w:r>
    </w:p>
    <w:p>
      <w:pPr>
        <w:spacing w:after="0" w:line="179" w:lineRule="exact"/>
        <w:rPr>
          <w:sz w:val="20"/>
          <w:szCs w:val="20"/>
          <w:color w:val="auto"/>
        </w:rPr>
      </w:pPr>
    </w:p>
    <w:p>
      <w:pPr>
        <w:jc w:val="both"/>
        <w:ind w:left="240" w:firstLine="373"/>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The GEC reduces the number of unnecessary diagnostic surgeries by analyzin the genomic signature of FNA samples judged to be indeterminate by cytopathology and reclassifies about 50% of those nodules to a benign diagnosis. In </w:t>
      </w:r>
      <w:r>
        <w:rPr>
          <w:rFonts w:ascii="Arial" w:cs="Arial" w:eastAsia="Arial" w:hAnsi="Arial"/>
          <w:sz w:val="16"/>
          <w:szCs w:val="16"/>
          <w:i w:val="1"/>
          <w:iCs w:val="1"/>
          <w:color w:val="auto"/>
        </w:rPr>
        <w:t>The 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England Journal of Medicine </w:t>
      </w:r>
      <w:r>
        <w:rPr>
          <w:rFonts w:ascii="Arial" w:cs="Arial" w:eastAsia="Arial" w:hAnsi="Arial"/>
          <w:sz w:val="16"/>
          <w:szCs w:val="16"/>
          <w:color w:val="auto"/>
        </w:rPr>
        <w:t>clinical validation study for the GEC, the study authors concluded that the GEC could be useful to physicians in making importa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 care decisions, such as recommending watchful waiting in lieu of diagnostic surgery for patients who receive a GEC benign result following indetermina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covered 368 patients from 51 different endocrinologists. Each of these patients ha both a cytopathology indeterminate result and a GEC benign result. The study found that physicians recommended surgery in only 7.6% of these cases, representing 90% reduction in surgeries when compared to the historical average for patients with cytopathology indeterminate results alone. We believe the GEC is currently t only diagnostic test that meets the criteria of the National Comprehensive Cancer Network, or NCCN, for safely monitoring patients with indeterminate cytopatholog results in lieu of surgery.</w:t>
      </w:r>
    </w:p>
    <w:p>
      <w:pPr>
        <w:spacing w:after="0" w:line="179" w:lineRule="exact"/>
        <w:rPr>
          <w:sz w:val="20"/>
          <w:szCs w:val="20"/>
          <w:color w:val="auto"/>
        </w:rPr>
      </w:pPr>
    </w:p>
    <w:p>
      <w:pPr>
        <w:jc w:val="both"/>
        <w:ind w:left="240" w:firstLine="398"/>
        <w:spacing w:after="0" w:line="280"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 nodule diagnosis, inherent ambiguity in evaluation of cytopathology samples often results in unnecessary costs and procedures that would be avoidable if a molecul diagnostic test could refine diagnoses reached by cytopathology alone. We are currently developing the Afirma Malignant GEC test for rare forms of thyroid cancer metastases to the thyroid that is intended to better inform surgical strategy. We are also in late biomarker discovery in interstitial lung disease, a group of lung diseas affecting the tissue and space around the microscopic air sacs of the lungs that are difficult to diagnose prior to surgery. Specifically, we intend to improve the accurac of diagnosis of idiopathic pulmonary fibrosis, one of the more progressive, often fatal, interstitial lung diseases, and to provide critical information to physicians a patients as they decide whether to pursue potentially lifesaving treatments or participate in clinical studies.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Highlights</w:t>
      </w:r>
    </w:p>
    <w:p>
      <w:pPr>
        <w:spacing w:after="0" w:line="254" w:lineRule="exact"/>
        <w:rPr>
          <w:sz w:val="20"/>
          <w:szCs w:val="20"/>
          <w:color w:val="auto"/>
        </w:rPr>
      </w:pPr>
    </w:p>
    <w:p>
      <w:pPr>
        <w:ind w:left="1280" w:hanging="524"/>
        <w:spacing w:after="0" w:line="352" w:lineRule="auto"/>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Clinically validated solution with demonstrated utility and significant payer adoption. </w:t>
      </w:r>
      <w:r>
        <w:rPr>
          <w:rFonts w:ascii="Arial" w:cs="Arial" w:eastAsia="Arial" w:hAnsi="Arial"/>
          <w:sz w:val="15"/>
          <w:szCs w:val="15"/>
          <w:color w:val="auto"/>
        </w:rPr>
        <w:t>We have demonstrated the benefits of Afirma in multip</w:t>
      </w:r>
      <w:r>
        <w:rPr>
          <w:rFonts w:ascii="Arial" w:cs="Arial" w:eastAsia="Arial" w:hAnsi="Arial"/>
          <w:sz w:val="15"/>
          <w:szCs w:val="15"/>
          <w:i w:val="1"/>
          <w:iCs w:val="1"/>
          <w:color w:val="auto"/>
        </w:rPr>
        <w:t xml:space="preserve"> </w:t>
      </w:r>
      <w:r>
        <w:rPr>
          <w:rFonts w:ascii="Arial" w:cs="Arial" w:eastAsia="Arial" w:hAnsi="Arial"/>
          <w:sz w:val="15"/>
          <w:szCs w:val="15"/>
          <w:color w:val="auto"/>
        </w:rPr>
        <w:t>clinical studies that have been published in leading peer-reviewed publications. As a result of Afirma's demonstrated utility and our managed care</w:t>
      </w: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81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608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expertise, we have obtained positive coverage decisions from a range of payers, including Aetna, Humana, Medicare and UnitedHealthcare.</w:t>
      </w:r>
    </w:p>
    <w:p>
      <w:pPr>
        <w:spacing w:after="0" w:line="262" w:lineRule="exact"/>
        <w:rPr>
          <w:sz w:val="20"/>
          <w:szCs w:val="20"/>
          <w:color w:val="auto"/>
        </w:rPr>
      </w:pPr>
    </w:p>
    <w:p>
      <w:pPr>
        <w:jc w:val="both"/>
        <w:ind w:left="1280" w:hanging="524"/>
        <w:spacing w:after="0" w:line="262"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Large, underserved specialty markets. </w:t>
      </w:r>
      <w:r>
        <w:rPr>
          <w:rFonts w:ascii="Arial" w:cs="Arial" w:eastAsia="Arial" w:hAnsi="Arial"/>
          <w:sz w:val="17"/>
          <w:szCs w:val="17"/>
          <w:color w:val="auto"/>
        </w:rPr>
        <w:t>Approximately 525,000 thyroid FNAs were performed in the United States in 2011, by an estimated 3,50</w:t>
      </w:r>
      <w:r>
        <w:rPr>
          <w:rFonts w:ascii="Arial" w:cs="Arial" w:eastAsia="Arial" w:hAnsi="Arial"/>
          <w:sz w:val="17"/>
          <w:szCs w:val="17"/>
          <w:i w:val="1"/>
          <w:iCs w:val="1"/>
          <w:color w:val="auto"/>
        </w:rPr>
        <w:t xml:space="preserve"> </w:t>
      </w:r>
      <w:r>
        <w:rPr>
          <w:rFonts w:ascii="Arial" w:cs="Arial" w:eastAsia="Arial" w:hAnsi="Arial"/>
          <w:sz w:val="17"/>
          <w:szCs w:val="17"/>
          <w:color w:val="auto"/>
        </w:rPr>
        <w:t>endocrinologists whom we believe specialize in thyroid disease. We estimate the thyroid nodule diagnostic market to be approximately $500 millio per year in the United States and approximately $300 million outside of the United States. We believe we can effectively market Afirma with a sma specialty sales force, in part because Afirma represents a significant innovation in the underserved thyroid cancer diagnostic market. Because Afirm represents a significant innovation for this underserved and relatively concentrated base of physicians, we believe we can effectively market Afirm with a small specialty sales force.</w:t>
      </w:r>
    </w:p>
    <w:p>
      <w:pPr>
        <w:spacing w:after="0" w:line="201" w:lineRule="exact"/>
        <w:rPr>
          <w:rFonts w:ascii="Arial" w:cs="Arial" w:eastAsia="Arial" w:hAnsi="Arial"/>
          <w:sz w:val="17"/>
          <w:szCs w:val="17"/>
          <w:color w:val="auto"/>
        </w:rPr>
      </w:pPr>
    </w:p>
    <w:p>
      <w:pPr>
        <w:jc w:val="both"/>
        <w:ind w:left="1280" w:hanging="524"/>
        <w:spacing w:after="0" w:line="303" w:lineRule="auto"/>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Turnkey solution that drives customer retention. </w:t>
      </w:r>
      <w:r>
        <w:rPr>
          <w:rFonts w:ascii="Arial" w:cs="Arial" w:eastAsia="Arial" w:hAnsi="Arial"/>
          <w:sz w:val="15"/>
          <w:szCs w:val="15"/>
          <w:color w:val="auto"/>
        </w:rPr>
        <w:t>We market Afirma as a comprehensive offering that combines cytopathology with the GEC. Afirm</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diagnostic process for physicians while optimizing utilization of our molecular diagnostic to maximize clinical benefits for patients a cost savings for payers. We believe these characteristics are key drivers of a physician's decision to convert their existing FNA protocol to Afirm Since we commercially launched Afirma in 2011, more than 80% of physicians who ordered five or more Afirma tests in 2011 remain customers toda As a result, our targeted sales force devotes fewer resources to maintaining business with our existing base of physicians and instead focuses on drivin adoption of Afirma among new customers. We intend to duplicate this model with solutions we develop for other diseases.</w:t>
      </w:r>
    </w:p>
    <w:p>
      <w:pPr>
        <w:spacing w:after="0" w:line="174" w:lineRule="exact"/>
        <w:rPr>
          <w:rFonts w:ascii="Arial" w:cs="Arial" w:eastAsia="Arial" w:hAnsi="Arial"/>
          <w:sz w:val="15"/>
          <w:szCs w:val="15"/>
          <w:color w:val="auto"/>
        </w:rPr>
      </w:pPr>
    </w:p>
    <w:p>
      <w:pPr>
        <w:jc w:val="both"/>
        <w:ind w:left="1280" w:hanging="524"/>
        <w:spacing w:after="0" w:line="26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Demonstrated core competencies leverageable across multiple products. </w:t>
      </w:r>
      <w:r>
        <w:rPr>
          <w:rFonts w:ascii="Arial" w:cs="Arial" w:eastAsia="Arial" w:hAnsi="Arial"/>
          <w:sz w:val="17"/>
          <w:szCs w:val="17"/>
          <w:color w:val="auto"/>
        </w:rPr>
        <w:t>We successfully advanced Afirma from the concept stage in early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product with broad physician and payer adoption today. We believe our expertise in disease selection, genomic signature discovery, clinic study design, commercialization and managed care, all of which we have demonstrated with the success of Afirma, will allow us to establish molecul cytology solutions in a range of diseases.</w:t>
      </w:r>
    </w:p>
    <w:p>
      <w:pPr>
        <w:spacing w:after="0" w:line="211" w:lineRule="exact"/>
        <w:rPr>
          <w:rFonts w:ascii="Arial" w:cs="Arial" w:eastAsia="Arial" w:hAnsi="Arial"/>
          <w:sz w:val="17"/>
          <w:szCs w:val="17"/>
          <w:color w:val="auto"/>
        </w:rPr>
      </w:pPr>
    </w:p>
    <w:p>
      <w:pPr>
        <w:ind w:left="1280" w:hanging="524"/>
        <w:spacing w:after="0" w:line="26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with multiple high-value solutions. </w:t>
      </w:r>
      <w:r>
        <w:rPr>
          <w:rFonts w:ascii="Arial" w:cs="Arial" w:eastAsia="Arial" w:hAnsi="Arial"/>
          <w:sz w:val="17"/>
          <w:szCs w:val="17"/>
          <w:color w:val="auto"/>
        </w:rPr>
        <w:t>We believe we are well-positioned to introduce multiple new products in the near- and mediu</w:t>
      </w:r>
      <w:r>
        <w:rPr>
          <w:rFonts w:ascii="Arial" w:cs="Arial" w:eastAsia="Arial" w:hAnsi="Arial"/>
          <w:sz w:val="17"/>
          <w:szCs w:val="17"/>
          <w:i w:val="1"/>
          <w:iCs w:val="1"/>
          <w:color w:val="auto"/>
        </w:rPr>
        <w:t xml:space="preserve"> </w:t>
      </w:r>
      <w:r>
        <w:rPr>
          <w:rFonts w:ascii="Arial" w:cs="Arial" w:eastAsia="Arial" w:hAnsi="Arial"/>
          <w:sz w:val="17"/>
          <w:szCs w:val="17"/>
          <w:color w:val="auto"/>
        </w:rPr>
        <w:t>term. In the second quarter of 2014, we plan to introduce the Afirma Malignant GEC, our first product line extension for Afirma, to guide surgic strategy for the treatment of medullary thyroid cancer and other rare and metastatic forms of thyroid cancer. We plan to commercialize our first produ for interstitial lung disease in 2016 and believe this product will serve as the foundational application to expand our molecular cytology platform to t treatment of lung disease.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left="240" w:firstLine="497"/>
        <w:spacing w:after="0" w:line="280"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 samples. Molecular cytology combines the screening benefits of a minimally invasive cytology sample with genomic information to inform disease diagnosis treatment decisions pre-operatively. We focus on diseases in which a large number of patients undergo invasive and costly diagnostic procedures that could be avoid with a more accurate diagnosis from a cytology sample taken prior to surgery. Positioning our test as an alternative to an invasive procedure allows us to efficient validate the accuracy of our diagnostic test by comparing our test results to those obtained using the more invasive approach. Armed with clinical data that suppor the use of molecular cytology in lieu of a more invasive or costly procedure, we believe we are well-positioned to support clinical studies that demonstrate how o products change the standard of care, improve patient outcomes and reduce costs.</w:t>
      </w:r>
    </w:p>
    <w:p>
      <w:pPr>
        <w:spacing w:after="0" w:line="175" w:lineRule="exact"/>
        <w:rPr>
          <w:sz w:val="20"/>
          <w:szCs w:val="20"/>
          <w:color w:val="auto"/>
        </w:rPr>
      </w:pPr>
    </w:p>
    <w:p>
      <w:pPr>
        <w:jc w:val="both"/>
        <w:ind w:left="240" w:firstLine="449"/>
        <w:spacing w:after="0" w:line="265" w:lineRule="auto"/>
        <w:rPr>
          <w:sz w:val="20"/>
          <w:szCs w:val="20"/>
          <w:color w:val="auto"/>
        </w:rPr>
      </w:pPr>
      <w:r>
        <w:rPr>
          <w:rFonts w:ascii="Arial" w:cs="Arial" w:eastAsia="Arial" w:hAnsi="Arial"/>
          <w:sz w:val="17"/>
          <w:szCs w:val="17"/>
          <w:color w:val="auto"/>
        </w:rPr>
        <w:t>In contrast to molecular diagnostics developed for surgical tissue, we have developed the expertise to solve many of the technical challenges associated wi generating analytically valid and clinically relevant genomic information from smaller, heterogeneous cytology samples. To this end, we use a whole-genom approach for gene selection and proprietary machine-learning algorithms with statistical methods to identify the genomic signature that achieves the desire performance.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39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623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firstLine="496"/>
        <w:spacing w:after="0" w:line="281" w:lineRule="auto"/>
        <w:rPr>
          <w:sz w:val="20"/>
          <w:szCs w:val="20"/>
          <w:color w:val="auto"/>
        </w:rPr>
      </w:pPr>
      <w:r>
        <w:rPr>
          <w:rFonts w:ascii="Arial" w:cs="Arial" w:eastAsia="Arial" w:hAnsi="Arial"/>
          <w:sz w:val="16"/>
          <w:szCs w:val="16"/>
          <w:color w:val="auto"/>
        </w:rPr>
        <w:t>Afirma is our first commercial solution based on our molecular cytology platform. We drive physician adoption and retention by marketing Afirma as t centerpiece of a comprehensive solution for improved disease diagnosis, which allows our offering to seamlessly integrate into a physician's practice workflow. W offer Afirma to physicians as a turnkey solution that combines cytopathology for every patient with our molecular diagnostic test when cytopathology yiel ambiguous results. Our solution includes a complete patient report that guides decision making. By integrating disparate diagnostic procedures into one comprehensi offering, we can simplify and improve the diagnostic process for physicians and their patients while optimizing utilization of our molecular diagnostics to maximi clinical benefits and cost savings. We intend to duplicate this model with solutions we develop for other diseases.</w:t>
      </w:r>
    </w:p>
    <w:p>
      <w:pPr>
        <w:spacing w:after="0" w:line="176" w:lineRule="exact"/>
        <w:rPr>
          <w:sz w:val="20"/>
          <w:szCs w:val="20"/>
          <w:color w:val="auto"/>
        </w:rPr>
      </w:pPr>
    </w:p>
    <w:p>
      <w:pPr>
        <w:jc w:val="both"/>
        <w:ind w:left="240"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 team combines expertise in advocating for positive coverage decisions with specific insights into what tactical steps will maximize reimbursement from each payer. A a result, we have developed detailed knowledge of the intricacies of specific payer practices and requirements, which informs our strategy across disease selectio clinical study design, marketing and sales.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Advantages of Afirma FNA Analysis for Stakeholders</w:t>
      </w:r>
    </w:p>
    <w:p>
      <w:pPr>
        <w:spacing w:after="0" w:line="254" w:lineRule="exact"/>
        <w:rPr>
          <w:sz w:val="20"/>
          <w:szCs w:val="20"/>
          <w:color w:val="auto"/>
        </w:rPr>
      </w:pPr>
    </w:p>
    <w:p>
      <w:pPr>
        <w:jc w:val="both"/>
        <w:ind w:left="1280" w:hanging="524"/>
        <w:spacing w:after="0" w:line="322" w:lineRule="auto"/>
        <w:tabs>
          <w:tab w:leader="none" w:pos="12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Benefits for patients. </w:t>
      </w:r>
      <w:r>
        <w:rPr>
          <w:rFonts w:ascii="Arial" w:cs="Arial" w:eastAsia="Arial" w:hAnsi="Arial"/>
          <w:sz w:val="15"/>
          <w:szCs w:val="15"/>
          <w:color w:val="auto"/>
        </w:rPr>
        <w:t>With the GEC, approximately half of the patients with indeterminate cytology results may avoid unnecessary, invasive diagnost</w:t>
      </w:r>
      <w:r>
        <w:rPr>
          <w:rFonts w:ascii="Arial" w:cs="Arial" w:eastAsia="Arial" w:hAnsi="Arial"/>
          <w:sz w:val="15"/>
          <w:szCs w:val="15"/>
          <w:i w:val="1"/>
          <w:iCs w:val="1"/>
          <w:color w:val="auto"/>
        </w:rPr>
        <w:t xml:space="preserve"> </w:t>
      </w:r>
      <w:r>
        <w:rPr>
          <w:rFonts w:ascii="Arial" w:cs="Arial" w:eastAsia="Arial" w:hAnsi="Arial"/>
          <w:sz w:val="15"/>
          <w:szCs w:val="15"/>
          <w:color w:val="auto"/>
        </w:rPr>
        <w:t>surgery. Patients who obtain an Afirma benign result avoid the potential for surgery-related complications, the effects of life-long hormone replaceme therapy and the associated costs. We estimate that approximately 115,000 FNAs performed in the United States in 2011 yielded an indeterminate resu</w:t>
      </w:r>
    </w:p>
    <w:p>
      <w:pPr>
        <w:spacing w:after="0" w:line="157" w:lineRule="exact"/>
        <w:rPr>
          <w:rFonts w:ascii="Arial" w:cs="Arial" w:eastAsia="Arial" w:hAnsi="Arial"/>
          <w:sz w:val="15"/>
          <w:szCs w:val="15"/>
          <w:color w:val="auto"/>
        </w:rPr>
      </w:pPr>
    </w:p>
    <w:p>
      <w:pPr>
        <w:jc w:val="both"/>
        <w:ind w:left="1280" w:right="20" w:hanging="524"/>
        <w:spacing w:after="0" w:line="26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physicians. </w:t>
      </w:r>
      <w:r>
        <w:rPr>
          <w:rFonts w:ascii="Arial" w:cs="Arial" w:eastAsia="Arial" w:hAnsi="Arial"/>
          <w:sz w:val="17"/>
          <w:szCs w:val="17"/>
          <w:color w:val="auto"/>
        </w:rPr>
        <w:t>Afirma enables every physician, regardless of practice setting, to offer his or her patients access to advanced technology for t</w:t>
      </w:r>
      <w:r>
        <w:rPr>
          <w:rFonts w:ascii="Arial" w:cs="Arial" w:eastAsia="Arial" w:hAnsi="Arial"/>
          <w:sz w:val="17"/>
          <w:szCs w:val="17"/>
          <w:i w:val="1"/>
          <w:iCs w:val="1"/>
          <w:color w:val="auto"/>
        </w:rPr>
        <w:t xml:space="preserve"> </w:t>
      </w:r>
      <w:r>
        <w:rPr>
          <w:rFonts w:ascii="Arial" w:cs="Arial" w:eastAsia="Arial" w:hAnsi="Arial"/>
          <w:sz w:val="17"/>
          <w:szCs w:val="17"/>
          <w:color w:val="auto"/>
        </w:rPr>
        <w:t>diagnosis and management of thyroid nodules. Afirma does not introduce any new steps into the physician's patient-care routine and often simplifi their workflow. In addition, our cytopathology provider, Thyroid Cytology Partners, is a specialized practice focused solely on performing thyro FNAs and meets high-quality standards with short turnaround times.</w:t>
      </w:r>
    </w:p>
    <w:p>
      <w:pPr>
        <w:spacing w:after="0" w:line="198" w:lineRule="exact"/>
        <w:rPr>
          <w:rFonts w:ascii="Arial" w:cs="Arial" w:eastAsia="Arial" w:hAnsi="Arial"/>
          <w:sz w:val="17"/>
          <w:szCs w:val="17"/>
          <w:color w:val="auto"/>
        </w:rPr>
      </w:pPr>
    </w:p>
    <w:p>
      <w:pPr>
        <w:jc w:val="both"/>
        <w:ind w:left="1280" w:right="20" w:hanging="524"/>
        <w:spacing w:after="0" w:line="26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payers. </w:t>
      </w:r>
      <w:r>
        <w:rPr>
          <w:rFonts w:ascii="Arial" w:cs="Arial" w:eastAsia="Arial" w:hAnsi="Arial"/>
          <w:sz w:val="17"/>
          <w:szCs w:val="17"/>
          <w:color w:val="auto"/>
        </w:rPr>
        <w:t>Payers differentiate themselves by offering their insured the most advanced care available in medicine. However, payers are 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increased pressure to contain rising healthcare costs. Afirma allows payers to provide advanced care at a cost lower than the current standard care. The first peer-reviewed economic impact study, published in the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concluded that routine use the GEC in the United States would prevent tens of thousands of surgeries each year. Based on our estimate of the average cost of surgery of $15,000 well as clinical utility studies, we believe full adoption of Afirma would result in over $500 million in direct cost savings to the healthcare system ov five years.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left="240" w:right="40" w:firstLine="446"/>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generating significant cost savings for t healthcare system.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strategy includes the following key elements:</w:t>
      </w:r>
    </w:p>
    <w:p>
      <w:pPr>
        <w:spacing w:after="0" w:line="250" w:lineRule="exact"/>
        <w:rPr>
          <w:sz w:val="20"/>
          <w:szCs w:val="20"/>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Accelerate the growth of Afirma by expanding our base of prescribing physicians and achieving broader reimbursement.</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Market our novel molecular diagnostic tests as the centerpiece of a comprehensive patient-care solution.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Drive cost and capital efficiencies by offering turnkey solutions to physicians in specialty markets.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246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724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Broaden our addressable market in endocrinology by leveraging our thyroid expertise to introduce new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 on our demonstrated core competencies to expand molecular cytology to additional diseases.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firstLine="431"/>
        <w:spacing w:after="0" w:line="270" w:lineRule="auto"/>
        <w:rPr>
          <w:sz w:val="20"/>
          <w:szCs w:val="20"/>
          <w:color w:val="auto"/>
        </w:rPr>
      </w:pPr>
      <w:r>
        <w:rPr>
          <w:rFonts w:ascii="Arial" w:cs="Arial" w:eastAsia="Arial" w:hAnsi="Arial"/>
          <w:sz w:val="17"/>
          <w:szCs w:val="17"/>
          <w:color w:val="auto"/>
        </w:rPr>
        <w:t>Our business is subject to numerous risks and uncertainties, including those identified in "Risk Factors" immediately following this prospectus summary. Yo should read these risks before you invest in our common stock. We may be unable, for many reasons, including those that are beyond our control, to implement o business strategy. In particular, risks associated with our business include:</w:t>
      </w:r>
    </w:p>
    <w:p>
      <w:pPr>
        <w:spacing w:after="0" w:line="192" w:lineRule="exact"/>
        <w:rPr>
          <w:sz w:val="20"/>
          <w:szCs w:val="20"/>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an early-stage company with a history of losses, and we expect to incur net losses for the foreseeable future and may never achieve or susta profitability.</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financial results depend solely on sales of Afirma, and we will need to generate sufficient revenue from this and other diagnostic solutions to gro our business.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Medicare, Aetna and UnitedHealthcare for a significant portion of our revenue and if one or more significant payers stop providin reimbursement or decrease the amount of reimbursement for our tests, our revenue could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payers do not provide reimbursement, rescind or modify their reimbursement policies or delay payments for our tests, or if we are unable successfully negotiate reimbursement contracts, our commercial success could be compromised.</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experience limits on our revenue if physicians decide not to order Afirma.</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 of our relationship with Genzyme to co-promote Afirma may have a significant effect on our business.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Because we do not recognize a significant portion of our revenue on an accrual basis, our quarterly operating results are likely to fluctuate.</w:t>
      </w:r>
    </w:p>
    <w:p>
      <w:pPr>
        <w:spacing w:after="0" w:line="261"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sole suppliers for some of the reagents, equipment, chips and other materials used in Afirma, and we may not be able to find replacemen or transition to alternative suppliers.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a specialized cytopathology practice to perform the cytopathology component of Afirma, and our ability to perform our diagnost solution would be harmed if we were required to secure a replacement.</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support demand for Afirma or any of our future products or solutions, our business could suffer.</w:t>
      </w:r>
    </w:p>
    <w:p>
      <w:pPr>
        <w:spacing w:after="0" w:line="250"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FDA were to begin regulating our tests, we could incur substantial costs and delays associated with trying to obtain premarket clearance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jc w:val="both"/>
        <w:ind w:left="240" w:firstLine="558"/>
        <w:spacing w:after="0" w:line="265" w:lineRule="auto"/>
        <w:rPr>
          <w:sz w:val="20"/>
          <w:szCs w:val="20"/>
          <w:color w:val="auto"/>
        </w:rPr>
      </w:pPr>
      <w:r>
        <w:rPr>
          <w:rFonts w:ascii="Arial" w:cs="Arial" w:eastAsia="Arial" w:hAnsi="Arial"/>
          <w:sz w:val="17"/>
          <w:szCs w:val="17"/>
          <w:color w:val="auto"/>
        </w:rPr>
        <w:t>We were incorporated in Delaware as Calderome, Inc. in August 2006. Calderome operated as an incubator until early 2008. We changed our name Veracyte, Inc. in March 2008. Our principal executive offices are located at 7000 Shoreline Court, Suite 250, South San Francisco, California 94080 and our telepho number is (650) 243-6300. Our website address is www.veracyte.com. We do not incorporate the information on, or accessible through, our website into th prospectus, and you should not consider any information on, or accessible through, our website as part of this prospectus.</w:t>
      </w:r>
    </w:p>
    <w:p>
      <w:pPr>
        <w:spacing w:after="0" w:line="185" w:lineRule="exact"/>
        <w:rPr>
          <w:sz w:val="20"/>
          <w:szCs w:val="20"/>
          <w:color w:val="auto"/>
        </w:rPr>
      </w:pPr>
    </w:p>
    <w:p>
      <w:pPr>
        <w:jc w:val="both"/>
        <w:ind w:left="240" w:firstLine="425"/>
        <w:spacing w:after="0" w:line="322" w:lineRule="auto"/>
        <w:rPr>
          <w:sz w:val="20"/>
          <w:szCs w:val="20"/>
          <w:color w:val="auto"/>
        </w:rPr>
      </w:pPr>
      <w:r>
        <w:rPr>
          <w:rFonts w:ascii="Arial" w:cs="Arial" w:eastAsia="Arial" w:hAnsi="Arial"/>
          <w:sz w:val="15"/>
          <w:szCs w:val="15"/>
          <w:color w:val="auto"/>
        </w:rPr>
        <w:t>Unless the context indicates otherwise, as used in this prospectus, the terms "Veracyte," "Company," "we," "us" and "our" refer to Veracyte, Inc. Veracyte an Afirma are our trademarks. This prospectus also contains trademarks and trade names that are the property of their respective owners. We do not intend our use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48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554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7380" w:type="dxa"/>
            <w:vAlign w:val="bottom"/>
            <w:gridSpan w:val="2"/>
          </w:tcPr>
          <w:p>
            <w:pPr>
              <w:ind w:left="1120"/>
              <w:spacing w:after="0"/>
              <w:rPr>
                <w:sz w:val="20"/>
                <w:szCs w:val="20"/>
                <w:color w:val="auto"/>
              </w:rPr>
            </w:pPr>
            <w:r>
              <w:rPr>
                <w:rFonts w:ascii="Arial" w:cs="Arial" w:eastAsia="Arial" w:hAnsi="Arial"/>
                <w:sz w:val="17"/>
                <w:szCs w:val="17"/>
                <w:b w:val="1"/>
                <w:bCs w:val="1"/>
                <w:color w:val="auto"/>
              </w:rPr>
              <w:t>THE OFFERING</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w:t>
            </w:r>
          </w:p>
        </w:tc>
        <w:tc>
          <w:tcPr>
            <w:tcW w:w="5280" w:type="dxa"/>
            <w:vAlign w:val="bottom"/>
          </w:tcPr>
          <w:p>
            <w:pPr>
              <w:spacing w:after="0"/>
              <w:rPr>
                <w:sz w:val="24"/>
                <w:szCs w:val="24"/>
                <w:color w:val="auto"/>
              </w:rPr>
            </w:pP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 (</w:t>
            </w:r>
          </w:p>
        </w:tc>
        <w:tc>
          <w:tcPr>
            <w:tcW w:w="5280" w:type="dxa"/>
            <w:vAlign w:val="bottom"/>
          </w:tcPr>
          <w:p>
            <w:pPr>
              <w:ind w:left="540"/>
              <w:spacing w:after="0"/>
              <w:rPr>
                <w:sz w:val="20"/>
                <w:szCs w:val="20"/>
                <w:color w:val="auto"/>
              </w:rPr>
            </w:pPr>
            <w:r>
              <w:rPr>
                <w:rFonts w:ascii="Arial" w:cs="Arial" w:eastAsia="Arial" w:hAnsi="Arial"/>
                <w:sz w:val="17"/>
                <w:szCs w:val="17"/>
                <w:color w:val="auto"/>
                <w:w w:val="92"/>
              </w:rPr>
              <w:t>shares if the underwriters exercise their over-allotment option in full)</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Over-allotment option</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0"/>
              </w:rPr>
              <w:t>We have granted to the underwriters the option, exercisable for 30 days from the date of this prospectu</w:t>
            </w:r>
          </w:p>
        </w:tc>
      </w:tr>
      <w:tr>
        <w:trPr>
          <w:trHeight w:val="216"/>
        </w:trPr>
        <w:tc>
          <w:tcPr>
            <w:tcW w:w="3900" w:type="dxa"/>
            <w:vAlign w:val="bottom"/>
          </w:tcPr>
          <w:p>
            <w:pPr>
              <w:spacing w:after="0"/>
              <w:rPr>
                <w:sz w:val="18"/>
                <w:szCs w:val="18"/>
                <w:color w:val="auto"/>
              </w:rPr>
            </w:pPr>
          </w:p>
        </w:tc>
        <w:tc>
          <w:tcPr>
            <w:tcW w:w="2100" w:type="dxa"/>
            <w:vAlign w:val="bottom"/>
          </w:tcPr>
          <w:p>
            <w:pPr>
              <w:ind w:left="400"/>
              <w:spacing w:after="0"/>
              <w:rPr>
                <w:sz w:val="20"/>
                <w:szCs w:val="20"/>
                <w:color w:val="auto"/>
              </w:rPr>
            </w:pPr>
            <w:r>
              <w:rPr>
                <w:rFonts w:ascii="Arial" w:cs="Arial" w:eastAsia="Arial" w:hAnsi="Arial"/>
                <w:sz w:val="17"/>
                <w:szCs w:val="17"/>
                <w:color w:val="auto"/>
              </w:rPr>
              <w:t>to purchase up to</w:t>
            </w:r>
          </w:p>
        </w:tc>
        <w:tc>
          <w:tcPr>
            <w:tcW w:w="5280" w:type="dxa"/>
            <w:vAlign w:val="bottom"/>
          </w:tcPr>
          <w:p>
            <w:pPr>
              <w:ind w:left="320"/>
              <w:spacing w:after="0"/>
              <w:rPr>
                <w:sz w:val="20"/>
                <w:szCs w:val="20"/>
                <w:color w:val="auto"/>
              </w:rPr>
            </w:pPr>
            <w:r>
              <w:rPr>
                <w:rFonts w:ascii="Arial" w:cs="Arial" w:eastAsia="Arial" w:hAnsi="Arial"/>
                <w:sz w:val="17"/>
                <w:szCs w:val="17"/>
                <w:color w:val="auto"/>
              </w:rPr>
              <w:t>additional shares of common stock.</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Use of proceeds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3"/>
              </w:rPr>
              <w:t>We intend to use the net proceeds received by us from this offering for working capital and general</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0"/>
              </w:rPr>
              <w:t>corporate purposes, including continued investments in research and development and in the growth o</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2"/>
              </w:rPr>
              <w:t>our business. In addition, we may use a portion of the net proceeds from this offering for acquisitions</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89"/>
              </w:rPr>
              <w:t>complementary businesses, technologies or other assets. However, we do not have agreements for any</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material acquisitions at this time. See "Use of Proceeds".</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Risk factors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3"/>
              </w:rPr>
              <w:t>See "Risk Factors" beginning on page 10 and the other information included in this prospectus for a</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4"/>
              </w:rPr>
              <w:t>discussion of factors you should consider carefully before deciding to invest in our common stock.</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2100" w:type="dxa"/>
            <w:vAlign w:val="bottom"/>
          </w:tcPr>
          <w:p>
            <w:pPr>
              <w:ind w:left="400"/>
              <w:spacing w:after="0"/>
              <w:rPr>
                <w:sz w:val="20"/>
                <w:szCs w:val="20"/>
                <w:color w:val="auto"/>
              </w:rPr>
            </w:pPr>
            <w:r>
              <w:rPr>
                <w:rFonts w:ascii="Arial" w:cs="Arial" w:eastAsia="Arial" w:hAnsi="Arial"/>
                <w:sz w:val="17"/>
                <w:szCs w:val="17"/>
                <w:color w:val="auto"/>
              </w:rPr>
              <w:t>VCYT</w:t>
            </w:r>
          </w:p>
        </w:tc>
        <w:tc>
          <w:tcPr>
            <w:tcW w:w="5280" w:type="dxa"/>
            <w:vAlign w:val="bottom"/>
          </w:tcPr>
          <w:p>
            <w:pPr>
              <w:spacing w:after="0"/>
              <w:rPr>
                <w:sz w:val="24"/>
                <w:szCs w:val="24"/>
                <w:color w:val="auto"/>
              </w:rPr>
            </w:pPr>
          </w:p>
        </w:tc>
      </w:tr>
    </w:tbl>
    <w:p>
      <w:pPr>
        <w:spacing w:after="0" w:line="204" w:lineRule="exact"/>
        <w:rPr>
          <w:sz w:val="20"/>
          <w:szCs w:val="20"/>
          <w:color w:val="auto"/>
        </w:rPr>
      </w:pPr>
    </w:p>
    <w:p>
      <w:pPr>
        <w:jc w:val="both"/>
        <w:ind w:left="240" w:firstLine="455"/>
        <w:spacing w:after="0" w:line="282" w:lineRule="auto"/>
        <w:rPr>
          <w:sz w:val="20"/>
          <w:szCs w:val="20"/>
          <w:color w:val="auto"/>
        </w:rPr>
      </w:pPr>
      <w:r>
        <w:rPr>
          <w:rFonts w:ascii="Arial" w:cs="Arial" w:eastAsia="Arial" w:hAnsi="Arial"/>
          <w:sz w:val="17"/>
          <w:szCs w:val="17"/>
          <w:color w:val="auto"/>
        </w:rPr>
        <w:t>The number of shares of common stock that will be outstanding after this offering is based on 63,704,170 shares outstanding as of June 30, 2013, on an a converted basis, and excludes:</w:t>
      </w:r>
    </w:p>
    <w:p>
      <w:pPr>
        <w:spacing w:after="0" w:line="196" w:lineRule="exact"/>
        <w:rPr>
          <w:sz w:val="20"/>
          <w:szCs w:val="20"/>
          <w:color w:val="auto"/>
        </w:rPr>
      </w:pPr>
    </w:p>
    <w:p>
      <w:pPr>
        <w:ind w:left="128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 per share;</w:t>
      </w:r>
    </w:p>
    <w:p>
      <w:pPr>
        <w:spacing w:after="0" w:line="182" w:lineRule="exact"/>
        <w:rPr>
          <w:rFonts w:ascii="Arial" w:cs="Arial" w:eastAsia="Arial" w:hAnsi="Arial"/>
          <w:sz w:val="17"/>
          <w:szCs w:val="17"/>
          <w:color w:val="auto"/>
        </w:rPr>
      </w:pPr>
    </w:p>
    <w:p>
      <w:pPr>
        <w:ind w:left="1280" w:right="20" w:hanging="524"/>
        <w:spacing w:after="0" w:line="270"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 of common stock upon conversion of our Series C preferred stock into common stock immediately prior to the completion of this offering, with exercise price of $1.89 per share; and</w:t>
      </w:r>
    </w:p>
    <w:p>
      <w:pPr>
        <w:sectPr>
          <w:pgSz w:w="11900" w:h="16838" w:orient="portrait"/>
          <w:cols w:equalWidth="0" w:num="1">
            <w:col w:w="11520"/>
          </w:cols>
          <w:pgMar w:left="240" w:top="131" w:right="139" w:bottom="1440" w:gutter="0" w:footer="0" w:header="0"/>
        </w:sectPr>
      </w:pP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color w:val="auto"/>
        </w:rPr>
        <w:t>574,821 shares of common stock reserved for future issuance under our 2008 Stock Plan and shares of common stock, subject to increa on an annual basis, reserved for future issuance under our 2013 Stock Incentive Plan, which will become effective in connection with this offering.</w:t>
      </w:r>
    </w:p>
    <w:p>
      <w:pPr>
        <w:spacing w:after="0" w:line="146" w:lineRule="exact"/>
        <w:rPr>
          <w:sz w:val="20"/>
          <w:szCs w:val="20"/>
          <w:color w:val="auto"/>
        </w:rPr>
      </w:pPr>
    </w:p>
    <w:p>
      <w:pPr>
        <w:sectPr>
          <w:pgSz w:w="11900" w:h="16838" w:orient="portrait"/>
          <w:cols w:equalWidth="0" w:num="2">
            <w:col w:w="820" w:space="460"/>
            <w:col w:w="10240"/>
          </w:cols>
          <w:pgMar w:left="240" w:top="131" w:right="1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Unless otherwise indicated, all information in this prospectus assumes:</w:t>
      </w:r>
    </w:p>
    <w:p>
      <w:pPr>
        <w:spacing w:after="0" w:line="250"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that our restated certificate of incorporation, which we will file in connection with the completion of this offering, is in effect;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05" w:lineRule="exact"/>
        <w:rPr>
          <w:rFonts w:ascii="Arial" w:cs="Arial" w:eastAsia="Arial" w:hAnsi="Arial"/>
          <w:sz w:val="15"/>
          <w:szCs w:val="15"/>
          <w:color w:val="auto"/>
        </w:rPr>
      </w:pPr>
    </w:p>
    <w:p>
      <w:pPr>
        <w:ind w:left="5680"/>
        <w:spacing w:after="0"/>
        <w:rPr>
          <w:rFonts w:ascii="Arial" w:cs="Arial" w:eastAsia="Arial" w:hAnsi="Arial"/>
          <w:sz w:val="15"/>
          <w:szCs w:val="15"/>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1136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113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line="28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into an aggregate of 59,989,268 shares of common stock immediately pri to the completion of this offering; and</w:t>
      </w:r>
    </w:p>
    <w:p>
      <w:pPr>
        <w:spacing w:after="0" w:line="170"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over-allotment option to purchase up to</w:t>
      </w:r>
      <w:r>
        <w:rPr>
          <w:sz w:val="20"/>
          <w:szCs w:val="20"/>
          <w:color w:val="auto"/>
        </w:rPr>
        <w:tab/>
      </w:r>
      <w:r>
        <w:rPr>
          <w:rFonts w:ascii="Arial" w:cs="Arial" w:eastAsia="Arial" w:hAnsi="Arial"/>
          <w:sz w:val="15"/>
          <w:szCs w:val="15"/>
          <w:color w:val="auto"/>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31" w:right="1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680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28" w:lineRule="exact"/>
        <w:rPr>
          <w:sz w:val="20"/>
          <w:szCs w:val="20"/>
          <w:color w:val="auto"/>
        </w:rPr>
      </w:pPr>
    </w:p>
    <w:p>
      <w:pPr>
        <w:jc w:val="both"/>
        <w:ind w:left="240" w:firstLine="446"/>
        <w:spacing w:after="0" w:line="306" w:lineRule="auto"/>
        <w:rPr>
          <w:sz w:val="20"/>
          <w:szCs w:val="20"/>
          <w:color w:val="auto"/>
        </w:rPr>
      </w:pPr>
      <w:r>
        <w:rPr>
          <w:rFonts w:ascii="Arial" w:cs="Arial" w:eastAsia="Arial" w:hAnsi="Arial"/>
          <w:sz w:val="15"/>
          <w:szCs w:val="15"/>
          <w:color w:val="auto"/>
        </w:rPr>
        <w:t>The following summary financial data should be read together with our financial statements and related notes, "Selected Financial Data" and "Managemen Discussion and Analysis of Financial Condition and Results of Operations" appearing elsewhere in this prospectus. The summary statements of operations data for t years ended December 31, 2011 and 2012 and the six months ended June 30, 2012 and 2013, and the balance sheet data as of June 30, 2013 have been derived fro our audited financial statements and unaudited interim condensed financial statements included elsewhere in this prospectus. Historical results are not necessari indicative of the results that may be expected in the future and results of interim periods are not necessarily indicative of the results for the entire year.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right"/>
              <w:ind w:right="334"/>
              <w:spacing w:after="0"/>
              <w:rPr>
                <w:sz w:val="20"/>
                <w:szCs w:val="20"/>
                <w:color w:val="auto"/>
              </w:rPr>
            </w:pPr>
            <w:r>
              <w:rPr>
                <w:rFonts w:ascii="Arial" w:cs="Arial" w:eastAsia="Arial" w:hAnsi="Arial"/>
                <w:sz w:val="13"/>
                <w:szCs w:val="13"/>
                <w:b w:val="1"/>
                <w:bCs w:val="1"/>
                <w:color w:val="auto"/>
                <w:w w:val="95"/>
              </w:rPr>
              <w:t>Year Ended December 31,</w:t>
            </w:r>
          </w:p>
        </w:tc>
        <w:tc>
          <w:tcPr>
            <w:tcW w:w="160" w:type="dxa"/>
            <w:vAlign w:val="bottom"/>
          </w:tcPr>
          <w:p>
            <w:pPr>
              <w:spacing w:after="0"/>
              <w:rPr>
                <w:sz w:val="13"/>
                <w:szCs w:val="13"/>
                <w:color w:val="auto"/>
              </w:rPr>
            </w:pPr>
          </w:p>
        </w:tc>
        <w:tc>
          <w:tcPr>
            <w:tcW w:w="1100" w:type="dxa"/>
            <w:vAlign w:val="bottom"/>
            <w:gridSpan w:val="3"/>
          </w:tcPr>
          <w:p>
            <w:pPr>
              <w:jc w:val="center"/>
              <w:ind w:left="439"/>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5"/>
              </w:rPr>
              <w:t>thousands, except</w:t>
            </w:r>
          </w:p>
        </w:tc>
        <w:tc>
          <w:tcPr>
            <w:tcW w:w="10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2"/>
              </w:rPr>
              <w:t>share and per share</w:t>
            </w:r>
          </w:p>
        </w:tc>
        <w:tc>
          <w:tcPr>
            <w:tcW w:w="36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6"/>
              </w:rPr>
              <w:t>data)</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11,628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3,947</w:t>
            </w:r>
          </w:p>
        </w:tc>
        <w:tc>
          <w:tcPr>
            <w:tcW w:w="160" w:type="dxa"/>
            <w:vAlign w:val="bottom"/>
          </w:tcPr>
          <w:p>
            <w:pPr>
              <w:spacing w:after="0"/>
              <w:rPr>
                <w:sz w:val="18"/>
                <w:szCs w:val="18"/>
                <w:color w:val="auto"/>
              </w:rPr>
            </w:pPr>
          </w:p>
        </w:tc>
        <w:tc>
          <w:tcPr>
            <w:tcW w:w="200" w:type="dxa"/>
            <w:vAlign w:val="bottom"/>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7,584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3,000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8,447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3,045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gridSpan w:val="3"/>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30,557</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60" w:type="dxa"/>
            <w:vAlign w:val="bottom"/>
            <w:gridSpan w:val="3"/>
            <w:vMerge w:val="continue"/>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6"/>
                <w:szCs w:val="16"/>
                <w:color w:val="auto"/>
              </w:rPr>
            </w:pPr>
          </w:p>
        </w:tc>
        <w:tc>
          <w:tcPr>
            <w:tcW w:w="200" w:type="dxa"/>
            <w:vAlign w:val="bottom"/>
            <w:tcBorders>
              <w:top w:val="single" w:sz="8" w:color="auto"/>
            </w:tcBorders>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Shares used in computing net loss per common share, basic and</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2,601,352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2,553,287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3,250,863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Fine needle aspirations (FNAs) received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900" w:hanging="526"/>
        <w:spacing w:after="0"/>
        <w:tabs>
          <w:tab w:leader="none" w:pos="1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stock-based compensation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54"/>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w w:val="92"/>
              </w:rPr>
              <w:t>June 30,</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124"/>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74"/>
              <w:spacing w:after="0" w:line="124"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340" w:type="dxa"/>
            <w:vAlign w:val="bottom"/>
            <w:gridSpan w:val="2"/>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2"/>
                <w:szCs w:val="12"/>
                <w:color w:val="auto"/>
              </w:rPr>
            </w:pPr>
          </w:p>
        </w:tc>
      </w:tr>
      <w:tr>
        <w:trPr>
          <w:trHeight w:val="144"/>
        </w:trPr>
        <w:tc>
          <w:tcPr>
            <w:tcW w:w="6740" w:type="dxa"/>
            <w:vAlign w:val="bottom"/>
          </w:tcPr>
          <w:p>
            <w:pPr>
              <w:ind w:left="26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w w:val="92"/>
              </w:rPr>
              <w:t>103</w:t>
            </w:r>
          </w:p>
        </w:tc>
        <w:tc>
          <w:tcPr>
            <w:tcW w:w="160" w:type="dxa"/>
            <w:vAlign w:val="bottom"/>
          </w:tcPr>
          <w:p>
            <w:pPr>
              <w:spacing w:after="0"/>
              <w:rPr>
                <w:sz w:val="12"/>
                <w:szCs w:val="12"/>
                <w:color w:val="auto"/>
              </w:rPr>
            </w:pP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Selling and marketing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76</w:t>
            </w:r>
          </w:p>
        </w:tc>
        <w:tc>
          <w:tcPr>
            <w:tcW w:w="160" w:type="dxa"/>
            <w:vAlign w:val="bottom"/>
            <w:shd w:val="clear" w:color="auto" w:fill="CCEEFF"/>
          </w:tcPr>
          <w:p>
            <w:pPr>
              <w:spacing w:after="0"/>
              <w:rPr>
                <w:sz w:val="12"/>
                <w:szCs w:val="12"/>
                <w:color w:val="auto"/>
              </w:rPr>
            </w:pPr>
          </w:p>
        </w:tc>
      </w:tr>
      <w:tr>
        <w:trPr>
          <w:trHeight w:val="168"/>
        </w:trPr>
        <w:tc>
          <w:tcPr>
            <w:tcW w:w="674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297</w:t>
            </w:r>
          </w:p>
        </w:tc>
        <w:tc>
          <w:tcPr>
            <w:tcW w:w="160" w:type="dxa"/>
            <w:vAlign w:val="bottom"/>
          </w:tcPr>
          <w:p>
            <w:pPr>
              <w:spacing w:after="0"/>
              <w:rPr>
                <w:sz w:val="14"/>
                <w:szCs w:val="14"/>
                <w:color w:val="auto"/>
              </w:rPr>
            </w:pPr>
          </w:p>
        </w:tc>
      </w:tr>
      <w:tr>
        <w:trPr>
          <w:trHeight w:val="140"/>
        </w:trPr>
        <w:tc>
          <w:tcPr>
            <w:tcW w:w="674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auto"/>
              </w:rPr>
              <w:t>Total stock-based compensation</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675</w:t>
            </w:r>
          </w:p>
        </w:tc>
        <w:tc>
          <w:tcPr>
            <w:tcW w:w="2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290</w:t>
            </w:r>
          </w:p>
        </w:tc>
        <w:tc>
          <w:tcPr>
            <w:tcW w:w="340" w:type="dxa"/>
            <w:vAlign w:val="bottom"/>
            <w:gridSpan w:val="2"/>
            <w:shd w:val="clear" w:color="auto" w:fill="CCEEFF"/>
          </w:tcPr>
          <w:p>
            <w:pPr>
              <w:jc w:val="right"/>
              <w:ind w:right="34"/>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489</w:t>
            </w:r>
          </w:p>
        </w:tc>
        <w:tc>
          <w:tcPr>
            <w:tcW w:w="160" w:type="dxa"/>
            <w:vAlign w:val="bottom"/>
            <w:shd w:val="clear" w:color="auto" w:fill="CCEEFF"/>
          </w:tcPr>
          <w:p>
            <w:pPr>
              <w:spacing w:after="0"/>
              <w:rPr>
                <w:sz w:val="12"/>
                <w:szCs w:val="12"/>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40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60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9"/>
              </w:rPr>
              <w:t>As of June 30, 2013</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6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Actual</w:t>
            </w: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As Adjusted</w:t>
            </w:r>
          </w:p>
        </w:tc>
      </w:tr>
      <w:tr>
        <w:trPr>
          <w:trHeight w:val="124"/>
        </w:trPr>
        <w:tc>
          <w:tcPr>
            <w:tcW w:w="60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tcPr>
          <w:p>
            <w:pPr>
              <w:jc w:val="center"/>
              <w:ind w:left="54"/>
              <w:spacing w:after="0" w:line="124"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(Unaudited)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  20,683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Working capital</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760" w:type="dxa"/>
            <w:vAlign w:val="bottom"/>
          </w:tcPr>
          <w:p>
            <w:pPr>
              <w:jc w:val="right"/>
              <w:spacing w:after="0"/>
              <w:rPr>
                <w:sz w:val="20"/>
                <w:szCs w:val="20"/>
                <w:color w:val="auto"/>
              </w:rPr>
            </w:pPr>
            <w:r>
              <w:rPr>
                <w:rFonts w:ascii="Arial" w:cs="Arial" w:eastAsia="Arial" w:hAnsi="Arial"/>
                <w:sz w:val="17"/>
                <w:szCs w:val="17"/>
                <w:color w:val="auto"/>
              </w:rPr>
              <w:t>27,159</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stockholders' (deficit) equity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preceding table presents a summary of our unaudited balance sheet data as of June 30, 2013:</w:t>
      </w:r>
    </w:p>
    <w:p>
      <w:pPr>
        <w:spacing w:after="0" w:line="250" w:lineRule="exact"/>
        <w:rPr>
          <w:sz w:val="20"/>
          <w:szCs w:val="20"/>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7"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 to the completion of this offering; and</w:t>
      </w:r>
    </w:p>
    <w:p>
      <w:pPr>
        <w:sectPr>
          <w:pgSz w:w="11900" w:h="16838" w:orient="portrait"/>
          <w:cols w:equalWidth="0" w:num="1">
            <w:col w:w="11520"/>
          </w:cols>
          <w:pgMar w:left="240" w:top="131" w:right="139" w:bottom="1440" w:gutter="0" w:footer="0" w:header="0"/>
        </w:sectPr>
      </w:pP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 stock in this offering at a price of $ per share, the midpoint of the price range set forth on the cover page of this prospectus, and aft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820" w:space="460"/>
            <w:col w:w="10240"/>
          </w:cols>
          <w:pgMar w:left="240" w:top="131" w:right="139" w:bottom="1440" w:gutter="0" w:footer="0" w:header="0"/>
          <w:type w:val="continuous"/>
        </w:sectPr>
      </w:pPr>
    </w:p>
    <w:p>
      <w:pPr>
        <w:jc w:val="both"/>
        <w:ind w:left="240" w:firstLine="350"/>
        <w:spacing w:after="0" w:line="277" w:lineRule="auto"/>
        <w:rPr>
          <w:sz w:val="20"/>
          <w:szCs w:val="20"/>
          <w:color w:val="auto"/>
        </w:rPr>
      </w:pPr>
      <w:r>
        <w:rPr>
          <w:rFonts w:ascii="Arial" w:cs="Arial" w:eastAsia="Arial" w:hAnsi="Arial"/>
          <w:sz w:val="16"/>
          <w:szCs w:val="16"/>
          <w:color w:val="auto"/>
        </w:rPr>
        <w:t>A $1.00 increase (decrease) in the assumed initial public offering price of $ per share, the midpoint of the price range set forth on the cover page of th prospectus, would increase (decrease) each of cash and cash equivalents, working capital, total assets and total stockholders' equity (deficit) by $ millio</w:t>
      </w:r>
    </w:p>
    <w:p>
      <w:pPr>
        <w:sectPr>
          <w:pgSz w:w="11900" w:h="16838" w:orient="portrait"/>
          <w:cols w:equalWidth="0" w:num="1">
            <w:col w:w="11520"/>
          </w:cols>
          <w:pgMar w:left="240" w:top="131" w:right="139" w:bottom="1440" w:gutter="0" w:footer="0" w:header="0"/>
          <w:type w:val="continuous"/>
        </w:sectPr>
      </w:pPr>
    </w:p>
    <w:p>
      <w:pPr>
        <w:spacing w:after="0" w:line="1" w:lineRule="exact"/>
        <w:rPr>
          <w:sz w:val="20"/>
          <w:szCs w:val="20"/>
          <w:color w:val="auto"/>
        </w:rPr>
      </w:pPr>
    </w:p>
    <w:p>
      <w:pPr>
        <w:ind w:left="240"/>
        <w:spacing w:after="0" w:line="287" w:lineRule="auto"/>
        <w:rPr>
          <w:sz w:val="20"/>
          <w:szCs w:val="20"/>
          <w:color w:val="auto"/>
        </w:rPr>
      </w:pPr>
      <w:r>
        <w:rPr>
          <w:rFonts w:ascii="Arial" w:cs="Arial" w:eastAsia="Arial" w:hAnsi="Arial"/>
          <w:sz w:val="15"/>
          <w:szCs w:val="15"/>
          <w:color w:val="auto"/>
        </w:rPr>
        <w:t>assuming that the number of shares offered as set forth on the cover page of this prospectus remains the same, and after deducting the estimated underwriting discoun and commissions and estimated expenses payable by us. Each increase (decrease) of 1.0 million shares in the number of shares of common stock offered by us wou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240"/>
        <w:spacing w:after="0" w:line="277" w:lineRule="auto"/>
        <w:rPr>
          <w:sz w:val="20"/>
          <w:szCs w:val="20"/>
          <w:color w:val="auto"/>
        </w:rPr>
      </w:pPr>
      <w:r>
        <w:rPr>
          <w:rFonts w:ascii="Arial" w:cs="Arial" w:eastAsia="Arial" w:hAnsi="Arial"/>
          <w:sz w:val="16"/>
          <w:szCs w:val="16"/>
          <w:color w:val="auto"/>
        </w:rPr>
        <w:t>increase (decrease) each of cash and cash equivalents, working capital, total assets and total stockholders' equity (deficit) by approximately $ millio assuming a price of $ per share, the midpoint of the price range set forth on the cover page of this prospectus, and after deducting the estimated underwritin</w:t>
      </w:r>
    </w:p>
    <w:p>
      <w:pPr>
        <w:spacing w:after="0" w:line="1" w:lineRule="exact"/>
        <w:rPr>
          <w:sz w:val="20"/>
          <w:szCs w:val="20"/>
          <w:color w:val="auto"/>
        </w:rPr>
      </w:pPr>
    </w:p>
    <w:p>
      <w:pPr>
        <w:jc w:val="both"/>
        <w:ind w:left="240"/>
        <w:spacing w:after="0" w:line="275" w:lineRule="auto"/>
        <w:rPr>
          <w:sz w:val="20"/>
          <w:szCs w:val="20"/>
          <w:color w:val="auto"/>
        </w:rPr>
      </w:pPr>
      <w:r>
        <w:rPr>
          <w:rFonts w:ascii="Arial" w:cs="Arial" w:eastAsia="Arial" w:hAnsi="Arial"/>
          <w:sz w:val="17"/>
          <w:szCs w:val="17"/>
          <w:color w:val="auto"/>
        </w:rPr>
        <w:t>discounts and commissions and estimated expenses payable by us. The pro forma as adjusted information discussed above is illustrative only and will be adjuste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early-stage company with a history of losses, and we expect to incur net losses for the foreseeable future and may never achieve or sustain profitability.</w:t>
      </w:r>
    </w:p>
    <w:p>
      <w:pPr>
        <w:spacing w:after="0" w:line="25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7"/>
          <w:szCs w:val="17"/>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jc w:val="both"/>
        <w:ind w:firstLine="335"/>
        <w:spacing w:after="0" w:line="262" w:lineRule="auto"/>
        <w:rPr>
          <w:sz w:val="20"/>
          <w:szCs w:val="20"/>
          <w:color w:val="auto"/>
        </w:rPr>
      </w:pPr>
      <w:r>
        <w:rPr>
          <w:rFonts w:ascii="Arial" w:cs="Arial" w:eastAsia="Arial" w:hAnsi="Arial"/>
          <w:sz w:val="17"/>
          <w:szCs w:val="17"/>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jc w:val="both"/>
        <w:ind w:firstLine="430"/>
        <w:spacing w:after="0" w:line="279" w:lineRule="auto"/>
        <w:rPr>
          <w:sz w:val="20"/>
          <w:szCs w:val="20"/>
          <w:color w:val="auto"/>
        </w:rPr>
      </w:pPr>
      <w:r>
        <w:rPr>
          <w:rFonts w:ascii="Arial" w:cs="Arial" w:eastAsia="Arial" w:hAnsi="Arial"/>
          <w:sz w:val="16"/>
          <w:szCs w:val="16"/>
          <w:color w:val="auto"/>
        </w:rPr>
        <w:t>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5"/>
        <w:spacing w:after="0" w:line="352" w:lineRule="auto"/>
        <w:rPr>
          <w:sz w:val="20"/>
          <w:szCs w:val="20"/>
          <w:color w:val="auto"/>
        </w:rPr>
      </w:pPr>
      <w:r>
        <w:rPr>
          <w:rFonts w:ascii="Arial" w:cs="Arial" w:eastAsia="Arial" w:hAnsi="Arial"/>
          <w:sz w:val="15"/>
          <w:szCs w:val="15"/>
          <w:color w:val="auto"/>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jc w:val="both"/>
        <w:ind w:firstLine="547"/>
        <w:spacing w:after="0" w:line="270"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92"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24" w:lineRule="exact"/>
        <w:rPr>
          <w:sz w:val="20"/>
          <w:szCs w:val="20"/>
          <w:color w:val="auto"/>
        </w:rPr>
      </w:pPr>
    </w:p>
    <w:p>
      <w:pPr>
        <w:jc w:val="both"/>
        <w:ind w:firstLine="457"/>
        <w:spacing w:after="0" w:line="282"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jc w:val="both"/>
        <w:ind w:firstLine="364"/>
        <w:spacing w:after="0" w:line="322" w:lineRule="auto"/>
        <w:rPr>
          <w:sz w:val="20"/>
          <w:szCs w:val="20"/>
          <w:color w:val="auto"/>
        </w:rPr>
      </w:pPr>
      <w:r>
        <w:rPr>
          <w:rFonts w:ascii="Arial" w:cs="Arial" w:eastAsia="Arial" w:hAnsi="Arial"/>
          <w:sz w:val="15"/>
          <w:szCs w:val="15"/>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45" w:lineRule="exact"/>
        <w:rPr>
          <w:sz w:val="20"/>
          <w:szCs w:val="20"/>
          <w:color w:val="auto"/>
        </w:rPr>
      </w:pPr>
    </w:p>
    <w:p>
      <w:pPr>
        <w:jc w:val="both"/>
        <w:ind w:firstLine="361"/>
        <w:spacing w:after="0" w:line="287"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Afirma.</w:t>
      </w:r>
    </w:p>
    <w:p>
      <w:pPr>
        <w:spacing w:after="0" w:line="224"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3"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relationship with Genzyme to co-promote Afirma may have a significant effect on our business.</w:t>
      </w:r>
    </w:p>
    <w:p>
      <w:pPr>
        <w:spacing w:after="0" w:line="224" w:lineRule="exact"/>
        <w:rPr>
          <w:sz w:val="20"/>
          <w:szCs w:val="20"/>
          <w:color w:val="auto"/>
        </w:rPr>
      </w:pPr>
    </w:p>
    <w:p>
      <w:pPr>
        <w:jc w:val="both"/>
        <w:ind w:firstLine="402"/>
        <w:spacing w:after="0" w:line="277"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jc w:val="both"/>
        <w:ind w:firstLine="390"/>
        <w:spacing w:after="0" w:line="261" w:lineRule="auto"/>
        <w:rPr>
          <w:sz w:val="20"/>
          <w:szCs w:val="20"/>
          <w:color w:val="auto"/>
        </w:rPr>
      </w:pPr>
      <w:r>
        <w:rPr>
          <w:rFonts w:ascii="Arial" w:cs="Arial" w:eastAsia="Arial" w:hAnsi="Arial"/>
          <w:sz w:val="17"/>
          <w:szCs w:val="17"/>
          <w:color w:val="auto"/>
        </w:rPr>
        <w:t>We rely on sole suppliers, such as NuGEN Technologies, Inc. and Affymetrix, Inc., for critical supply of reagents, equipment, chips and other materials that we use to perform the GEC. All of these items are unique to these suppliers. While we have developed alternate sourcing strategies for these materials, we cannot be certain whether these strategies will be effective or the alternative sources will be available when we need them. If these suppliers can no longer provide us with the reagents, equipment, chips, and other materials used in processing the GEC,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We rely on Thyroid Cytology Partners, P.A., or TCP, with whom we have entered into an agreement to provide cytopathology professional diagnoses on thyroid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w:t>
      </w:r>
    </w:p>
    <w:p>
      <w:pPr>
        <w:spacing w:after="0" w:line="163"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7"/>
          <w:szCs w:val="17"/>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support demand for Afirma or any of our future products or solutions, our business could suffer.</w:t>
      </w:r>
    </w:p>
    <w:p>
      <w:pPr>
        <w:spacing w:after="0" w:line="224" w:lineRule="exact"/>
        <w:rPr>
          <w:sz w:val="20"/>
          <w:szCs w:val="20"/>
          <w:color w:val="auto"/>
        </w:rPr>
      </w:pPr>
    </w:p>
    <w:p>
      <w:pPr>
        <w:jc w:val="both"/>
        <w:ind w:firstLine="356"/>
        <w:spacing w:after="0" w:line="301" w:lineRule="auto"/>
        <w:rPr>
          <w:sz w:val="20"/>
          <w:szCs w:val="20"/>
          <w:color w:val="auto"/>
        </w:rPr>
      </w:pPr>
      <w:r>
        <w:rPr>
          <w:rFonts w:ascii="Arial" w:cs="Arial" w:eastAsia="Arial" w:hAnsi="Arial"/>
          <w:sz w:val="15"/>
          <w:szCs w:val="15"/>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47"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We believe that Afirma is an LDT. As a result, we believe Afirma should not be subject to regulation in accordance with the FDA's current policy of exercising enforcement discretion regarding LDTs.</w:t>
      </w:r>
    </w:p>
    <w:p>
      <w:pPr>
        <w:spacing w:after="0" w:line="185"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7"/>
          <w:szCs w:val="17"/>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 cannot provide any assurance that FDA regulation, including premarket review, will not be required in the future for our tests, whether through additional guidance issued by the FDA, new enforcement policies adopted by the FDA or new legislation enacted by Congress. It is possible that legislation will be enacted into law or guidance could be issued by the FDA which may result in increased regulatory burdens for us to continue to offer our tests or to develop and introduce new tests. We cannot predict the timing or content of future legislation enacted or guidance issued regarding LDTs, or how it will affect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75" w:lineRule="exact"/>
        <w:rPr>
          <w:sz w:val="20"/>
          <w:szCs w:val="20"/>
          <w:color w:val="auto"/>
        </w:rPr>
      </w:pPr>
    </w:p>
    <w:p>
      <w:pPr>
        <w:jc w:val="both"/>
        <w:ind w:firstLine="476"/>
        <w:spacing w:after="0" w:line="278" w:lineRule="auto"/>
        <w:rPr>
          <w:sz w:val="20"/>
          <w:szCs w:val="20"/>
          <w:color w:val="auto"/>
        </w:rPr>
      </w:pPr>
      <w:r>
        <w:rPr>
          <w:rFonts w:ascii="Arial" w:cs="Arial" w:eastAsia="Arial" w:hAnsi="Arial"/>
          <w:sz w:val="16"/>
          <w:szCs w:val="16"/>
          <w:color w:val="auto"/>
        </w:rPr>
        <w:t>If FDA premarket review or approval is required for Afirma or any of our future tests we may develop, or we decide to voluntarily pursue FDA review or approval, we may be forced to stop selling our tests or we may be allowed to keep selling our tests while we work to obtain FDA approval. Our business would be negatively affected until such review is completed and clearance to market or approval is obtained. The regulatory approval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they are labeled investigational by the FDA,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24"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36" w:lineRule="exact"/>
        <w:rPr>
          <w:sz w:val="20"/>
          <w:szCs w:val="20"/>
          <w:color w:val="auto"/>
        </w:rPr>
      </w:pPr>
    </w:p>
    <w:p>
      <w:pPr>
        <w:jc w:val="both"/>
        <w:ind w:firstLine="467"/>
        <w:spacing w:after="0" w:line="287"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collection efforts, including potential write-offs of doubtful accounts and long collection cycles, which could adversely affect our business, results of operations and financial condition.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7"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between the list price for Afirma and the reimbursement rates of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Medicare;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in coverage among payers and the effect of patient co-payments or co-insurance;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in information and billing requirements among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24"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 party to transmit claims to payers, and any delay in transmitting claims could have an adverse effect on our revenue.</w:t>
      </w:r>
    </w:p>
    <w:p>
      <w:pPr>
        <w:spacing w:after="0" w:line="224" w:lineRule="exact"/>
        <w:rPr>
          <w:sz w:val="20"/>
          <w:szCs w:val="20"/>
          <w:color w:val="auto"/>
        </w:rPr>
      </w:pPr>
    </w:p>
    <w:p>
      <w:pPr>
        <w:jc w:val="both"/>
        <w:ind w:firstLine="412"/>
        <w:spacing w:after="0" w:line="26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Our business strategy includes international expansion, primarily through our co-promotion agreement with Genzyme, and may include establishing and maintaining physician outreach and education capabilities outside of the United States and expanding our relationships with international payers. Doing business internationally involves a number of risks, including:</w:t>
      </w:r>
    </w:p>
    <w:p>
      <w:pPr>
        <w:spacing w:after="0" w:line="205" w:lineRule="exact"/>
        <w:rPr>
          <w:sz w:val="20"/>
          <w:szCs w:val="20"/>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 in various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315"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46"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89"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conduct analytical and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24" w:lineRule="exact"/>
        <w:rPr>
          <w:sz w:val="20"/>
          <w:szCs w:val="20"/>
          <w:color w:val="auto"/>
        </w:rPr>
      </w:pPr>
    </w:p>
    <w:p>
      <w:pPr>
        <w:ind w:firstLine="507"/>
        <w:spacing w:after="0" w:line="28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6"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secure sufficient numbers of samples to conduct analytical and clinical studies;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24"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we might choose to abandon the development of the product, which could harm our business. In addition, competitors may develop and commercialize competing products or technologies faster than us or at a lower cost.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4" w:lineRule="exact"/>
        <w:rPr>
          <w:sz w:val="20"/>
          <w:szCs w:val="20"/>
          <w:color w:val="auto"/>
        </w:rPr>
      </w:pPr>
    </w:p>
    <w:p>
      <w:pPr>
        <w:jc w:val="both"/>
        <w:ind w:firstLine="372"/>
        <w:spacing w:after="0" w:line="280" w:lineRule="auto"/>
        <w:rPr>
          <w:sz w:val="20"/>
          <w:szCs w:val="20"/>
          <w:color w:val="auto"/>
        </w:rPr>
      </w:pPr>
      <w:r>
        <w:rPr>
          <w:rFonts w:ascii="Arial" w:cs="Arial" w:eastAsia="Arial" w:hAnsi="Arial"/>
          <w:sz w:val="16"/>
          <w:szCs w:val="16"/>
          <w:color w:val="auto"/>
        </w:rPr>
        <w:t>We are also required to maintain state licenses to conduct testing in our laboratories. California law establishes standards for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 able to prepare samples for cytopathology on FNAs from patients in New York in that laboratory. Moreover, several other states require that we hold licenses to test samples from patients in those states. Other states may have similar requirements or may adopt similar requirements in the future.</w:t>
      </w:r>
    </w:p>
    <w:p>
      <w:pPr>
        <w:spacing w:after="0" w:line="175"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7"/>
          <w:szCs w:val="17"/>
          <w:color w:val="auto"/>
        </w:rPr>
        <w:t>If we were to lose our CLIA certificate or state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87"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7"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 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7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0"/>
        <w:spacing w:after="0" w:line="283"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subject to other regulation by both the federal government and the states in which we conduct our business, including:</w:t>
      </w:r>
    </w:p>
    <w:p>
      <w:pPr>
        <w:spacing w:after="0" w:line="237"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anti-kickback law and state anti-kickback prohibitions;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physician self-referral prohibition, commonly known as the Stark Law, and state equivalents;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Medicare civil money penalty and exclusion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False Claims Act civil and criminal penalties and state equivalents;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Foreign Corrupt Practices Act of 1977, which applies to our international activities.</w:t>
      </w:r>
    </w:p>
    <w:p>
      <w:pPr>
        <w:spacing w:after="0" w:line="224" w:lineRule="exact"/>
        <w:rPr>
          <w:sz w:val="20"/>
          <w:szCs w:val="20"/>
          <w:color w:val="auto"/>
        </w:rPr>
      </w:pPr>
    </w:p>
    <w:p>
      <w:pPr>
        <w:jc w:val="both"/>
        <w:ind w:firstLine="344"/>
        <w:spacing w:after="0" w:line="278"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24"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6"/>
          <w:szCs w:val="16"/>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24"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5" w:lineRule="exact"/>
        <w:rPr>
          <w:sz w:val="20"/>
          <w:szCs w:val="20"/>
          <w:color w:val="auto"/>
        </w:rPr>
      </w:pPr>
    </w:p>
    <w:p>
      <w:pPr>
        <w:jc w:val="both"/>
        <w:ind w:firstLine="431"/>
        <w:spacing w:after="0" w:line="299"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373"/>
        <w:spacing w:after="0" w:line="261" w:lineRule="auto"/>
        <w:rPr>
          <w:sz w:val="20"/>
          <w:szCs w:val="20"/>
          <w:color w:val="auto"/>
        </w:rPr>
      </w:pPr>
      <w:r>
        <w:rPr>
          <w:rFonts w:ascii="Arial" w:cs="Arial" w:eastAsia="Arial" w:hAnsi="Arial"/>
          <w:sz w:val="17"/>
          <w:szCs w:val="17"/>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24"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2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6" w:lineRule="exact"/>
        <w:rPr>
          <w:sz w:val="20"/>
          <w:szCs w:val="20"/>
          <w:color w:val="auto"/>
        </w:rPr>
      </w:pPr>
    </w:p>
    <w:p>
      <w:pPr>
        <w:jc w:val="both"/>
        <w:ind w:firstLine="418"/>
        <w:spacing w:after="0" w:line="283"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74" w:lineRule="exact"/>
        <w:rPr>
          <w:sz w:val="20"/>
          <w:szCs w:val="20"/>
          <w:color w:val="auto"/>
        </w:rPr>
      </w:pPr>
    </w:p>
    <w:p>
      <w:pPr>
        <w:jc w:val="both"/>
        <w:ind w:firstLine="338"/>
        <w:spacing w:after="0" w:line="278"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70"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24"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5" w:lineRule="exact"/>
        <w:rPr>
          <w:sz w:val="20"/>
          <w:szCs w:val="20"/>
          <w:color w:val="auto"/>
        </w:rPr>
      </w:pPr>
    </w:p>
    <w:p>
      <w:pPr>
        <w:jc w:val="both"/>
        <w:ind w:firstLine="408"/>
        <w:spacing w:after="0" w:line="278" w:lineRule="auto"/>
        <w:rPr>
          <w:sz w:val="20"/>
          <w:szCs w:val="20"/>
          <w:color w:val="auto"/>
        </w:rPr>
      </w:pPr>
      <w:r>
        <w:rPr>
          <w:rFonts w:ascii="Arial" w:cs="Arial" w:eastAsia="Arial" w:hAnsi="Arial"/>
          <w:sz w:val="16"/>
          <w:szCs w:val="16"/>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June 30, 2013, we had six pending United States non-provisional patent applications and one allowed patent application.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9" w:lineRule="exact"/>
        <w:rPr>
          <w:sz w:val="20"/>
          <w:szCs w:val="20"/>
          <w:color w:val="auto"/>
        </w:rPr>
      </w:pPr>
    </w:p>
    <w:p>
      <w:pPr>
        <w:jc w:val="both"/>
        <w:ind w:firstLine="443"/>
        <w:spacing w:after="0" w:line="265"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1"/>
        <w:spacing w:after="0" w:line="260"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9"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4"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79"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jc w:val="both"/>
        <w:ind w:firstLine="543"/>
        <w:spacing w:after="0" w:line="287"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9"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5"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6"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90"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95" w:lineRule="exact"/>
        <w:rPr>
          <w:sz w:val="20"/>
          <w:szCs w:val="20"/>
          <w:color w:val="auto"/>
        </w:rPr>
      </w:pPr>
    </w:p>
    <w:p>
      <w:pPr>
        <w:jc w:val="both"/>
        <w:ind w:firstLine="551"/>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5"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493"/>
        <w:spacing w:after="0" w:line="278"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386"/>
        <w:spacing w:after="0" w:line="28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0" w:lineRule="exact"/>
        <w:rPr>
          <w:sz w:val="20"/>
          <w:szCs w:val="20"/>
          <w:color w:val="auto"/>
        </w:rPr>
      </w:pPr>
    </w:p>
    <w:p>
      <w:pPr>
        <w:jc w:val="both"/>
        <w:ind w:firstLine="430"/>
        <w:spacing w:after="0" w:line="277"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 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1" w:lineRule="exact"/>
        <w:rPr>
          <w:sz w:val="20"/>
          <w:szCs w:val="20"/>
          <w:color w:val="auto"/>
        </w:rPr>
      </w:pPr>
    </w:p>
    <w:p>
      <w:pPr>
        <w:jc w:val="both"/>
        <w:ind w:firstLine="362"/>
        <w:spacing w:after="0" w:line="265" w:lineRule="auto"/>
        <w:rPr>
          <w:sz w:val="20"/>
          <w:szCs w:val="20"/>
          <w:color w:val="auto"/>
        </w:rPr>
      </w:pPr>
      <w:r>
        <w:rPr>
          <w:rFonts w:ascii="Arial" w:cs="Arial" w:eastAsia="Arial" w:hAnsi="Arial"/>
          <w:sz w:val="17"/>
          <w:szCs w:val="17"/>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201"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periodic fluctuations in our revenue, due in part to the way in which we recognize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stockholders could cause our stock price to decline.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after the lock-up and other legal</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restrictions on resale discussed in this prospectus lapse, the trading price of our common stock could decline. Based on shares outstanding as of , 2013, upon completion of this offering, we will have outstanding a total of shares of common stock. Of these shares, only of the shares of common stock sold in</w:t>
      </w:r>
    </w:p>
    <w:p>
      <w:pPr>
        <w:spacing w:after="0" w:line="1" w:lineRule="exact"/>
        <w:rPr>
          <w:sz w:val="20"/>
          <w:szCs w:val="20"/>
          <w:color w:val="auto"/>
        </w:rPr>
      </w:pPr>
    </w:p>
    <w:p>
      <w:pPr>
        <w:jc w:val="both"/>
        <w:spacing w:after="0" w:line="190" w:lineRule="auto"/>
        <w:rPr>
          <w:sz w:val="20"/>
          <w:szCs w:val="20"/>
          <w:color w:val="auto"/>
        </w:rPr>
      </w:pPr>
      <w:r>
        <w:rPr>
          <w:rFonts w:ascii="Arial" w:cs="Arial" w:eastAsia="Arial" w:hAnsi="Arial"/>
          <w:sz w:val="15"/>
          <w:szCs w:val="15"/>
          <w:color w:val="auto"/>
        </w:rPr>
        <w:t>this offering 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prior to the expiration of the lock-up agreements. After the lock-up agreements expire, based on shares outstanding as of , 2013, up to an additional shares of common stock will be eligible for sale in the public market, of which are held by directors, executive officers and other affiliates and will be subject to volume limitations under Rule 144 under the Securities Act, and various vesting agreements. In addition, shares of common stock that are subject to outstanding options as of , 2013 will become eligible for sale in the public market to the extent permitted by the provisions of various vesting</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agreements, the lock-up 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Insiders have substantial control over us and will be able to influence corporate matters.</w:t>
      </w:r>
    </w:p>
    <w:p>
      <w:pPr>
        <w:spacing w:after="0" w:line="224" w:lineRule="exact"/>
        <w:rPr>
          <w:sz w:val="20"/>
          <w:szCs w:val="20"/>
          <w:color w:val="auto"/>
        </w:rPr>
      </w:pPr>
    </w:p>
    <w:p>
      <w:pPr>
        <w:ind w:left="380"/>
        <w:spacing w:after="0"/>
        <w:tabs>
          <w:tab w:leader="none" w:pos="1300" w:val="left"/>
          <w:tab w:leader="none" w:pos="8160" w:val="left"/>
        </w:tabs>
        <w:rPr>
          <w:sz w:val="20"/>
          <w:szCs w:val="20"/>
          <w:color w:val="auto"/>
        </w:rPr>
      </w:pPr>
      <w:r>
        <w:rPr>
          <w:rFonts w:ascii="Arial" w:cs="Arial" w:eastAsia="Arial" w:hAnsi="Arial"/>
          <w:sz w:val="17"/>
          <w:szCs w:val="17"/>
          <w:color w:val="auto"/>
        </w:rPr>
        <w:t>As of</w:t>
      </w:r>
      <w:r>
        <w:rPr>
          <w:sz w:val="20"/>
          <w:szCs w:val="20"/>
          <w:color w:val="auto"/>
        </w:rPr>
        <w:tab/>
      </w:r>
      <w:r>
        <w:rPr>
          <w:rFonts w:ascii="Arial" w:cs="Arial" w:eastAsia="Arial" w:hAnsi="Arial"/>
          <w:sz w:val="17"/>
          <w:szCs w:val="17"/>
          <w:color w:val="auto"/>
        </w:rPr>
        <w:t>, 2013, directors and executive officers and their affiliates beneficially owned, in the aggregate,</w:t>
      </w:r>
      <w:r>
        <w:rPr>
          <w:sz w:val="20"/>
          <w:szCs w:val="20"/>
          <w:color w:val="auto"/>
        </w:rPr>
        <w:tab/>
      </w:r>
      <w:r>
        <w:rPr>
          <w:rFonts w:ascii="Arial" w:cs="Arial" w:eastAsia="Arial" w:hAnsi="Arial"/>
          <w:sz w:val="15"/>
          <w:szCs w:val="15"/>
          <w:color w:val="auto"/>
        </w:rPr>
        <w:t>% of our outstanding capital stock. As a result,</w:t>
      </w:r>
    </w:p>
    <w:p>
      <w:pPr>
        <w:spacing w:after="0" w:line="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Provisions in our restated certificate of incorporation and our amended and restated bylaws to become effective upon completion of this offering may have the effect of delaying or preventing a change of control or changes in our management. Our restated certificate of incorporation and amended and restated bylaws include provisions that:</w:t>
      </w:r>
    </w:p>
    <w:p>
      <w:pPr>
        <w:spacing w:after="0" w:line="179"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jc w:val="both"/>
        <w:ind w:firstLine="460"/>
        <w:spacing w:after="0" w:line="28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this offering and may not use them effectively.</w:t>
      </w:r>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new tests and cause the price of our common stock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immediately after this offering. Therefore, if you purchase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Table of Contents</w:t>
              </w:r>
            </w:hyperlink>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30"/>
        </w:trPr>
        <w:tc>
          <w:tcPr>
            <w:tcW w:w="5380" w:type="dxa"/>
            <w:vAlign w:val="bottom"/>
            <w:gridSpan w:val="3"/>
          </w:tcPr>
          <w:p>
            <w:pPr>
              <w:spacing w:after="0"/>
              <w:rPr>
                <w:sz w:val="20"/>
                <w:szCs w:val="20"/>
                <w:color w:val="auto"/>
              </w:rPr>
            </w:pPr>
            <w:r>
              <w:rPr>
                <w:rFonts w:ascii="Arial" w:cs="Arial" w:eastAsia="Arial" w:hAnsi="Arial"/>
                <w:sz w:val="17"/>
                <w:szCs w:val="17"/>
                <w:color w:val="auto"/>
              </w:rPr>
              <w:t>common stock in this offering, you will incur an immediate dilution of $</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w w:val="96"/>
              </w:rPr>
              <w:t>in net tangible book value per share from the price you paid, based on an assumed</w:t>
            </w:r>
          </w:p>
        </w:tc>
      </w:tr>
      <w:tr>
        <w:trPr>
          <w:trHeight w:val="210"/>
        </w:trPr>
        <w:tc>
          <w:tcPr>
            <w:tcW w:w="2560" w:type="dxa"/>
            <w:vAlign w:val="bottom"/>
            <w:gridSpan w:val="2"/>
          </w:tcPr>
          <w:p>
            <w:pPr>
              <w:spacing w:after="0"/>
              <w:rPr>
                <w:sz w:val="20"/>
                <w:szCs w:val="20"/>
                <w:color w:val="auto"/>
              </w:rPr>
            </w:pPr>
            <w:r>
              <w:rPr>
                <w:rFonts w:ascii="Arial" w:cs="Arial" w:eastAsia="Arial" w:hAnsi="Arial"/>
                <w:sz w:val="17"/>
                <w:szCs w:val="17"/>
                <w:color w:val="auto"/>
              </w:rPr>
              <w:t>initial public offering price of $</w:t>
            </w:r>
          </w:p>
        </w:tc>
        <w:tc>
          <w:tcPr>
            <w:tcW w:w="7720" w:type="dxa"/>
            <w:vAlign w:val="bottom"/>
            <w:gridSpan w:val="3"/>
          </w:tcPr>
          <w:p>
            <w:pPr>
              <w:ind w:left="320"/>
              <w:spacing w:after="0"/>
              <w:rPr>
                <w:sz w:val="20"/>
                <w:szCs w:val="20"/>
                <w:color w:val="auto"/>
              </w:rPr>
            </w:pPr>
            <w:r>
              <w:rPr>
                <w:rFonts w:ascii="Arial" w:cs="Arial" w:eastAsia="Arial" w:hAnsi="Arial"/>
                <w:sz w:val="17"/>
                <w:szCs w:val="17"/>
                <w:color w:val="auto"/>
                <w:w w:val="96"/>
              </w:rPr>
              <w:t>per share. In addition, new investors who purchase shares in this offering will contribute approximately</w:t>
            </w:r>
          </w:p>
        </w:tc>
        <w:tc>
          <w:tcPr>
            <w:tcW w:w="1140" w:type="dxa"/>
            <w:vAlign w:val="bottom"/>
          </w:tcPr>
          <w:p>
            <w:pPr>
              <w:jc w:val="right"/>
              <w:spacing w:after="0"/>
              <w:rPr>
                <w:sz w:val="20"/>
                <w:szCs w:val="20"/>
                <w:color w:val="auto"/>
              </w:rPr>
            </w:pPr>
            <w:r>
              <w:rPr>
                <w:rFonts w:ascii="Arial" w:cs="Arial" w:eastAsia="Arial" w:hAnsi="Arial"/>
                <w:sz w:val="17"/>
                <w:szCs w:val="17"/>
                <w:color w:val="auto"/>
              </w:rPr>
              <w:t>% of the total</w:t>
            </w:r>
          </w:p>
        </w:tc>
      </w:tr>
      <w:tr>
        <w:trPr>
          <w:trHeight w:val="216"/>
        </w:trPr>
        <w:tc>
          <w:tcPr>
            <w:tcW w:w="7560" w:type="dxa"/>
            <w:vAlign w:val="bottom"/>
            <w:gridSpan w:val="4"/>
          </w:tcPr>
          <w:p>
            <w:pPr>
              <w:spacing w:after="0"/>
              <w:rPr>
                <w:sz w:val="20"/>
                <w:szCs w:val="20"/>
                <w:color w:val="auto"/>
              </w:rPr>
            </w:pPr>
            <w:r>
              <w:rPr>
                <w:rFonts w:ascii="Arial" w:cs="Arial" w:eastAsia="Arial" w:hAnsi="Arial"/>
                <w:sz w:val="17"/>
                <w:szCs w:val="17"/>
                <w:color w:val="auto"/>
                <w:w w:val="99"/>
              </w:rPr>
              <w:t>amount of equity capital raised by us through the date of this offering, but will only own approximately</w:t>
            </w:r>
          </w:p>
        </w:tc>
        <w:tc>
          <w:tcPr>
            <w:tcW w:w="3860" w:type="dxa"/>
            <w:vAlign w:val="bottom"/>
            <w:gridSpan w:val="2"/>
          </w:tcPr>
          <w:p>
            <w:pPr>
              <w:jc w:val="right"/>
              <w:spacing w:after="0"/>
              <w:rPr>
                <w:sz w:val="20"/>
                <w:szCs w:val="20"/>
                <w:color w:val="auto"/>
              </w:rPr>
            </w:pPr>
            <w:r>
              <w:rPr>
                <w:rFonts w:ascii="Arial" w:cs="Arial" w:eastAsia="Arial" w:hAnsi="Arial"/>
                <w:sz w:val="17"/>
                <w:szCs w:val="17"/>
                <w:color w:val="auto"/>
                <w:w w:val="99"/>
              </w:rPr>
              <w:t>% of the outstanding equity capital. The exercise of</w:t>
            </w:r>
          </w:p>
        </w:tc>
      </w:tr>
    </w:tbl>
    <w:p>
      <w:pPr>
        <w:jc w:val="both"/>
        <w:spacing w:after="0" w:line="275" w:lineRule="auto"/>
        <w:rPr>
          <w:sz w:val="20"/>
          <w:szCs w:val="20"/>
          <w:color w:val="auto"/>
        </w:rPr>
      </w:pPr>
      <w:r>
        <w:rPr>
          <w:rFonts w:ascii="Arial" w:cs="Arial" w:eastAsia="Arial" w:hAnsi="Arial"/>
          <w:sz w:val="17"/>
          <w:szCs w:val="17"/>
          <w:color w:val="auto"/>
        </w:rPr>
        <w:t>outstanding options and warrants will result in further dilution. For a detailed description of the dilution that you will experience immediately after this offering, see "Dilution".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28" w:lineRule="exact"/>
        <w:rPr>
          <w:sz w:val="20"/>
          <w:szCs w:val="20"/>
          <w:color w:val="auto"/>
        </w:rPr>
      </w:pPr>
    </w:p>
    <w:p>
      <w:pPr>
        <w:jc w:val="both"/>
        <w:ind w:firstLine="414"/>
        <w:spacing w:after="0" w:line="278" w:lineRule="auto"/>
        <w:rPr>
          <w:sz w:val="20"/>
          <w:szCs w:val="20"/>
          <w:color w:val="auto"/>
        </w:rPr>
      </w:pPr>
      <w:r>
        <w:rPr>
          <w:rFonts w:ascii="Arial" w:cs="Arial" w:eastAsia="Arial" w:hAnsi="Arial"/>
          <w:sz w:val="16"/>
          <w:szCs w:val="16"/>
          <w:color w:val="auto"/>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93"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continue to increase adoption of and obtain reimbursement for Afirma;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anticipated trends and challenges in our business and the competition that we face;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execution of our business plan and our growth strategy;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the size of and growth in potential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laws or regulations applicable to our business, including potential regulation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strategic relationships, collaboration and co-promotion efforts;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 and the timing of commercialization;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outcome or success of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liquidity and working capital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future revenue and expenses;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the use of proceeds from this offering.</w:t>
      </w:r>
    </w:p>
    <w:p>
      <w:pPr>
        <w:spacing w:after="0" w:line="224"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6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85" w:lineRule="exact"/>
        <w:rPr>
          <w:sz w:val="20"/>
          <w:szCs w:val="20"/>
          <w:color w:val="auto"/>
        </w:rPr>
      </w:pPr>
    </w:p>
    <w:p>
      <w:pPr>
        <w:jc w:val="both"/>
        <w:ind w:firstLine="352"/>
        <w:spacing w:after="0" w:line="322" w:lineRule="auto"/>
        <w:rPr>
          <w:sz w:val="20"/>
          <w:szCs w:val="20"/>
          <w:color w:val="auto"/>
        </w:rPr>
      </w:pPr>
      <w:r>
        <w:rPr>
          <w:rFonts w:ascii="Arial" w:cs="Arial" w:eastAsia="Arial" w:hAnsi="Arial"/>
          <w:sz w:val="15"/>
          <w:szCs w:val="15"/>
          <w:color w:val="auto"/>
        </w:rPr>
        <w:t>This prospectus also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Although we have assessed the information in the publications and found it to be reasonable and believe the publications are reliable, we have not independently verified their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1620" w:type="dxa"/>
            <w:vAlign w:val="bottom"/>
            <w:gridSpan w:val="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7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tcPr>
          <w:p>
            <w:pPr>
              <w:ind w:left="3280"/>
              <w:spacing w:after="0"/>
              <w:rPr>
                <w:sz w:val="20"/>
                <w:szCs w:val="20"/>
                <w:color w:val="auto"/>
              </w:rPr>
            </w:pPr>
            <w:r>
              <w:rPr>
                <w:rFonts w:ascii="Arial" w:cs="Arial" w:eastAsia="Arial" w:hAnsi="Arial"/>
                <w:sz w:val="17"/>
                <w:szCs w:val="17"/>
                <w:b w:val="1"/>
                <w:bCs w:val="1"/>
                <w:color w:val="auto"/>
              </w:rPr>
              <w:t>USE OF PROCEEDS</w:t>
            </w:r>
          </w:p>
        </w:tc>
        <w:tc>
          <w:tcPr>
            <w:tcW w:w="2700" w:type="dxa"/>
            <w:vAlign w:val="bottom"/>
          </w:tcPr>
          <w:p>
            <w:pPr>
              <w:spacing w:after="0"/>
              <w:rPr>
                <w:sz w:val="24"/>
                <w:szCs w:val="24"/>
                <w:color w:val="auto"/>
              </w:rPr>
            </w:pPr>
          </w:p>
        </w:tc>
      </w:tr>
      <w:tr>
        <w:trPr>
          <w:trHeight w:val="413"/>
        </w:trPr>
        <w:tc>
          <w:tcPr>
            <w:tcW w:w="8720" w:type="dxa"/>
            <w:vAlign w:val="bottom"/>
            <w:gridSpan w:val="3"/>
          </w:tcPr>
          <w:p>
            <w:pPr>
              <w:ind w:left="360"/>
              <w:spacing w:after="0"/>
              <w:rPr>
                <w:sz w:val="20"/>
                <w:szCs w:val="20"/>
                <w:color w:val="auto"/>
              </w:rPr>
            </w:pPr>
            <w:r>
              <w:rPr>
                <w:rFonts w:ascii="Arial" w:cs="Arial" w:eastAsia="Arial" w:hAnsi="Arial"/>
                <w:sz w:val="17"/>
                <w:szCs w:val="17"/>
                <w:color w:val="auto"/>
                <w:w w:val="94"/>
              </w:rPr>
              <w:t>We estimate that the net proceeds from the sale of shares of our common stock in this offering will be approximately $</w:t>
            </w:r>
          </w:p>
        </w:tc>
        <w:tc>
          <w:tcPr>
            <w:tcW w:w="2700" w:type="dxa"/>
            <w:vAlign w:val="bottom"/>
          </w:tcPr>
          <w:p>
            <w:pPr>
              <w:jc w:val="right"/>
              <w:spacing w:after="0"/>
              <w:rPr>
                <w:sz w:val="20"/>
                <w:szCs w:val="20"/>
                <w:color w:val="auto"/>
              </w:rPr>
            </w:pPr>
            <w:r>
              <w:rPr>
                <w:rFonts w:ascii="Arial" w:cs="Arial" w:eastAsia="Arial" w:hAnsi="Arial"/>
                <w:sz w:val="17"/>
                <w:szCs w:val="17"/>
                <w:color w:val="auto"/>
                <w:w w:val="99"/>
              </w:rPr>
              <w:t>, based on an assumed initial public</w:t>
            </w:r>
          </w:p>
        </w:tc>
      </w:tr>
      <w:tr>
        <w:trPr>
          <w:trHeight w:val="216"/>
        </w:trPr>
        <w:tc>
          <w:tcPr>
            <w:tcW w:w="1620" w:type="dxa"/>
            <w:vAlign w:val="bottom"/>
            <w:gridSpan w:val="2"/>
          </w:tcPr>
          <w:p>
            <w:pPr>
              <w:spacing w:after="0"/>
              <w:rPr>
                <w:sz w:val="20"/>
                <w:szCs w:val="20"/>
                <w:color w:val="auto"/>
              </w:rPr>
            </w:pPr>
            <w:r>
              <w:rPr>
                <w:rFonts w:ascii="Arial" w:cs="Arial" w:eastAsia="Arial" w:hAnsi="Arial"/>
                <w:sz w:val="17"/>
                <w:szCs w:val="17"/>
                <w:color w:val="auto"/>
              </w:rPr>
              <w:t>offering price of $</w:t>
            </w:r>
          </w:p>
        </w:tc>
        <w:tc>
          <w:tcPr>
            <w:tcW w:w="9800" w:type="dxa"/>
            <w:vAlign w:val="bottom"/>
            <w:gridSpan w:val="2"/>
          </w:tcPr>
          <w:p>
            <w:pPr>
              <w:jc w:val="right"/>
              <w:spacing w:after="0"/>
              <w:rPr>
                <w:sz w:val="20"/>
                <w:szCs w:val="20"/>
                <w:color w:val="auto"/>
              </w:rPr>
            </w:pPr>
            <w:r>
              <w:rPr>
                <w:rFonts w:ascii="Arial" w:cs="Arial" w:eastAsia="Arial" w:hAnsi="Arial"/>
                <w:sz w:val="17"/>
                <w:szCs w:val="17"/>
                <w:color w:val="auto"/>
                <w:w w:val="96"/>
              </w:rPr>
              <w:t>per share, the midpoint of the price range set forth on the cover page of this prospectus, and after deducting the estimated underwriting</w:t>
            </w:r>
          </w:p>
        </w:tc>
      </w:tr>
    </w:tbl>
    <w:p>
      <w:pPr>
        <w:spacing w:after="0"/>
        <w:rPr>
          <w:sz w:val="20"/>
          <w:szCs w:val="20"/>
          <w:color w:val="auto"/>
        </w:rPr>
      </w:pPr>
      <w:r>
        <w:rPr>
          <w:rFonts w:ascii="Arial" w:cs="Arial" w:eastAsia="Arial" w:hAnsi="Arial"/>
          <w:sz w:val="15"/>
          <w:szCs w:val="15"/>
          <w:color w:val="auto"/>
        </w:rPr>
        <w:t>discounts and commissions and estimated offering expenses payable by us. If the underwriters' over-allotment option to purchase additional shares from us is exercised</w:t>
      </w: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full, we estimate that our net proceeds will be approximately $ . A $1.00 increase (decrease) in the assumed initial public offering price of $ per share, the midpoint of the price range set forth on the cover page of this prospectus, would increase (decrease) the estimated net proceeds to us by $ million, assuming</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1.0 million shares in the number of shares offered by us would increase (decrease) the net proceeds to us by $ million, assuming a price of $ per share, the midpoint of the price range set forth on the cover page of this prospectus, and after deducting the estimated underwriting discounts and commissions and estimated offering expenses payable by us.</w:t>
      </w:r>
    </w:p>
    <w:p>
      <w:pPr>
        <w:spacing w:after="0" w:line="183"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We currently intend to use the net proceeds received by us from this offering for working capital and general corporate purposes, including continued investments in research and development and in the growth of our business. In addition, we may use a portion of the net proceeds received by us from this offering for acquisitions of complementary businesses, technologies or other assets. We have no agreements with respect to any material acquisitions at this time, and we have not allocated specific amounts of net proceeds for any of these purposes.</w:t>
      </w:r>
    </w:p>
    <w:p>
      <w:pPr>
        <w:spacing w:after="0" w:line="18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7"/>
          <w:szCs w:val="17"/>
          <w:color w:val="auto"/>
        </w:rPr>
        <w:t>We cannot specify with certainty the particular amounts or uses for the net proceeds to be received by us from this offering. Accordingly, our management will have broad discretion in using the net proceeds to be received by us from this offering.</w:t>
      </w:r>
    </w:p>
    <w:p>
      <w:pPr>
        <w:spacing w:after="0" w:line="170"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Pending the use of proceeds from this offering as described above, we plan to invest the net proceeds in short- and intermediate-term, interest-bearing obligations, investment-grade instruments, certificates of deposit or direct or guaranteed obligations of the U.S. government.</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cash equivalents and capitalization as of June 30, 2013, as follows:</w:t>
      </w:r>
    </w:p>
    <w:p>
      <w:pPr>
        <w:spacing w:after="0" w:line="237"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prior to the completion of this offering; and</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common stock in this offering at a price of $ per share, the midpoint of the price range set forth on the cover page of this prospectus, and after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454"/>
        <w:spacing w:after="0" w:line="282" w:lineRule="auto"/>
        <w:rPr>
          <w:sz w:val="20"/>
          <w:szCs w:val="20"/>
          <w:color w:val="auto"/>
        </w:rPr>
      </w:pPr>
      <w:r>
        <w:rPr>
          <w:rFonts w:ascii="Arial" w:cs="Arial" w:eastAsia="Arial" w:hAnsi="Arial"/>
          <w:sz w:val="17"/>
          <w:szCs w:val="17"/>
          <w:color w:val="auto"/>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gridSpan w:val="6"/>
          </w:tcPr>
          <w:p>
            <w:pPr>
              <w:jc w:val="center"/>
              <w:ind w:right="2120"/>
              <w:spacing w:after="0"/>
              <w:rPr>
                <w:sz w:val="20"/>
                <w:szCs w:val="20"/>
                <w:color w:val="auto"/>
              </w:rPr>
            </w:pPr>
            <w:r>
              <w:rPr>
                <w:rFonts w:ascii="Arial" w:cs="Arial" w:eastAsia="Arial" w:hAnsi="Arial"/>
                <w:sz w:val="13"/>
                <w:szCs w:val="13"/>
                <w:b w:val="1"/>
                <w:bCs w:val="1"/>
                <w:color w:val="auto"/>
                <w:w w:val="91"/>
              </w:rPr>
              <w:t>As of June 30, 2013</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Pro Forma as</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Pro Forma</w:t>
            </w:r>
          </w:p>
        </w:tc>
        <w:tc>
          <w:tcPr>
            <w:tcW w:w="2240" w:type="dxa"/>
            <w:vAlign w:val="bottom"/>
            <w:gridSpan w:val="3"/>
          </w:tcPr>
          <w:p>
            <w:pPr>
              <w:jc w:val="center"/>
              <w:ind w:right="1260"/>
              <w:spacing w:after="0"/>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w w:val="80"/>
              </w:rPr>
              <w:t>(In thousands,</w:t>
            </w: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w w:val="93"/>
              </w:rPr>
              <w:t>except share</w:t>
            </w:r>
          </w:p>
        </w:tc>
        <w:tc>
          <w:tcPr>
            <w:tcW w:w="180" w:type="dxa"/>
            <w:vAlign w:val="bottom"/>
          </w:tcPr>
          <w:p>
            <w:pPr>
              <w:spacing w:after="0" w:line="125" w:lineRule="exact"/>
              <w:rPr>
                <w:sz w:val="20"/>
                <w:szCs w:val="20"/>
                <w:color w:val="auto"/>
              </w:rPr>
            </w:pPr>
            <w:r>
              <w:rPr>
                <w:rFonts w:ascii="Arial" w:cs="Arial" w:eastAsia="Arial" w:hAnsi="Arial"/>
                <w:sz w:val="12"/>
                <w:szCs w:val="12"/>
                <w:b w:val="1"/>
                <w:bCs w:val="1"/>
                <w:color w:val="auto"/>
                <w:w w:val="74"/>
              </w:rPr>
              <w:t>and</w:t>
            </w:r>
          </w:p>
        </w:tc>
        <w:tc>
          <w:tcPr>
            <w:tcW w:w="96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3"/>
                <w:szCs w:val="13"/>
                <w:b w:val="1"/>
                <w:bCs w:val="1"/>
                <w:color w:val="auto"/>
                <w:w w:val="98"/>
              </w:rPr>
              <w:t>per share data)</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(Unaudited)</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20,683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20"/>
              <w:spacing w:after="0"/>
              <w:rPr>
                <w:sz w:val="20"/>
                <w:szCs w:val="20"/>
                <w:color w:val="auto"/>
              </w:rPr>
            </w:pPr>
            <w:r>
              <w:rPr>
                <w:rFonts w:ascii="Arial" w:cs="Arial" w:eastAsia="Arial" w:hAnsi="Arial"/>
                <w:sz w:val="17"/>
                <w:szCs w:val="17"/>
                <w:color w:val="auto"/>
              </w:rPr>
              <w:t>Long-term debt, net of discount</w:t>
            </w: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warrant liability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20"/>
              <w:spacing w:after="0"/>
              <w:rPr>
                <w:sz w:val="20"/>
                <w:szCs w:val="20"/>
                <w:color w:val="auto"/>
              </w:rPr>
            </w:pPr>
            <w:r>
              <w:rPr>
                <w:rFonts w:ascii="Arial" w:cs="Arial" w:eastAsia="Arial" w:hAnsi="Arial"/>
                <w:sz w:val="17"/>
                <w:szCs w:val="17"/>
                <w:color w:val="auto"/>
                <w:w w:val="95"/>
              </w:rPr>
              <w:t>Convertible preferred stock, par value $0.001 per share: 60,187,700 shares authorized,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rPr>
              <w:t>59,989,268 issued and outstanding, actual; no shares authorized, issued or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w w:val="91"/>
              </w:rPr>
              <w:t>outstanding, pro forma and 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79,025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w w:val="94"/>
              </w:rPr>
              <w:t>Common stock, par value $0.001 per share: 77,000,000 shares authorized, 3,714,902</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actual;</w:t>
            </w:r>
          </w:p>
        </w:tc>
        <w:tc>
          <w:tcPr>
            <w:tcW w:w="2680" w:type="dxa"/>
            <w:vAlign w:val="bottom"/>
            <w:gridSpan w:val="3"/>
          </w:tcPr>
          <w:p>
            <w:pPr>
              <w:jc w:val="right"/>
              <w:ind w:right="405"/>
              <w:spacing w:after="0"/>
              <w:rPr>
                <w:sz w:val="20"/>
                <w:szCs w:val="20"/>
                <w:color w:val="auto"/>
              </w:rPr>
            </w:pPr>
            <w:r>
              <w:rPr>
                <w:rFonts w:ascii="Arial" w:cs="Arial" w:eastAsia="Arial" w:hAnsi="Arial"/>
                <w:sz w:val="17"/>
                <w:szCs w:val="17"/>
                <w:color w:val="auto"/>
                <w:w w:val="94"/>
              </w:rPr>
              <w:t>shares authorized, 63,704,170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pro forma;</w:t>
            </w:r>
          </w:p>
        </w:tc>
        <w:tc>
          <w:tcPr>
            <w:tcW w:w="2680" w:type="dxa"/>
            <w:vAlign w:val="bottom"/>
            <w:gridSpan w:val="3"/>
          </w:tcPr>
          <w:p>
            <w:pPr>
              <w:jc w:val="right"/>
              <w:ind w:right="465"/>
              <w:spacing w:after="0"/>
              <w:rPr>
                <w:sz w:val="20"/>
                <w:szCs w:val="20"/>
                <w:color w:val="auto"/>
              </w:rPr>
            </w:pPr>
            <w:r>
              <w:rPr>
                <w:rFonts w:ascii="Arial" w:cs="Arial" w:eastAsia="Arial" w:hAnsi="Arial"/>
                <w:sz w:val="17"/>
                <w:szCs w:val="17"/>
                <w:color w:val="auto"/>
                <w:w w:val="90"/>
              </w:rPr>
              <w:t>shares issued and outstanding,</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7"/>
                <w:szCs w:val="17"/>
                <w:color w:val="auto"/>
              </w:rPr>
              <w:t>(73,455)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(deficit) equity</w:t>
            </w:r>
          </w:p>
        </w:tc>
        <w:tc>
          <w:tcPr>
            <w:tcW w:w="1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(70,788)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540"/>
              <w:spacing w:after="0"/>
              <w:rPr>
                <w:sz w:val="20"/>
                <w:szCs w:val="20"/>
                <w:color w:val="auto"/>
              </w:rPr>
            </w:pPr>
            <w:r>
              <w:rPr>
                <w:rFonts w:ascii="Arial" w:cs="Arial" w:eastAsia="Arial" w:hAnsi="Arial"/>
                <w:sz w:val="17"/>
                <w:szCs w:val="17"/>
                <w:color w:val="auto"/>
              </w:rPr>
              <w:t>Total capitalization</w:t>
            </w:r>
          </w:p>
        </w:tc>
        <w:tc>
          <w:tcPr>
            <w:tcW w:w="1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500" w:type="dxa"/>
            <w:vAlign w:val="bottom"/>
            <w:gridSpan w:val="3"/>
          </w:tcPr>
          <w:p>
            <w:pPr>
              <w:spacing w:after="0"/>
              <w:rPr>
                <w:sz w:val="20"/>
                <w:szCs w:val="20"/>
                <w:color w:val="auto"/>
              </w:rPr>
            </w:pPr>
            <w:r>
              <w:rPr>
                <w:rFonts w:ascii="Arial" w:cs="Arial" w:eastAsia="Arial" w:hAnsi="Arial"/>
                <w:sz w:val="17"/>
                <w:szCs w:val="17"/>
                <w:color w:val="auto"/>
                <w:w w:val="97"/>
              </w:rPr>
              <w:t>A $1.00 increase (decrease) in the assumed initial public offering price of $</w:t>
            </w:r>
          </w:p>
        </w:tc>
        <w:tc>
          <w:tcPr>
            <w:tcW w:w="5520" w:type="dxa"/>
            <w:vAlign w:val="bottom"/>
            <w:gridSpan w:val="11"/>
          </w:tcPr>
          <w:p>
            <w:pPr>
              <w:ind w:left="300"/>
              <w:spacing w:after="0"/>
              <w:rPr>
                <w:sz w:val="20"/>
                <w:szCs w:val="20"/>
                <w:color w:val="auto"/>
              </w:rPr>
            </w:pPr>
            <w:r>
              <w:rPr>
                <w:rFonts w:ascii="Arial" w:cs="Arial" w:eastAsia="Arial" w:hAnsi="Arial"/>
                <w:sz w:val="17"/>
                <w:szCs w:val="17"/>
                <w:color w:val="auto"/>
                <w:w w:val="91"/>
              </w:rPr>
              <w:t>per share, the midpoint of the price range set forth on the cover page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prospectus, would increase (decrease) each of cash and cash equivalents, additional paid-in capital, total capitalization and total stockholders' (deficit) equity by</w:t>
      </w:r>
    </w:p>
    <w:p>
      <w:pPr>
        <w:spacing w:after="0" w:line="26" w:lineRule="exact"/>
        <w:rPr>
          <w:sz w:val="20"/>
          <w:szCs w:val="20"/>
          <w:color w:val="auto"/>
        </w:rPr>
      </w:pPr>
    </w:p>
    <w:p>
      <w:pPr>
        <w:jc w:val="both"/>
        <w:ind w:firstLine="5"/>
        <w:spacing w:after="0" w:line="291" w:lineRule="auto"/>
        <w:tabs>
          <w:tab w:leader="none" w:pos="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 estimated underwriting discounts and commissions and estimated offering expenses payable by us. Each increase (decrease) of 1.0 million shares in the number of shares offered by us would increase (decrease) cash and cash equivalents, additional paid-in capital, total capitalization and total stockholders' (deficit) equity by</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approximately $ million, assuming an initial public offering price of $ per share, the midpoint of the price range set forth on the cover page of this prospectus, and after deducting the estimated underwriting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If the underwriters' over-allotment option were exercised in full, pro forma as adjusted cash and cash equivalents, common stock, additional paid-in capital, total</w:t>
      </w:r>
    </w:p>
    <w:p>
      <w:pPr>
        <w:spacing w:after="0" w:line="43" w:lineRule="exact"/>
        <w:rPr>
          <w:sz w:val="20"/>
          <w:szCs w:val="20"/>
          <w:color w:val="auto"/>
        </w:rPr>
      </w:pPr>
    </w:p>
    <w:p>
      <w:pPr>
        <w:spacing w:after="0"/>
        <w:tabs>
          <w:tab w:leader="none" w:pos="6380" w:val="left"/>
          <w:tab w:leader="none" w:pos="7060" w:val="left"/>
          <w:tab w:leader="none" w:pos="7740" w:val="left"/>
          <w:tab w:leader="none" w:pos="8420" w:val="left"/>
          <w:tab w:leader="none" w:pos="9180" w:val="left"/>
        </w:tabs>
        <w:rPr>
          <w:sz w:val="20"/>
          <w:szCs w:val="20"/>
          <w:color w:val="auto"/>
        </w:rPr>
      </w:pPr>
      <w:r>
        <w:rPr>
          <w:rFonts w:ascii="Arial" w:cs="Arial" w:eastAsia="Arial" w:hAnsi="Arial"/>
          <w:sz w:val="17"/>
          <w:szCs w:val="17"/>
          <w:color w:val="auto"/>
        </w:rPr>
        <w:t>stockholders' deficit and shares issued and outstanding as of June 30, 2013 would be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 respectively.</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common stock in the table above excludes:</w:t>
      </w:r>
    </w:p>
    <w:p>
      <w:pPr>
        <w:spacing w:after="0" w:line="237" w:lineRule="exact"/>
        <w:rPr>
          <w:sz w:val="20"/>
          <w:szCs w:val="20"/>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$0.70 per share;</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shares of common stock upon conversion of our Series C preferred stock into common stock immediately prior to the completion of this offering, with an exercise price of $1.89 per share; and</w:t>
      </w:r>
    </w:p>
    <w:p>
      <w:pPr>
        <w:spacing w:after="0" w:line="179" w:lineRule="exact"/>
        <w:rPr>
          <w:sz w:val="20"/>
          <w:szCs w:val="20"/>
          <w:color w:val="auto"/>
        </w:rPr>
      </w:pPr>
    </w:p>
    <w:p>
      <w:pPr>
        <w:ind w:left="1060" w:hanging="539"/>
        <w:spacing w:after="0" w:line="315" w:lineRule="auto"/>
        <w:tabs>
          <w:tab w:leader="none" w:pos="1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574,821 shares of common stock reserved for future issuance under our 2008 Stock Plan and shares of common stock, subject to increase on an annual basis, reserved for future issuance under our 2013 Stock Incentive Plan, which will become effective in connection with this offering.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ind w:firstLine="377"/>
        <w:spacing w:after="0" w:line="315"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common stock</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outstanding. Our historical net tangible book value (deficit) as of June 30, 2013, was $ , or $ per share of common stock. Our pro forma net tangible book value (deficit) as of June 30, 2013, was $ , or $ per share of common stock, based on the total number of shares of our common stock outstanding as of June 30, 2013, after giving effect to the conversion of all outstanding shares of our convertible preferred stock into common stock.</w:t>
      </w:r>
    </w:p>
    <w:p>
      <w:pPr>
        <w:spacing w:after="0" w:line="183" w:lineRule="exact"/>
        <w:rPr>
          <w:sz w:val="20"/>
          <w:szCs w:val="20"/>
          <w:color w:val="auto"/>
        </w:rPr>
      </w:pPr>
    </w:p>
    <w:p>
      <w:pPr>
        <w:ind w:left="360"/>
        <w:spacing w:after="0"/>
        <w:tabs>
          <w:tab w:leader="none" w:pos="9380" w:val="left"/>
        </w:tabs>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w:t>
      </w:r>
      <w:r>
        <w:rPr>
          <w:sz w:val="20"/>
          <w:szCs w:val="20"/>
          <w:color w:val="auto"/>
        </w:rPr>
        <w:tab/>
      </w:r>
      <w:r>
        <w:rPr>
          <w:rFonts w:ascii="Arial" w:cs="Arial" w:eastAsia="Arial" w:hAnsi="Arial"/>
          <w:sz w:val="15"/>
          <w:szCs w:val="15"/>
          <w:color w:val="auto"/>
        </w:rPr>
        <w:t>per share, the midpoint of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price range set forth on the cover page of this prospectus, and after deducting the estimated underwriting discounts and commissions and estimated offering expenses</w:t>
      </w:r>
    </w:p>
    <w:p>
      <w:pPr>
        <w:spacing w:after="0" w:line="3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payable by us, our pro forma as adjusted net tangible book value as of June 30, 2013 would have been $ , or $ per share. This represents an immediate increase in pro forma net tangible book value of $ per share to existing stockholders and an immediate dilution in net tangible book value of</w:t>
      </w:r>
    </w:p>
    <w:p>
      <w:pPr>
        <w:ind w:left="780" w:hanging="775"/>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 share to purchasers of common stock in this offering, as illustrated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0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Arial" w:cs="Arial" w:eastAsia="Arial" w:hAnsi="Arial"/>
                <w:sz w:val="17"/>
                <w:szCs w:val="17"/>
                <w:color w:val="auto"/>
              </w:rPr>
              <w:t>Pro forma net tangible book value (deficit) per share as of June 30, 2013</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Increase in pro forma net tangible book value (deficit) per share attributable to new</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investors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860" w:type="dxa"/>
            <w:vAlign w:val="bottom"/>
            <w:gridSpan w:val="3"/>
            <w:vMerge w:val="restart"/>
          </w:tcPr>
          <w:p>
            <w:pPr>
              <w:ind w:left="1720"/>
              <w:spacing w:after="0"/>
              <w:rPr>
                <w:sz w:val="20"/>
                <w:szCs w:val="20"/>
                <w:color w:val="auto"/>
              </w:rPr>
            </w:pPr>
            <w:r>
              <w:rPr>
                <w:rFonts w:ascii="Arial" w:cs="Arial" w:eastAsia="Arial" w:hAnsi="Arial"/>
                <w:sz w:val="17"/>
                <w:szCs w:val="17"/>
                <w:color w:val="auto"/>
                <w:w w:val="99"/>
              </w:rPr>
              <w:t>Pro forma as adjusted net tangible book value (deficit) per share after this offering</w:t>
            </w:r>
          </w:p>
        </w:tc>
        <w:tc>
          <w:tcPr>
            <w:tcW w:w="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w w:val="94"/>
              </w:rPr>
              <w:t>Dilution per share to investors participating in this offering</w:t>
            </w:r>
          </w:p>
        </w:tc>
        <w:tc>
          <w:tcPr>
            <w:tcW w:w="20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40" w:type="dxa"/>
            <w:vAlign w:val="bottom"/>
            <w:gridSpan w:val="2"/>
          </w:tcPr>
          <w:p>
            <w:pPr>
              <w:spacing w:after="0"/>
              <w:rPr>
                <w:sz w:val="2"/>
                <w:szCs w:val="2"/>
                <w:color w:val="auto"/>
              </w:rPr>
            </w:pPr>
          </w:p>
        </w:tc>
        <w:tc>
          <w:tcPr>
            <w:tcW w:w="310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840" w:type="dxa"/>
            <w:vAlign w:val="bottom"/>
            <w:gridSpan w:val="2"/>
          </w:tcPr>
          <w:p>
            <w:pPr>
              <w:ind w:left="400"/>
              <w:spacing w:after="0"/>
              <w:rPr>
                <w:sz w:val="20"/>
                <w:szCs w:val="20"/>
                <w:color w:val="auto"/>
              </w:rPr>
            </w:pPr>
            <w:r>
              <w:rPr>
                <w:rFonts w:ascii="Arial" w:cs="Arial" w:eastAsia="Arial" w:hAnsi="Arial"/>
                <w:sz w:val="17"/>
                <w:szCs w:val="17"/>
                <w:color w:val="auto"/>
                <w:w w:val="99"/>
              </w:rPr>
              <w:t>Each $1.00 increase (decrease) in the assumed public offering price of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7"/>
              </w:rPr>
              <w:t>per share, the midpoint of the price range set forth on the cover page of this</w:t>
            </w:r>
          </w:p>
        </w:tc>
        <w:tc>
          <w:tcPr>
            <w:tcW w:w="0" w:type="dxa"/>
            <w:vAlign w:val="bottom"/>
          </w:tcPr>
          <w:p>
            <w:pPr>
              <w:spacing w:after="0"/>
              <w:rPr>
                <w:sz w:val="1"/>
                <w:szCs w:val="1"/>
                <w:color w:val="auto"/>
              </w:rPr>
            </w:pPr>
          </w:p>
        </w:tc>
      </w:tr>
      <w:tr>
        <w:trPr>
          <w:trHeight w:val="210"/>
        </w:trPr>
        <w:tc>
          <w:tcPr>
            <w:tcW w:w="7860" w:type="dxa"/>
            <w:vAlign w:val="bottom"/>
            <w:gridSpan w:val="3"/>
          </w:tcPr>
          <w:p>
            <w:pPr>
              <w:spacing w:after="0"/>
              <w:rPr>
                <w:sz w:val="20"/>
                <w:szCs w:val="20"/>
                <w:color w:val="auto"/>
              </w:rPr>
            </w:pPr>
            <w:r>
              <w:rPr>
                <w:rFonts w:ascii="Arial" w:cs="Arial" w:eastAsia="Arial" w:hAnsi="Arial"/>
                <w:sz w:val="17"/>
                <w:szCs w:val="17"/>
                <w:color w:val="auto"/>
                <w:w w:val="95"/>
              </w:rPr>
              <w:t>prospectus, would increase (decrease) our pro forma as adjusted net tangible book value by approximately $</w:t>
            </w:r>
          </w:p>
        </w:tc>
        <w:tc>
          <w:tcPr>
            <w:tcW w:w="2540" w:type="dxa"/>
            <w:vAlign w:val="bottom"/>
            <w:gridSpan w:val="6"/>
          </w:tcPr>
          <w:p>
            <w:pPr>
              <w:ind w:left="300"/>
              <w:spacing w:after="0"/>
              <w:rPr>
                <w:sz w:val="20"/>
                <w:szCs w:val="20"/>
                <w:color w:val="auto"/>
              </w:rPr>
            </w:pPr>
            <w:r>
              <w:rPr>
                <w:rFonts w:ascii="Arial" w:cs="Arial" w:eastAsia="Arial" w:hAnsi="Arial"/>
                <w:sz w:val="17"/>
                <w:szCs w:val="17"/>
                <w:color w:val="auto"/>
              </w:rPr>
              <w:t>million, or approximately $</w:t>
            </w:r>
          </w:p>
        </w:tc>
        <w:tc>
          <w:tcPr>
            <w:tcW w:w="1020" w:type="dxa"/>
            <w:vAlign w:val="bottom"/>
          </w:tcPr>
          <w:p>
            <w:pPr>
              <w:jc w:val="right"/>
              <w:spacing w:after="0"/>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7"/>
                <w:szCs w:val="17"/>
                <w:color w:val="auto"/>
              </w:rPr>
              <w:t>and the dilution per share to investors in this offering by approximately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2"/>
              </w:rPr>
              <w:t>per share, assuming that the number of shares offered by us, as set forth on the</w:t>
            </w:r>
          </w:p>
        </w:tc>
        <w:tc>
          <w:tcPr>
            <w:tcW w:w="0" w:type="dxa"/>
            <w:vAlign w:val="bottom"/>
          </w:tcPr>
          <w:p>
            <w:pPr>
              <w:spacing w:after="0"/>
              <w:rPr>
                <w:sz w:val="1"/>
                <w:szCs w:val="1"/>
                <w:color w:val="auto"/>
              </w:rPr>
            </w:pPr>
          </w:p>
        </w:tc>
      </w:tr>
    </w:tbl>
    <w:p>
      <w:pPr>
        <w:jc w:val="both"/>
        <w:spacing w:after="0" w:line="432" w:lineRule="auto"/>
        <w:rPr>
          <w:sz w:val="20"/>
          <w:szCs w:val="20"/>
          <w:color w:val="auto"/>
        </w:rPr>
      </w:pPr>
      <w:r>
        <w:rPr>
          <w:rFonts w:ascii="Arial" w:cs="Arial" w:eastAsia="Arial" w:hAnsi="Arial"/>
          <w:sz w:val="15"/>
          <w:szCs w:val="15"/>
          <w:color w:val="auto"/>
        </w:rPr>
        <w:t>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(decrease) our pro forma as adjusted net tangible book value by approximately $ million, or approximately $ per share, and the pro forma dilution per share to investors in this offering by approximately $ per share, assuming an initial public offering price of $ per share, the midpoint of the price</w:t>
      </w:r>
    </w:p>
    <w:p>
      <w:pPr>
        <w:jc w:val="both"/>
        <w:spacing w:after="0" w:line="266" w:lineRule="auto"/>
        <w:rPr>
          <w:sz w:val="20"/>
          <w:szCs w:val="20"/>
          <w:color w:val="auto"/>
        </w:rPr>
      </w:pPr>
      <w:r>
        <w:rPr>
          <w:rFonts w:ascii="Arial" w:cs="Arial" w:eastAsia="Arial" w:hAnsi="Arial"/>
          <w:sz w:val="17"/>
          <w:szCs w:val="17"/>
          <w:color w:val="auto"/>
        </w:rPr>
        <w:t>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the underwriters' over-allotment option to purchase additional shares is exercised in full, the pro forma as adjusted net tangible book value per share after this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Arial" w:cs="Arial" w:eastAsia="Arial" w:hAnsi="Arial"/>
                <w:sz w:val="17"/>
                <w:szCs w:val="17"/>
                <w:color w:val="auto"/>
              </w:rPr>
              <w:t>offering would be $</w:t>
            </w:r>
          </w:p>
        </w:tc>
        <w:tc>
          <w:tcPr>
            <w:tcW w:w="8720" w:type="dxa"/>
            <w:vAlign w:val="bottom"/>
            <w:gridSpan w:val="2"/>
          </w:tcPr>
          <w:p>
            <w:pPr>
              <w:jc w:val="right"/>
              <w:ind w:right="275"/>
              <w:spacing w:after="0"/>
              <w:rPr>
                <w:sz w:val="20"/>
                <w:szCs w:val="20"/>
                <w:color w:val="auto"/>
              </w:rPr>
            </w:pPr>
            <w:r>
              <w:rPr>
                <w:rFonts w:ascii="Arial" w:cs="Arial" w:eastAsia="Arial" w:hAnsi="Arial"/>
                <w:sz w:val="17"/>
                <w:szCs w:val="17"/>
                <w:color w:val="auto"/>
                <w:w w:val="94"/>
              </w:rPr>
              <w:t>per share, the increase in pro forma as adjusted net tangible book value per share to existing stockholders would be $</w:t>
            </w:r>
          </w:p>
        </w:tc>
        <w:tc>
          <w:tcPr>
            <w:tcW w:w="980" w:type="dxa"/>
            <w:vAlign w:val="bottom"/>
          </w:tcPr>
          <w:p>
            <w:pPr>
              <w:ind w:left="360"/>
              <w:spacing w:after="0"/>
              <w:rPr>
                <w:sz w:val="20"/>
                <w:szCs w:val="20"/>
                <w:color w:val="auto"/>
              </w:rPr>
            </w:pPr>
            <w:r>
              <w:rPr>
                <w:rFonts w:ascii="Arial" w:cs="Arial" w:eastAsia="Arial" w:hAnsi="Arial"/>
                <w:sz w:val="17"/>
                <w:szCs w:val="17"/>
                <w:color w:val="auto"/>
                <w:w w:val="83"/>
              </w:rPr>
              <w:t>per share</w:t>
            </w:r>
          </w:p>
        </w:tc>
      </w:tr>
      <w:tr>
        <w:trPr>
          <w:trHeight w:val="216"/>
        </w:trPr>
        <w:tc>
          <w:tcPr>
            <w:tcW w:w="5480" w:type="dxa"/>
            <w:vAlign w:val="bottom"/>
            <w:gridSpan w:val="2"/>
          </w:tcPr>
          <w:p>
            <w:pPr>
              <w:spacing w:after="0"/>
              <w:rPr>
                <w:sz w:val="20"/>
                <w:szCs w:val="20"/>
                <w:color w:val="auto"/>
              </w:rPr>
            </w:pPr>
            <w:r>
              <w:rPr>
                <w:rFonts w:ascii="Arial" w:cs="Arial" w:eastAsia="Arial" w:hAnsi="Arial"/>
                <w:sz w:val="17"/>
                <w:szCs w:val="17"/>
                <w:color w:val="auto"/>
                <w:w w:val="93"/>
              </w:rPr>
              <w:t>and the dilution to new investors purchasing shares in this offering would be $</w:t>
            </w:r>
          </w:p>
        </w:tc>
        <w:tc>
          <w:tcPr>
            <w:tcW w:w="4960" w:type="dxa"/>
            <w:vAlign w:val="bottom"/>
          </w:tcPr>
          <w:p>
            <w:pPr>
              <w:jc w:val="right"/>
              <w:ind w:right="3675"/>
              <w:spacing w:after="0"/>
              <w:rPr>
                <w:sz w:val="20"/>
                <w:szCs w:val="20"/>
                <w:color w:val="auto"/>
              </w:rPr>
            </w:pPr>
            <w:r>
              <w:rPr>
                <w:rFonts w:ascii="Arial" w:cs="Arial" w:eastAsia="Arial" w:hAnsi="Arial"/>
                <w:sz w:val="17"/>
                <w:szCs w:val="17"/>
                <w:color w:val="auto"/>
              </w:rPr>
              <w:t>per share.</w:t>
            </w:r>
          </w:p>
        </w:tc>
        <w:tc>
          <w:tcPr>
            <w:tcW w:w="980" w:type="dxa"/>
            <w:vAlign w:val="bottom"/>
          </w:tcPr>
          <w:p>
            <w:pPr>
              <w:spacing w:after="0"/>
              <w:rPr>
                <w:sz w:val="18"/>
                <w:szCs w:val="18"/>
                <w:color w:val="auto"/>
              </w:rPr>
            </w:pPr>
          </w:p>
        </w:tc>
      </w:tr>
      <w:tr>
        <w:trPr>
          <w:trHeight w:val="419"/>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60" w:type="dxa"/>
            <w:vAlign w:val="bottom"/>
          </w:tcPr>
          <w:p>
            <w:pPr>
              <w:jc w:val="right"/>
              <w:ind w:right="4555"/>
              <w:spacing w:after="0"/>
              <w:rPr>
                <w:sz w:val="20"/>
                <w:szCs w:val="20"/>
                <w:color w:val="auto"/>
              </w:rPr>
            </w:pPr>
            <w:r>
              <w:rPr>
                <w:rFonts w:ascii="Arial" w:cs="Arial" w:eastAsia="Arial" w:hAnsi="Arial"/>
                <w:sz w:val="17"/>
                <w:szCs w:val="17"/>
                <w:color w:val="auto"/>
              </w:rPr>
              <w:t>36</w:t>
            </w:r>
          </w:p>
        </w:tc>
        <w:tc>
          <w:tcPr>
            <w:tcW w:w="98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69"/>
        <w:spacing w:after="0" w:line="296" w:lineRule="auto"/>
        <w:rPr>
          <w:sz w:val="20"/>
          <w:szCs w:val="20"/>
          <w:color w:val="auto"/>
        </w:rPr>
      </w:pPr>
      <w:r>
        <w:rPr>
          <w:rFonts w:ascii="Arial" w:cs="Arial" w:eastAsia="Arial" w:hAnsi="Arial"/>
          <w:sz w:val="15"/>
          <w:szCs w:val="15"/>
          <w:color w:val="auto"/>
        </w:rPr>
        <w:t>The following table presents, on a pro forma as adjusted basis as of June 30, 2013, the differences between existing stockholders and purchasers of shares in this offering with respect to the number of shares purchased from us, the total consideration paid or to be paid and the average price paid per share assuming with respect</w:t>
      </w:r>
    </w:p>
    <w:p>
      <w:pPr>
        <w:spacing w:after="0" w:line="275" w:lineRule="auto"/>
        <w:rPr>
          <w:sz w:val="20"/>
          <w:szCs w:val="20"/>
          <w:color w:val="auto"/>
        </w:rPr>
      </w:pPr>
      <w:r>
        <w:rPr>
          <w:rFonts w:ascii="Arial" w:cs="Arial" w:eastAsia="Arial" w:hAnsi="Arial"/>
          <w:sz w:val="17"/>
          <w:szCs w:val="17"/>
          <w:color w:val="auto"/>
        </w:rPr>
        <w:t>to the purchasers of shares in this offering an initial public offering price of $ per share, the midpoint of the price range on the cover of this prospectus before deducting estimated underwriting discounts and commissions and estimated expenses payable by us: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900" w:type="dxa"/>
            <w:vAlign w:val="bottom"/>
            <w:gridSpan w:val="6"/>
            <w:vMerge w:val="restart"/>
          </w:tcPr>
          <w:p>
            <w:pPr>
              <w:jc w:val="right"/>
              <w:ind w:right="780"/>
              <w:spacing w:after="0"/>
              <w:rPr>
                <w:sz w:val="20"/>
                <w:szCs w:val="20"/>
                <w:color w:val="auto"/>
              </w:rPr>
            </w:pPr>
            <w:r>
              <w:rPr>
                <w:rFonts w:ascii="Arial" w:cs="Arial" w:eastAsia="Arial" w:hAnsi="Arial"/>
                <w:sz w:val="13"/>
                <w:szCs w:val="13"/>
                <w:b w:val="1"/>
                <w:bCs w:val="1"/>
                <w:color w:val="auto"/>
              </w:rPr>
              <w:t>Total Shares</w:t>
            </w:r>
          </w:p>
        </w:tc>
        <w:tc>
          <w:tcPr>
            <w:tcW w:w="1580" w:type="dxa"/>
            <w:vAlign w:val="bottom"/>
            <w:gridSpan w:val="3"/>
            <w:vMerge w:val="restart"/>
          </w:tcPr>
          <w:p>
            <w:pPr>
              <w:jc w:val="right"/>
              <w:ind w:right="254"/>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3"/>
                <w:szCs w:val="13"/>
                <w:color w:val="auto"/>
              </w:rPr>
            </w:pPr>
          </w:p>
        </w:tc>
        <w:tc>
          <w:tcPr>
            <w:tcW w:w="202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restart"/>
          </w:tcPr>
          <w:p>
            <w:pPr>
              <w:jc w:val="center"/>
              <w:ind w:right="1280"/>
              <w:spacing w:after="0" w:line="144"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89"/>
              </w:rPr>
              <w:t>Number</w:t>
            </w: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 Share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Existing stockholders before this offering</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54"/>
              <w:spacing w:after="0"/>
              <w:rPr>
                <w:sz w:val="20"/>
                <w:szCs w:val="20"/>
                <w:color w:val="auto"/>
              </w:rPr>
            </w:pPr>
            <w:r>
              <w:rPr>
                <w:rFonts w:ascii="Arial" w:cs="Arial" w:eastAsia="Arial" w:hAnsi="Arial"/>
                <w:sz w:val="17"/>
                <w:szCs w:val="17"/>
                <w:color w:val="auto"/>
                <w:w w:val="81"/>
              </w:rPr>
              <w:t>% $</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7"/>
                <w:szCs w:val="17"/>
                <w:color w:val="auto"/>
              </w:rPr>
              <w:t>Investors participating in this offering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100% $</w:t>
            </w:r>
          </w:p>
        </w:tc>
        <w:tc>
          <w:tcPr>
            <w:tcW w:w="8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6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400" w:type="dxa"/>
            <w:vAlign w:val="bottom"/>
            <w:gridSpan w:val="3"/>
          </w:tcPr>
          <w:p>
            <w:pPr>
              <w:ind w:left="38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5020" w:type="dxa"/>
            <w:vAlign w:val="bottom"/>
            <w:gridSpan w:val="12"/>
          </w:tcPr>
          <w:p>
            <w:pPr>
              <w:jc w:val="right"/>
              <w:spacing w:after="0"/>
              <w:rPr>
                <w:sz w:val="20"/>
                <w:szCs w:val="20"/>
                <w:color w:val="auto"/>
              </w:rPr>
            </w:pPr>
            <w:r>
              <w:rPr>
                <w:rFonts w:ascii="Arial" w:cs="Arial" w:eastAsia="Arial" w:hAnsi="Arial"/>
                <w:sz w:val="17"/>
                <w:szCs w:val="17"/>
                <w:color w:val="auto"/>
                <w:w w:val="93"/>
              </w:rPr>
              <w:t>per share, the midpoint of the price range set forth on the cover page of</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7"/>
                <w:szCs w:val="17"/>
                <w:color w:val="auto"/>
              </w:rPr>
              <w:t>this prospectus, would increase (decrease) the total consideration paid to us by new</w:t>
            </w:r>
          </w:p>
        </w:tc>
        <w:tc>
          <w:tcPr>
            <w:tcW w:w="2840" w:type="dxa"/>
            <w:vAlign w:val="bottom"/>
            <w:gridSpan w:val="8"/>
          </w:tcPr>
          <w:p>
            <w:pPr>
              <w:jc w:val="right"/>
              <w:spacing w:after="0"/>
              <w:rPr>
                <w:sz w:val="20"/>
                <w:szCs w:val="20"/>
                <w:color w:val="auto"/>
              </w:rPr>
            </w:pPr>
            <w:r>
              <w:rPr>
                <w:rFonts w:ascii="Arial" w:cs="Arial" w:eastAsia="Arial" w:hAnsi="Arial"/>
                <w:sz w:val="17"/>
                <w:szCs w:val="17"/>
                <w:color w:val="auto"/>
                <w:w w:val="98"/>
              </w:rPr>
              <w:t>investors and total consideration paid</w:t>
            </w:r>
          </w:p>
        </w:tc>
        <w:tc>
          <w:tcPr>
            <w:tcW w:w="2180" w:type="dxa"/>
            <w:vAlign w:val="bottom"/>
            <w:gridSpan w:val="4"/>
          </w:tcPr>
          <w:p>
            <w:pPr>
              <w:jc w:val="right"/>
              <w:spacing w:after="0"/>
              <w:rPr>
                <w:sz w:val="20"/>
                <w:szCs w:val="20"/>
                <w:color w:val="auto"/>
              </w:rPr>
            </w:pPr>
            <w:r>
              <w:rPr>
                <w:rFonts w:ascii="Arial" w:cs="Arial" w:eastAsia="Arial" w:hAnsi="Arial"/>
                <w:sz w:val="17"/>
                <w:szCs w:val="17"/>
                <w:color w:val="auto"/>
              </w:rPr>
              <w:t>to us by all stockholders by</w:t>
            </w:r>
          </w:p>
        </w:tc>
        <w:tc>
          <w:tcPr>
            <w:tcW w:w="0" w:type="dxa"/>
            <w:vAlign w:val="bottom"/>
          </w:tcPr>
          <w:p>
            <w:pPr>
              <w:spacing w:after="0"/>
              <w:rPr>
                <w:sz w:val="1"/>
                <w:szCs w:val="1"/>
                <w:color w:val="auto"/>
              </w:rPr>
            </w:pPr>
          </w:p>
        </w:tc>
      </w:tr>
    </w:tbl>
    <w:p>
      <w:pPr>
        <w:jc w:val="both"/>
        <w:ind w:firstLine="5"/>
        <w:spacing w:after="0" w:line="291" w:lineRule="auto"/>
        <w:tabs>
          <w:tab w:leader="none" w:pos="981" w:val="left"/>
        </w:tabs>
        <w:numPr>
          <w:ilvl w:val="0"/>
          <w:numId w:val="27"/>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 estimated underwriting discounts and commissions and estimated offering expenses payable by us. An increase (decrease) of 1.0 million shares in the number of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520" w:type="dxa"/>
            <w:vAlign w:val="bottom"/>
            <w:gridSpan w:val="4"/>
          </w:tcPr>
          <w:p>
            <w:pPr>
              <w:spacing w:after="0"/>
              <w:rPr>
                <w:sz w:val="20"/>
                <w:szCs w:val="20"/>
                <w:color w:val="auto"/>
              </w:rPr>
            </w:pPr>
            <w:r>
              <w:rPr>
                <w:rFonts w:ascii="Arial" w:cs="Arial" w:eastAsia="Arial" w:hAnsi="Arial"/>
                <w:sz w:val="17"/>
                <w:szCs w:val="17"/>
                <w:color w:val="auto"/>
                <w:w w:val="93"/>
              </w:rPr>
              <w:t>offered by us would increase (decrease) the total consideration paid to us by new investors and total consideration paid to us by all stockholders by $</w:t>
            </w:r>
          </w:p>
        </w:tc>
        <w:tc>
          <w:tcPr>
            <w:tcW w:w="900" w:type="dxa"/>
            <w:vAlign w:val="bottom"/>
          </w:tcPr>
          <w:p>
            <w:pPr>
              <w:jc w:val="right"/>
              <w:spacing w:after="0"/>
              <w:rPr>
                <w:sz w:val="20"/>
                <w:szCs w:val="20"/>
                <w:color w:val="auto"/>
              </w:rPr>
            </w:pPr>
            <w:r>
              <w:rPr>
                <w:rFonts w:ascii="Arial" w:cs="Arial" w:eastAsia="Arial" w:hAnsi="Arial"/>
                <w:sz w:val="17"/>
                <w:szCs w:val="17"/>
                <w:color w:val="auto"/>
              </w:rPr>
              <w:t>million,</w:t>
            </w: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assuming an initial public offering price of $</w:t>
            </w:r>
          </w:p>
        </w:tc>
        <w:tc>
          <w:tcPr>
            <w:tcW w:w="7980" w:type="dxa"/>
            <w:vAlign w:val="bottom"/>
            <w:gridSpan w:val="3"/>
          </w:tcPr>
          <w:p>
            <w:pPr>
              <w:jc w:val="right"/>
              <w:spacing w:after="0"/>
              <w:rPr>
                <w:sz w:val="20"/>
                <w:szCs w:val="20"/>
                <w:color w:val="auto"/>
              </w:rPr>
            </w:pPr>
            <w:r>
              <w:rPr>
                <w:rFonts w:ascii="Arial" w:cs="Arial" w:eastAsia="Arial" w:hAnsi="Arial"/>
                <w:sz w:val="17"/>
                <w:szCs w:val="17"/>
                <w:color w:val="auto"/>
                <w:w w:val="94"/>
              </w:rPr>
              <w:t>per share, the midpoint of the price range set forth on the cover page of this prospectus, and after deducting the</w:t>
            </w:r>
          </w:p>
        </w:tc>
      </w:tr>
      <w:tr>
        <w:trPr>
          <w:trHeight w:val="216"/>
        </w:trPr>
        <w:tc>
          <w:tcPr>
            <w:tcW w:w="9260" w:type="dxa"/>
            <w:vAlign w:val="bottom"/>
            <w:gridSpan w:val="3"/>
          </w:tcPr>
          <w:p>
            <w:pPr>
              <w:spacing w:after="0"/>
              <w:rPr>
                <w:sz w:val="20"/>
                <w:szCs w:val="20"/>
                <w:color w:val="auto"/>
              </w:rPr>
            </w:pPr>
            <w:r>
              <w:rPr>
                <w:rFonts w:ascii="Arial" w:cs="Arial" w:eastAsia="Arial" w:hAnsi="Arial"/>
                <w:sz w:val="17"/>
                <w:szCs w:val="17"/>
                <w:color w:val="auto"/>
              </w:rPr>
              <w:t>estimated underwriting discounts and commissions and estimated offering expenses payable by us.</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13"/>
        </w:trPr>
        <w:tc>
          <w:tcPr>
            <w:tcW w:w="340" w:type="dxa"/>
            <w:vAlign w:val="bottom"/>
          </w:tcPr>
          <w:p>
            <w:pPr>
              <w:spacing w:after="0"/>
              <w:rPr>
                <w:sz w:val="24"/>
                <w:szCs w:val="24"/>
                <w:color w:val="auto"/>
              </w:rPr>
            </w:pPr>
          </w:p>
        </w:tc>
        <w:tc>
          <w:tcPr>
            <w:tcW w:w="8920" w:type="dxa"/>
            <w:vAlign w:val="bottom"/>
            <w:gridSpan w:val="2"/>
          </w:tcPr>
          <w:p>
            <w:pPr>
              <w:ind w:left="60"/>
              <w:spacing w:after="0"/>
              <w:rPr>
                <w:sz w:val="20"/>
                <w:szCs w:val="20"/>
                <w:color w:val="auto"/>
              </w:rPr>
            </w:pPr>
            <w:r>
              <w:rPr>
                <w:rFonts w:ascii="Arial" w:cs="Arial" w:eastAsia="Arial" w:hAnsi="Arial"/>
                <w:sz w:val="17"/>
                <w:szCs w:val="17"/>
                <w:color w:val="auto"/>
                <w:w w:val="96"/>
              </w:rPr>
              <w:t>If the underwriters' over-allotment option to purchase additional shares is exercised in full, existing stockholders would own</w:t>
            </w: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rPr>
              <w:t>% and new investors would</w:t>
            </w:r>
          </w:p>
        </w:tc>
      </w:tr>
      <w:tr>
        <w:trPr>
          <w:trHeight w:val="216"/>
        </w:trPr>
        <w:tc>
          <w:tcPr>
            <w:tcW w:w="340" w:type="dxa"/>
            <w:vAlign w:val="bottom"/>
          </w:tcPr>
          <w:p>
            <w:pPr>
              <w:spacing w:after="0"/>
              <w:rPr>
                <w:sz w:val="20"/>
                <w:szCs w:val="20"/>
                <w:color w:val="auto"/>
              </w:rPr>
            </w:pPr>
            <w:r>
              <w:rPr>
                <w:rFonts w:ascii="Arial" w:cs="Arial" w:eastAsia="Arial" w:hAnsi="Arial"/>
                <w:sz w:val="17"/>
                <w:szCs w:val="17"/>
                <w:color w:val="auto"/>
              </w:rPr>
              <w:t>own</w:t>
            </w:r>
          </w:p>
        </w:tc>
        <w:tc>
          <w:tcPr>
            <w:tcW w:w="8920" w:type="dxa"/>
            <w:vAlign w:val="bottom"/>
            <w:gridSpan w:val="2"/>
          </w:tcPr>
          <w:p>
            <w:pPr>
              <w:ind w:left="420"/>
              <w:spacing w:after="0"/>
              <w:rPr>
                <w:sz w:val="20"/>
                <w:szCs w:val="20"/>
                <w:color w:val="auto"/>
              </w:rPr>
            </w:pPr>
            <w:r>
              <w:rPr>
                <w:rFonts w:ascii="Arial" w:cs="Arial" w:eastAsia="Arial" w:hAnsi="Arial"/>
                <w:sz w:val="17"/>
                <w:szCs w:val="17"/>
                <w:color w:val="auto"/>
              </w:rPr>
              <w:t>% of the total number of shares of our common stock outstanding immediately after this offering.</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13"/>
        </w:trPr>
        <w:tc>
          <w:tcPr>
            <w:tcW w:w="340" w:type="dxa"/>
            <w:vAlign w:val="bottom"/>
          </w:tcPr>
          <w:p>
            <w:pPr>
              <w:spacing w:after="0"/>
              <w:rPr>
                <w:sz w:val="24"/>
                <w:szCs w:val="24"/>
                <w:color w:val="auto"/>
              </w:rPr>
            </w:pPr>
          </w:p>
        </w:tc>
        <w:tc>
          <w:tcPr>
            <w:tcW w:w="3100" w:type="dxa"/>
            <w:vAlign w:val="bottom"/>
          </w:tcPr>
          <w:p>
            <w:pPr>
              <w:ind w:left="20"/>
              <w:spacing w:after="0"/>
              <w:rPr>
                <w:sz w:val="20"/>
                <w:szCs w:val="20"/>
                <w:color w:val="auto"/>
              </w:rPr>
            </w:pPr>
            <w:r>
              <w:rPr>
                <w:rFonts w:ascii="Arial" w:cs="Arial" w:eastAsia="Arial" w:hAnsi="Arial"/>
                <w:sz w:val="17"/>
                <w:szCs w:val="17"/>
                <w:color w:val="auto"/>
              </w:rPr>
              <w:t>The calculations above are based on</w:t>
            </w:r>
          </w:p>
        </w:tc>
        <w:tc>
          <w:tcPr>
            <w:tcW w:w="7980" w:type="dxa"/>
            <w:vAlign w:val="bottom"/>
            <w:gridSpan w:val="3"/>
          </w:tcPr>
          <w:p>
            <w:pPr>
              <w:jc w:val="right"/>
              <w:spacing w:after="0"/>
              <w:rPr>
                <w:sz w:val="20"/>
                <w:szCs w:val="20"/>
                <w:color w:val="auto"/>
              </w:rPr>
            </w:pPr>
            <w:r>
              <w:rPr>
                <w:rFonts w:ascii="Arial" w:cs="Arial" w:eastAsia="Arial" w:hAnsi="Arial"/>
                <w:sz w:val="17"/>
                <w:szCs w:val="17"/>
                <w:color w:val="auto"/>
                <w:w w:val="92"/>
              </w:rPr>
              <w:t>shares outstanding as of June 30, 2013 after giving effect to the conversion of all outstanding shares of convertible</w:t>
            </w:r>
          </w:p>
        </w:tc>
      </w:tr>
      <w:tr>
        <w:trPr>
          <w:trHeight w:val="216"/>
        </w:trPr>
        <w:tc>
          <w:tcPr>
            <w:tcW w:w="3440" w:type="dxa"/>
            <w:vAlign w:val="bottom"/>
            <w:gridSpan w:val="2"/>
          </w:tcPr>
          <w:p>
            <w:pPr>
              <w:spacing w:after="0"/>
              <w:rPr>
                <w:sz w:val="20"/>
                <w:szCs w:val="20"/>
                <w:color w:val="auto"/>
              </w:rPr>
            </w:pPr>
            <w:r>
              <w:rPr>
                <w:rFonts w:ascii="Arial" w:cs="Arial" w:eastAsia="Arial" w:hAnsi="Arial"/>
                <w:sz w:val="17"/>
                <w:szCs w:val="17"/>
                <w:color w:val="auto"/>
                <w:w w:val="94"/>
              </w:rPr>
              <w:t>preferred stock into common stock and exclude:</w:t>
            </w:r>
          </w:p>
        </w:tc>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17" w:lineRule="exact"/>
        <w:rPr>
          <w:sz w:val="20"/>
          <w:szCs w:val="20"/>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$0.70 per share;</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shares of common stock upon conversion of our Series C preferred stock into common stock immediately prior to the completion of this offering, with an exercise price of $1.89 per share; and</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574,821 shares of common stock reserved for future issuance under our 2008 Stock Plan and shares of common stock, subject to increase on an annual basis, reserved for future issuance under our 2013 Stock Incentive Plan, which will become effective in connection with this offering.</w:t>
      </w:r>
    </w:p>
    <w:p>
      <w:pPr>
        <w:spacing w:after="0" w:line="146"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356"/>
        <w:spacing w:after="0" w:line="282" w:lineRule="auto"/>
        <w:rPr>
          <w:sz w:val="20"/>
          <w:szCs w:val="20"/>
          <w:color w:val="auto"/>
        </w:rPr>
      </w:pPr>
      <w:r>
        <w:rPr>
          <w:rFonts w:ascii="Arial" w:cs="Arial" w:eastAsia="Arial" w:hAnsi="Arial"/>
          <w:sz w:val="17"/>
          <w:szCs w:val="17"/>
          <w:color w:val="auto"/>
        </w:rPr>
        <w:t>To the extent that any outstanding options or warrants are exercised or new options are issued under our incentive plans, there will be further dilution to investors participating in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8" w:lineRule="exact"/>
        <w:rPr>
          <w:sz w:val="20"/>
          <w:szCs w:val="20"/>
          <w:color w:val="auto"/>
        </w:rPr>
      </w:pPr>
    </w:p>
    <w:p>
      <w:pPr>
        <w:jc w:val="both"/>
        <w:ind w:firstLine="418"/>
        <w:spacing w:after="0" w:line="278" w:lineRule="auto"/>
        <w:rPr>
          <w:sz w:val="20"/>
          <w:szCs w:val="20"/>
          <w:color w:val="auto"/>
        </w:rPr>
      </w:pPr>
      <w:r>
        <w:rPr>
          <w:rFonts w:ascii="Arial" w:cs="Arial" w:eastAsia="Arial" w:hAnsi="Arial"/>
          <w:sz w:val="16"/>
          <w:szCs w:val="16"/>
          <w:color w:val="auto"/>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six months ended June 30, 2012 and 2013 and the selected balance sheets data as of June 30,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234"/>
              <w:spacing w:after="0"/>
              <w:rPr>
                <w:sz w:val="20"/>
                <w:szCs w:val="20"/>
                <w:color w:val="auto"/>
              </w:rPr>
            </w:pPr>
            <w:r>
              <w:rPr>
                <w:rFonts w:ascii="Arial" w:cs="Arial" w:eastAsia="Arial" w:hAnsi="Arial"/>
                <w:sz w:val="13"/>
                <w:szCs w:val="13"/>
                <w:b w:val="1"/>
                <w:bCs w:val="1"/>
                <w:color w:val="auto"/>
                <w:w w:val="91"/>
              </w:rPr>
              <w:t>Year Ended December 31,</w:t>
            </w: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7"/>
              </w:rPr>
              <w:t>thousands, except</w:t>
            </w:r>
          </w:p>
        </w:tc>
        <w:tc>
          <w:tcPr>
            <w:tcW w:w="2060" w:type="dxa"/>
            <w:vAlign w:val="bottom"/>
            <w:gridSpan w:val="7"/>
          </w:tcPr>
          <w:p>
            <w:pPr>
              <w:jc w:val="right"/>
              <w:ind w:right="640"/>
              <w:spacing w:after="0" w:line="124" w:lineRule="exact"/>
              <w:rPr>
                <w:sz w:val="20"/>
                <w:szCs w:val="20"/>
                <w:color w:val="auto"/>
              </w:rPr>
            </w:pPr>
            <w:r>
              <w:rPr>
                <w:rFonts w:ascii="Arial" w:cs="Arial" w:eastAsia="Arial" w:hAnsi="Arial"/>
                <w:sz w:val="13"/>
                <w:szCs w:val="13"/>
                <w:b w:val="1"/>
                <w:bCs w:val="1"/>
                <w:color w:val="auto"/>
                <w:w w:val="88"/>
              </w:rPr>
              <w:t>share and per share data)</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11,628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3,947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7,584</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6,680</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6,608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2,934</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8,447</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3,045</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5,372</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7,918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17,911</w:t>
            </w:r>
          </w:p>
        </w:tc>
        <w:tc>
          <w:tcPr>
            <w:tcW w:w="10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30,557</w:t>
            </w: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12,821</w:t>
            </w:r>
          </w:p>
        </w:tc>
        <w:tc>
          <w:tcPr>
            <w:tcW w:w="12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819</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7"/>
              </w:rPr>
              <w:t>Shares used in computing net loss per common share, basic and diluted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87"/>
              </w:rPr>
              <w:t>2,320,252</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87"/>
              </w:rPr>
              <w:t>2,601,352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87"/>
              </w:rPr>
              <w:t>2,553,287</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87"/>
              </w:rPr>
              <w:t>3,250,863</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FNAs received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25,890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9,535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23,181</w:t>
            </w: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employee stock-based compensation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Six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w w:val="89"/>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tcPr>
          <w:p>
            <w:pPr>
              <w:jc w:val="center"/>
              <w:ind w:left="44"/>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354"/>
              <w:spacing w:after="0"/>
              <w:rPr>
                <w:sz w:val="20"/>
                <w:szCs w:val="20"/>
                <w:color w:val="auto"/>
              </w:rPr>
            </w:pPr>
            <w:r>
              <w:rPr>
                <w:rFonts w:ascii="Arial" w:cs="Arial" w:eastAsia="Arial" w:hAnsi="Arial"/>
                <w:sz w:val="13"/>
                <w:szCs w:val="13"/>
                <w:b w:val="1"/>
                <w:bCs w:val="1"/>
                <w:color w:val="auto"/>
                <w:w w:val="89"/>
              </w:rPr>
              <w:t>December 31,</w:t>
            </w:r>
          </w:p>
        </w:tc>
        <w:tc>
          <w:tcPr>
            <w:tcW w:w="300" w:type="dxa"/>
            <w:vAlign w:val="bottom"/>
          </w:tcPr>
          <w:p>
            <w:pPr>
              <w:spacing w:after="0"/>
              <w:rPr>
                <w:sz w:val="13"/>
                <w:szCs w:val="13"/>
                <w:color w:val="auto"/>
              </w:rPr>
            </w:pPr>
          </w:p>
        </w:tc>
        <w:tc>
          <w:tcPr>
            <w:tcW w:w="600" w:type="dxa"/>
            <w:vAlign w:val="bottom"/>
            <w:gridSpan w:val="3"/>
          </w:tcPr>
          <w:p>
            <w:pPr>
              <w:jc w:val="center"/>
              <w:ind w:left="64"/>
              <w:spacing w:after="0"/>
              <w:rPr>
                <w:sz w:val="20"/>
                <w:szCs w:val="20"/>
                <w:color w:val="auto"/>
              </w:rPr>
            </w:pPr>
            <w:r>
              <w:rPr>
                <w:rFonts w:ascii="Arial" w:cs="Arial" w:eastAsia="Arial" w:hAnsi="Arial"/>
                <w:sz w:val="13"/>
                <w:szCs w:val="13"/>
                <w:b w:val="1"/>
                <w:bCs w:val="1"/>
                <w:color w:val="auto"/>
                <w:w w:val="88"/>
              </w:rPr>
              <w:t>June 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00" w:type="dxa"/>
            <w:vAlign w:val="bottom"/>
          </w:tcPr>
          <w:p>
            <w:pPr>
              <w:spacing w:after="0"/>
              <w:rPr>
                <w:sz w:val="11"/>
                <w:szCs w:val="11"/>
                <w:color w:val="auto"/>
              </w:rPr>
            </w:pPr>
          </w:p>
        </w:tc>
        <w:tc>
          <w:tcPr>
            <w:tcW w:w="56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ind w:right="58"/>
              <w:spacing w:after="0" w:line="124" w:lineRule="exact"/>
              <w:rPr>
                <w:sz w:val="20"/>
                <w:szCs w:val="20"/>
                <w:color w:val="auto"/>
              </w:rPr>
            </w:pPr>
            <w:r>
              <w:rPr>
                <w:rFonts w:ascii="Arial" w:cs="Arial" w:eastAsia="Arial" w:hAnsi="Arial"/>
                <w:sz w:val="13"/>
                <w:szCs w:val="13"/>
                <w:b w:val="1"/>
                <w:bCs w:val="1"/>
                <w:color w:val="auto"/>
                <w:w w:val="87"/>
              </w:rPr>
              <w:t>(In</w:t>
            </w:r>
          </w:p>
        </w:tc>
        <w:tc>
          <w:tcPr>
            <w:tcW w:w="7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r>
      <w:tr>
        <w:trPr>
          <w:trHeight w:val="210"/>
        </w:trPr>
        <w:tc>
          <w:tcPr>
            <w:tcW w:w="6200" w:type="dxa"/>
            <w:vAlign w:val="bottom"/>
          </w:tcPr>
          <w:p>
            <w:pPr>
              <w:ind w:left="28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131</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103</w:t>
            </w: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Selling and marketing</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w:t>
            </w:r>
          </w:p>
        </w:tc>
      </w:tr>
      <w:tr>
        <w:trPr>
          <w:trHeight w:val="216"/>
        </w:trPr>
        <w:tc>
          <w:tcPr>
            <w:tcW w:w="62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407</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297</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stock-based compensation</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466</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675</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489</w:t>
            </w:r>
          </w:p>
        </w:tc>
      </w:tr>
      <w:tr>
        <w:trPr>
          <w:trHeight w:val="26"/>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As of December 31,</w:t>
            </w: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As of June 30,</w:t>
            </w: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4"/>
                <w:szCs w:val="14"/>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Sheets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  7,566</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$ 14,002</w:t>
            </w:r>
          </w:p>
        </w:tc>
        <w:tc>
          <w:tcPr>
            <w:tcW w:w="3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20,683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7,390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14,049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10,451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19,067</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27,159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79,025</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(41,420)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(60,069)</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78"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Since we commercially launched Afirma in January 2011, we have processed over 50,000 fine needle aspiration, or FNA, samples for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Afirma and performed more than 10,000 GECs to resolve indeterminate cytopathology results.</w:t>
      </w:r>
    </w:p>
    <w:p>
      <w:pPr>
        <w:spacing w:after="0" w:line="179"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5" w:lineRule="exact"/>
        <w:rPr>
          <w:sz w:val="20"/>
          <w:szCs w:val="20"/>
          <w:color w:val="auto"/>
        </w:rPr>
      </w:pPr>
    </w:p>
    <w:p>
      <w:pPr>
        <w:jc w:val="both"/>
        <w:ind w:firstLine="343"/>
        <w:spacing w:after="0" w:line="287" w:lineRule="auto"/>
        <w:rPr>
          <w:sz w:val="20"/>
          <w:szCs w:val="20"/>
          <w:color w:val="auto"/>
        </w:rPr>
      </w:pPr>
      <w:r>
        <w:rPr>
          <w:rFonts w:ascii="Arial" w:cs="Arial" w:eastAsia="Arial" w:hAnsi="Arial"/>
          <w:sz w:val="16"/>
          <w:szCs w:val="16"/>
          <w:color w:val="auto"/>
        </w:rPr>
        <w:t>As of August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69"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Our revenue increased from $2.6 million in 2011 to $11.6 million in 2012. Our revenue increased from $3.9 million for the six months ended June 30, 2012 to $9.5 million for six months ended June 30, 2013. We incurred a net loss of $14.4 million and $18.6 million for the years ended December 31, 2011 and 2012, respectively, and $13.4 million for the six months ended June 30, 2013. As of June 30, 2013, we had an accumulated deficit of $73.5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generate revenue from the sale of our Afirma solution. We generally invoice third-party payers upon delivery of a patient report to the prescribing physician.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such, we take the assignment of benefits and the risk of collection from the third-party payer and individual patients.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7"/>
          <w:szCs w:val="17"/>
          <w:color w:val="auto"/>
        </w:rPr>
        <w:t>For tests performed where an agreed upon reimbursement rate and a predictable history of collections exists, such as in the case of Medicare, we recognize revenue upon delivery of a patient report to the prescribing physician.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563"/>
        <w:spacing w:after="0" w:line="261" w:lineRule="auto"/>
        <w:rPr>
          <w:sz w:val="20"/>
          <w:szCs w:val="20"/>
          <w:color w:val="auto"/>
        </w:rPr>
      </w:pPr>
      <w:r>
        <w:rPr>
          <w:rFonts w:ascii="Arial" w:cs="Arial" w:eastAsia="Arial" w:hAnsi="Arial"/>
          <w:sz w:val="17"/>
          <w:szCs w:val="17"/>
          <w:color w:val="auto"/>
        </w:rPr>
        <w:t>The components of our cost of revenue are materials and service costs, including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24" w:lineRule="exact"/>
        <w:rPr>
          <w:sz w:val="20"/>
          <w:szCs w:val="20"/>
          <w:color w:val="auto"/>
        </w:rPr>
      </w:pPr>
    </w:p>
    <w:p>
      <w:pPr>
        <w:jc w:val="both"/>
        <w:ind w:firstLine="530"/>
        <w:spacing w:after="0" w:line="311" w:lineRule="auto"/>
        <w:rPr>
          <w:sz w:val="20"/>
          <w:szCs w:val="20"/>
          <w:color w:val="auto"/>
        </w:rPr>
      </w:pPr>
      <w:r>
        <w:rPr>
          <w:rFonts w:ascii="Arial" w:cs="Arial" w:eastAsia="Arial" w:hAnsi="Arial"/>
          <w:sz w:val="15"/>
          <w:szCs w:val="15"/>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in future periods primarily driven by the co-promotion fees to Genzyme, the hiring of additional internal sales personnel and marketing and education expenses to drive market penetration and reimbursement.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as we expand our billing and client services functions.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income is from interest on our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expense is attributable to our borrowings under the loan agreement entered into in June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24" w:lineRule="exact"/>
        <w:rPr>
          <w:sz w:val="20"/>
          <w:szCs w:val="20"/>
          <w:color w:val="auto"/>
        </w:rPr>
      </w:pPr>
    </w:p>
    <w:p>
      <w:pPr>
        <w:jc w:val="both"/>
        <w:ind w:firstLine="379"/>
        <w:spacing w:after="0" w:line="279" w:lineRule="auto"/>
        <w:rPr>
          <w:sz w:val="20"/>
          <w:szCs w:val="20"/>
          <w:color w:val="auto"/>
        </w:rPr>
      </w:pPr>
      <w:r>
        <w:rPr>
          <w:rFonts w:ascii="Arial" w:cs="Arial" w:eastAsia="Arial" w:hAnsi="Arial"/>
          <w:sz w:val="16"/>
          <w:szCs w:val="16"/>
          <w:color w:val="auto"/>
        </w:rPr>
        <w:t>Other income (expense), net is related primarily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B and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liabilities at each reporting period with the corresponding gain or loss from the adjustment recorded as other income (expense), net. The Series B liability expired in July 2011. The Series C liability expired in June 2013.</w:t>
      </w:r>
    </w:p>
    <w:p>
      <w:pPr>
        <w:spacing w:after="0" w:line="177"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In addition, other income (expense), net in 2011 includes $0.1 million we received from Genzyme in exchange for exclusive rights to negotiate a co-promotion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228"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5"/>
          <w:szCs w:val="15"/>
          <w:color w:val="auto"/>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23"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w:t>
      </w:r>
    </w:p>
    <w:p>
      <w:pPr>
        <w:spacing w:after="0" w:line="192"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90"/>
        <w:spacing w:after="0" w:line="311" w:lineRule="auto"/>
        <w:rPr>
          <w:sz w:val="20"/>
          <w:szCs w:val="20"/>
          <w:color w:val="auto"/>
        </w:rPr>
      </w:pPr>
      <w:r>
        <w:rPr>
          <w:rFonts w:ascii="Arial" w:cs="Arial" w:eastAsia="Arial" w:hAnsi="Arial"/>
          <w:sz w:val="15"/>
          <w:szCs w:val="15"/>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55" w:lineRule="exact"/>
        <w:rPr>
          <w:sz w:val="20"/>
          <w:szCs w:val="20"/>
          <w:color w:val="auto"/>
        </w:rPr>
      </w:pPr>
    </w:p>
    <w:p>
      <w:pPr>
        <w:jc w:val="both"/>
        <w:ind w:firstLine="473"/>
        <w:spacing w:after="0" w:line="282" w:lineRule="auto"/>
        <w:rPr>
          <w:sz w:val="20"/>
          <w:szCs w:val="20"/>
          <w:color w:val="auto"/>
        </w:rPr>
      </w:pPr>
      <w:r>
        <w:rPr>
          <w:rFonts w:ascii="Arial" w:cs="Arial" w:eastAsia="Arial" w:hAnsi="Arial"/>
          <w:sz w:val="17"/>
          <w:szCs w:val="17"/>
          <w:color w:val="auto"/>
        </w:rPr>
        <w:t>If the financial conditions of our customers were to deteriorate, resulting in an impairment of their ability to make payments, additional allowances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Liability</w:t>
      </w:r>
    </w:p>
    <w:p>
      <w:pPr>
        <w:spacing w:after="0" w:line="224" w:lineRule="exact"/>
        <w:rPr>
          <w:sz w:val="20"/>
          <w:szCs w:val="20"/>
          <w:color w:val="auto"/>
        </w:rPr>
      </w:pPr>
    </w:p>
    <w:p>
      <w:pPr>
        <w:jc w:val="both"/>
        <w:ind w:firstLine="408"/>
        <w:spacing w:after="0" w:line="262"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 connection with our Series B and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jc w:val="both"/>
        <w:ind w:firstLine="494"/>
        <w:spacing w:after="0" w:line="265" w:lineRule="auto"/>
        <w:rPr>
          <w:sz w:val="20"/>
          <w:szCs w:val="20"/>
          <w:color w:val="auto"/>
        </w:rPr>
      </w:pPr>
      <w:r>
        <w:rPr>
          <w:rFonts w:ascii="Arial" w:cs="Arial" w:eastAsia="Arial" w:hAnsi="Arial"/>
          <w:sz w:val="17"/>
          <w:szCs w:val="17"/>
          <w:color w:val="auto"/>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69"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85"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We recorded stock-based compensation expense of $0.5 million, $0.7 million and $0.5 million for the years ended December 31, 2011, and 2012, and the six months ended June 30, 2013, respectively. We expect to continue to grant stock options and other equity-based awards in the future, and to the extent that we do, our stock-based compensation expense recognized in future periods will likely increase.</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Black-Scholes option-pricing model requires the use of highly subjective and complex assumptions, which determine the fair value of stock-based awards.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assumptions are as follows:</w:t>
      </w:r>
    </w:p>
    <w:p>
      <w:pPr>
        <w:spacing w:after="0" w:line="231" w:lineRule="exact"/>
        <w:rPr>
          <w:sz w:val="20"/>
          <w:szCs w:val="20"/>
          <w:color w:val="auto"/>
        </w:rPr>
      </w:pPr>
    </w:p>
    <w:p>
      <w:pPr>
        <w:jc w:val="both"/>
        <w:ind w:left="1060" w:hanging="531"/>
        <w:spacing w:after="0" w:line="265"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stock-based awards are expected to be outstanding. Our historical share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experience does not 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our common stock has never been publicly traded, the expected volatility is derived from the average historical volatilities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companies within our industry that we consider to be comparable to our business over a period approximately equal to the expected term.</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grant for zero coupon U.S. Treasury notes</w:t>
      </w:r>
      <w:r>
        <w:rPr>
          <w:rFonts w:ascii="Arial" w:cs="Arial" w:eastAsia="Arial" w:hAnsi="Arial"/>
          <w:sz w:val="17"/>
          <w:szCs w:val="17"/>
          <w:i w:val="1"/>
          <w:iCs w:val="1"/>
          <w:color w:val="auto"/>
        </w:rPr>
        <w:t xml:space="preserve"> </w:t>
      </w:r>
      <w:r>
        <w:rPr>
          <w:rFonts w:ascii="Arial" w:cs="Arial" w:eastAsia="Arial" w:hAnsi="Arial"/>
          <w:sz w:val="17"/>
          <w:szCs w:val="17"/>
          <w:color w:val="auto"/>
        </w:rPr>
        <w:t>with maturities approximately equal to the expected term.</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The expected dividend is assumed to be zero as we have never paid dividends and have no current plans to pay any dividends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the estimated fair value of our common stock</w:t>
      </w:r>
    </w:p>
    <w:p>
      <w:pPr>
        <w:spacing w:after="0" w:line="224"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199"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important developments in our operations, in particular coverage policies or contracts with third-party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valuations performed by an independent third party;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actual operating results and financial performance;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conditions in our industry and the economy in general;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stock price performance of comparable public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estimated likelihood of achieving a liquidity event, such as an IPO or an acquisition of our company, given prevailing market conditions; and</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illiquidity of the common stock underlying stock options.</w:t>
      </w:r>
    </w:p>
    <w:p>
      <w:pPr>
        <w:spacing w:after="0" w:line="224" w:lineRule="exact"/>
        <w:rPr>
          <w:sz w:val="20"/>
          <w:szCs w:val="20"/>
          <w:color w:val="auto"/>
        </w:rPr>
      </w:pPr>
    </w:p>
    <w:p>
      <w:pPr>
        <w:jc w:val="both"/>
        <w:ind w:firstLine="350"/>
        <w:spacing w:after="0" w:line="277" w:lineRule="auto"/>
        <w:rPr>
          <w:sz w:val="20"/>
          <w:szCs w:val="20"/>
          <w:color w:val="auto"/>
        </w:rPr>
      </w:pPr>
      <w:r>
        <w:rPr>
          <w:rFonts w:ascii="Arial" w:cs="Arial" w:eastAsia="Arial" w:hAnsi="Arial"/>
          <w:sz w:val="16"/>
          <w:szCs w:val="16"/>
          <w:color w:val="auto"/>
        </w:rPr>
        <w:t xml:space="preserve">In determining the estimated fair value of our common stock, our board of directors, with the assistance of management, used the market approach to estimate the enterprise value of our company in accordance with the American Institute of Certified Public Accountants Accounting and Valuation Guide,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The market approach, comprised of the Guideline Publicly Traded Company and the M&amp;A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methodologies, estimates the value of 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81"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M&amp;A Transaction methodology. As part of the Guideline Public Company methodology used in the January 2012, April 2013 and June 2013 valuations, we took into consideration the revenue multiples and enterprise value of select companies that had completed IPOs in the molecular diagnostic industry in the prior twelve months. For the November 2012, April 2013 and June 2013 valuations, we also used the OPM Backsolve method, a form of the market approach to valuation, which derives the implied equity value for a company from a recent transaction involving the company's own securities.</w:t>
      </w:r>
    </w:p>
    <w:p>
      <w:pPr>
        <w:spacing w:after="0" w:line="185" w:lineRule="exact"/>
        <w:rPr>
          <w:sz w:val="20"/>
          <w:szCs w:val="20"/>
          <w:color w:val="auto"/>
        </w:rPr>
      </w:pPr>
    </w:p>
    <w:p>
      <w:pPr>
        <w:jc w:val="both"/>
        <w:ind w:firstLine="482"/>
        <w:spacing w:after="0" w:line="282" w:lineRule="auto"/>
        <w:rPr>
          <w:sz w:val="20"/>
          <w:szCs w:val="20"/>
          <w:color w:val="auto"/>
        </w:rPr>
      </w:pPr>
      <w:r>
        <w:rPr>
          <w:rFonts w:ascii="Arial" w:cs="Arial" w:eastAsia="Arial" w:hAnsi="Arial"/>
          <w:sz w:val="17"/>
          <w:szCs w:val="17"/>
          <w:color w:val="auto"/>
        </w:rPr>
        <w:t>The initial estimated enterprise value was then allocated to the common stock using the Option Pricing Method, the Probability Weighted Expected Return Method or the Hybrid Method.</w:t>
      </w:r>
    </w:p>
    <w:p>
      <w:pPr>
        <w:spacing w:after="0" w:line="170" w:lineRule="exact"/>
        <w:rPr>
          <w:sz w:val="20"/>
          <w:szCs w:val="20"/>
          <w:color w:val="auto"/>
        </w:rPr>
      </w:pPr>
    </w:p>
    <w:p>
      <w:pPr>
        <w:jc w:val="both"/>
        <w:ind w:firstLine="394"/>
        <w:spacing w:after="0" w:line="261" w:lineRule="auto"/>
        <w:rPr>
          <w:sz w:val="20"/>
          <w:szCs w:val="20"/>
          <w:color w:val="auto"/>
        </w:rPr>
      </w:pPr>
      <w:r>
        <w:rPr>
          <w:rFonts w:ascii="Arial" w:cs="Arial" w:eastAsia="Arial" w:hAnsi="Arial"/>
          <w:sz w:val="17"/>
          <w:szCs w:val="17"/>
          <w:color w:val="auto"/>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90"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6"/>
          <w:szCs w:val="16"/>
          <w:color w:val="auto"/>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Arial" w:cs="Arial" w:eastAsia="Arial" w:hAnsi="Arial"/>
          <w:sz w:val="16"/>
          <w:szCs w:val="16"/>
          <w:i w:val="1"/>
          <w:iCs w:val="1"/>
          <w:color w:val="auto"/>
        </w:rPr>
        <w:t>Valuation of Privately-Held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In the IPO scenarios, it is assumed that all outstanding shares of our convertible preferred stock will convert into common stock. Over time,</w:t>
      </w:r>
      <w:r>
        <w:rPr>
          <w:rFonts w:ascii="Arial" w:cs="Arial" w:eastAsia="Arial" w:hAnsi="Arial"/>
          <w:sz w:val="16"/>
          <w:szCs w:val="16"/>
          <w:i w:val="1"/>
          <w:iCs w:val="1"/>
          <w:color w:val="auto"/>
        </w:rPr>
        <w:t xml:space="preserve"> </w:t>
      </w:r>
      <w:r>
        <w:rPr>
          <w:rFonts w:ascii="Arial" w:cs="Arial" w:eastAsia="Arial" w:hAnsi="Arial"/>
          <w:sz w:val="16"/>
          <w:szCs w:val="16"/>
          <w:color w:val="auto"/>
        </w:rPr>
        <w:t>as we achieve certain company-related milestones, the probability of each scenario is evaluated and adjusted accordingly.</w:t>
      </w:r>
    </w:p>
    <w:p>
      <w:pPr>
        <w:spacing w:after="0" w:line="177"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69"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Information regarding our stock option grants to our employees and non-employees, along with the estimated fair value per share of the underlying common stock, for stock options granted since January 1, 2012 is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9"/>
              <w:spacing w:after="0"/>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93"/>
              </w:rPr>
              <w:t>Estimated</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of Common Shares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Price per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3"/>
              </w:rPr>
              <w:t>Fair Value</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 Options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2"/>
              </w:rPr>
              <w:t>per Share of</w:t>
            </w:r>
          </w:p>
        </w:tc>
      </w:tr>
      <w:tr>
        <w:trPr>
          <w:trHeight w:val="157"/>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Grant Date</w:t>
            </w:r>
          </w:p>
        </w:tc>
        <w:tc>
          <w:tcPr>
            <w:tcW w:w="9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10, 2012</w:t>
            </w:r>
          </w:p>
        </w:tc>
        <w:tc>
          <w:tcPr>
            <w:tcW w:w="22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1,814,628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April 11, 2012</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924,000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6, 2012</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July 25, 2012</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270,000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6, 2012</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February 5, 2013</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1,709,007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2013</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801,625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5560" w:type="dxa"/>
            <w:vAlign w:val="bottom"/>
            <w:gridSpan w:val="4"/>
          </w:tcPr>
          <w:p>
            <w:pPr>
              <w:ind w:left="360"/>
              <w:spacing w:after="0"/>
              <w:rPr>
                <w:sz w:val="20"/>
                <w:szCs w:val="20"/>
                <w:color w:val="auto"/>
              </w:rPr>
            </w:pPr>
            <w:r>
              <w:rPr>
                <w:rFonts w:ascii="Arial" w:cs="Arial" w:eastAsia="Arial" w:hAnsi="Arial"/>
                <w:sz w:val="17"/>
                <w:szCs w:val="17"/>
                <w:color w:val="auto"/>
                <w:w w:val="97"/>
              </w:rPr>
              <w:t>The intrinsic value of all outstanding options as of June 30, 2013 was $</w:t>
            </w:r>
          </w:p>
        </w:tc>
        <w:tc>
          <w:tcPr>
            <w:tcW w:w="5860" w:type="dxa"/>
            <w:vAlign w:val="bottom"/>
            <w:gridSpan w:val="10"/>
          </w:tcPr>
          <w:p>
            <w:pPr>
              <w:ind w:left="280"/>
              <w:spacing w:after="0"/>
              <w:rPr>
                <w:sz w:val="20"/>
                <w:szCs w:val="20"/>
                <w:color w:val="auto"/>
              </w:rPr>
            </w:pPr>
            <w:r>
              <w:rPr>
                <w:rFonts w:ascii="Arial" w:cs="Arial" w:eastAsia="Arial" w:hAnsi="Arial"/>
                <w:sz w:val="17"/>
                <w:szCs w:val="17"/>
                <w:color w:val="auto"/>
                <w:w w:val="91"/>
              </w:rPr>
              <w:t>million based on the mid-point of the estimated price range set forth on the cover</w:t>
            </w:r>
          </w:p>
        </w:tc>
      </w:tr>
      <w:tr>
        <w:trPr>
          <w:trHeight w:val="216"/>
        </w:trPr>
        <w:tc>
          <w:tcPr>
            <w:tcW w:w="3320" w:type="dxa"/>
            <w:vAlign w:val="bottom"/>
            <w:gridSpan w:val="3"/>
          </w:tcPr>
          <w:p>
            <w:pPr>
              <w:spacing w:after="0"/>
              <w:rPr>
                <w:sz w:val="20"/>
                <w:szCs w:val="20"/>
                <w:color w:val="auto"/>
              </w:rPr>
            </w:pPr>
            <w:r>
              <w:rPr>
                <w:rFonts w:ascii="Arial" w:cs="Arial" w:eastAsia="Arial" w:hAnsi="Arial"/>
                <w:sz w:val="17"/>
                <w:szCs w:val="17"/>
                <w:color w:val="auto"/>
              </w:rPr>
              <w:t>of this prospectus, of which approximately $</w:t>
            </w:r>
          </w:p>
        </w:tc>
        <w:tc>
          <w:tcPr>
            <w:tcW w:w="4200" w:type="dxa"/>
            <w:vAlign w:val="bottom"/>
            <w:gridSpan w:val="3"/>
          </w:tcPr>
          <w:p>
            <w:pPr>
              <w:jc w:val="right"/>
              <w:ind w:right="214"/>
              <w:spacing w:after="0"/>
              <w:rPr>
                <w:sz w:val="20"/>
                <w:szCs w:val="20"/>
                <w:color w:val="auto"/>
              </w:rPr>
            </w:pPr>
            <w:r>
              <w:rPr>
                <w:rFonts w:ascii="Arial" w:cs="Arial" w:eastAsia="Arial" w:hAnsi="Arial"/>
                <w:sz w:val="17"/>
                <w:szCs w:val="17"/>
                <w:color w:val="auto"/>
                <w:w w:val="98"/>
              </w:rPr>
              <w:t>million related to vested options and approximately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6"/>
          </w:tcPr>
          <w:p>
            <w:pPr>
              <w:ind w:left="20"/>
              <w:spacing w:after="0"/>
              <w:rPr>
                <w:sz w:val="20"/>
                <w:szCs w:val="20"/>
                <w:color w:val="auto"/>
              </w:rPr>
            </w:pPr>
            <w:r>
              <w:rPr>
                <w:rFonts w:ascii="Arial" w:cs="Arial" w:eastAsia="Arial" w:hAnsi="Arial"/>
                <w:sz w:val="17"/>
                <w:szCs w:val="17"/>
                <w:color w:val="auto"/>
              </w:rPr>
              <w:t>million related to unvested options.</w:t>
            </w:r>
          </w:p>
        </w:tc>
      </w:tr>
    </w:tbl>
    <w:p>
      <w:pPr>
        <w:spacing w:after="0" w:line="204"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7"/>
          <w:szCs w:val="17"/>
          <w:color w:val="auto"/>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79"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i w:val="1"/>
          <w:iCs w:val="1"/>
          <w:color w:val="auto"/>
        </w:rPr>
        <w:t xml:space="preserve">March 2012. </w:t>
      </w:r>
      <w:r>
        <w:rPr>
          <w:rFonts w:ascii="Arial" w:cs="Arial" w:eastAsia="Arial" w:hAnsi="Arial"/>
          <w:sz w:val="16"/>
          <w:szCs w:val="16"/>
          <w:color w:val="auto"/>
        </w:rPr>
        <w:t>We granted options to purchase 1,814,628 shares of our common stock on March 10, 2012. Our board of directors set an exercise price of $0.67</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We had 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 enterprise value using the PWERM and these three scenarios. This valuation indicated a fair value of $0.67 per share for our common stock as of January 19, 2012.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March 10, 2012 as $0.67 per share.</w:t>
      </w:r>
    </w:p>
    <w:p>
      <w:pPr>
        <w:spacing w:after="0" w:line="17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 xml:space="preserve">April to July 2012. </w:t>
      </w:r>
      <w:r>
        <w:rPr>
          <w:rFonts w:ascii="Arial" w:cs="Arial" w:eastAsia="Arial" w:hAnsi="Arial"/>
          <w:sz w:val="16"/>
          <w:szCs w:val="16"/>
          <w:color w:val="auto"/>
        </w:rPr>
        <w:t>We granted options to purchase 924,000, 450,000 and 270,000 shares of our common stock on April 11, 2012, June 6, 2012, and July 25,</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board of directors set an exercise price of $0.67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$0.67 per share.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1"/>
        <w:spacing w:after="0" w:line="299" w:lineRule="auto"/>
        <w:rPr>
          <w:sz w:val="20"/>
          <w:szCs w:val="20"/>
          <w:color w:val="auto"/>
        </w:rPr>
      </w:pPr>
      <w:r>
        <w:rPr>
          <w:rFonts w:ascii="Arial" w:cs="Arial" w:eastAsia="Arial" w:hAnsi="Arial"/>
          <w:sz w:val="15"/>
          <w:szCs w:val="15"/>
          <w:i w:val="1"/>
          <w:iCs w:val="1"/>
          <w:color w:val="auto"/>
        </w:rPr>
        <w:t xml:space="preserve">December 2012. </w:t>
      </w:r>
      <w:r>
        <w:rPr>
          <w:rFonts w:ascii="Arial" w:cs="Arial" w:eastAsia="Arial" w:hAnsi="Arial"/>
          <w:sz w:val="15"/>
          <w:szCs w:val="15"/>
          <w:color w:val="auto"/>
        </w:rPr>
        <w:t>We granted options to purchase 269,167 shares of our common stock on December 6, 2012. Our board of directors set an exercise price of</w:t>
      </w:r>
      <w:r>
        <w:rPr>
          <w:rFonts w:ascii="Arial" w:cs="Arial" w:eastAsia="Arial" w:hAnsi="Arial"/>
          <w:sz w:val="15"/>
          <w:szCs w:val="15"/>
          <w:i w:val="1"/>
          <w:iCs w:val="1"/>
          <w:color w:val="auto"/>
        </w:rPr>
        <w:t xml:space="preserve"> </w:t>
      </w:r>
      <w:r>
        <w:rPr>
          <w:rFonts w:ascii="Arial" w:cs="Arial" w:eastAsia="Arial" w:hAnsi="Arial"/>
          <w:sz w:val="15"/>
          <w:szCs w:val="15"/>
          <w:color w:val="auto"/>
        </w:rPr>
        <w:t>$1.00 per share. We had 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$1.00 per share for our common stock as of November 1, 2012.</w:t>
      </w:r>
    </w:p>
    <w:p>
      <w:pPr>
        <w:spacing w:after="0" w:line="164"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$1.00 per share.</w:t>
      </w:r>
    </w:p>
    <w:p>
      <w:pPr>
        <w:spacing w:after="0" w:line="179" w:lineRule="exact"/>
        <w:rPr>
          <w:sz w:val="20"/>
          <w:szCs w:val="20"/>
          <w:color w:val="auto"/>
        </w:rPr>
      </w:pPr>
    </w:p>
    <w:p>
      <w:pPr>
        <w:jc w:val="both"/>
        <w:ind w:firstLine="422"/>
        <w:spacing w:after="0" w:line="265" w:lineRule="auto"/>
        <w:rPr>
          <w:sz w:val="20"/>
          <w:szCs w:val="20"/>
          <w:color w:val="auto"/>
        </w:rPr>
      </w:pPr>
      <w:r>
        <w:rPr>
          <w:rFonts w:ascii="Arial" w:cs="Arial" w:eastAsia="Arial" w:hAnsi="Arial"/>
          <w:sz w:val="17"/>
          <w:szCs w:val="17"/>
          <w:i w:val="1"/>
          <w:iCs w:val="1"/>
          <w:color w:val="auto"/>
        </w:rPr>
        <w:t xml:space="preserve">February 2013. </w:t>
      </w:r>
      <w:r>
        <w:rPr>
          <w:rFonts w:ascii="Arial" w:cs="Arial" w:eastAsia="Arial" w:hAnsi="Arial"/>
          <w:sz w:val="17"/>
          <w:szCs w:val="17"/>
          <w:color w:val="auto"/>
        </w:rPr>
        <w:t>We granted options to purchase 1,709,007 shares of our common stock on February 5, 2013. Our board of directors set an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$1.00 per share. In the 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$1.00 per share.</w:t>
      </w:r>
    </w:p>
    <w:p>
      <w:pPr>
        <w:spacing w:after="0" w:line="185"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5"/>
          <w:szCs w:val="15"/>
          <w:i w:val="1"/>
          <w:iCs w:val="1"/>
          <w:color w:val="auto"/>
        </w:rPr>
        <w:t xml:space="preserve">April 2013. </w:t>
      </w:r>
      <w:r>
        <w:rPr>
          <w:rFonts w:ascii="Arial" w:cs="Arial" w:eastAsia="Arial" w:hAnsi="Arial"/>
          <w:sz w:val="15"/>
          <w:szCs w:val="15"/>
          <w:color w:val="auto"/>
        </w:rPr>
        <w:t>We obtained a contemporaneous independent valuation of our common stock as of April 30, 2013. Our considerations of the form, timing and</w:t>
      </w:r>
      <w:r>
        <w:rPr>
          <w:rFonts w:ascii="Arial" w:cs="Arial" w:eastAsia="Arial" w:hAnsi="Arial"/>
          <w:sz w:val="15"/>
          <w:szCs w:val="15"/>
          <w:i w:val="1"/>
          <w:iCs w:val="1"/>
          <w:color w:val="auto"/>
        </w:rPr>
        <w:t xml:space="preserve"> </w:t>
      </w:r>
      <w:r>
        <w:rPr>
          <w:rFonts w:ascii="Arial" w:cs="Arial" w:eastAsia="Arial" w:hAnsi="Arial"/>
          <w:sz w:val="15"/>
          <w:szCs w:val="15"/>
          <w:color w:val="auto"/>
        </w:rPr>
        <w:t>probability of a particular 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62"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79"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7"/>
          <w:szCs w:val="17"/>
          <w:color w:val="auto"/>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85" w:lineRule="exact"/>
        <w:rPr>
          <w:sz w:val="20"/>
          <w:szCs w:val="20"/>
          <w:color w:val="auto"/>
        </w:rPr>
      </w:pPr>
    </w:p>
    <w:p>
      <w:pPr>
        <w:jc w:val="both"/>
        <w:ind w:firstLine="338"/>
        <w:spacing w:after="0" w:line="282" w:lineRule="auto"/>
        <w:rPr>
          <w:sz w:val="20"/>
          <w:szCs w:val="20"/>
          <w:color w:val="auto"/>
        </w:rPr>
      </w:pPr>
      <w:r>
        <w:rPr>
          <w:rFonts w:ascii="Arial" w:cs="Arial" w:eastAsia="Arial" w:hAnsi="Arial"/>
          <w:sz w:val="17"/>
          <w:szCs w:val="17"/>
          <w:color w:val="auto"/>
        </w:rPr>
        <w:t>We applied equal weighting to the results under the OPM and the PWERM methodologies to arrive at a pre-discounted value and then applied a non-marketability discount of 20% which resulted in 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estimated common stock value of $1.51 per share on a non-marketable, minority interest basis as of April 30, 2013.</w:t>
      </w:r>
    </w:p>
    <w:p>
      <w:pPr>
        <w:spacing w:after="0" w:line="224"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i w:val="1"/>
          <w:iCs w:val="1"/>
          <w:color w:val="auto"/>
        </w:rPr>
        <w:t xml:space="preserve">June 2013. </w:t>
      </w:r>
      <w:r>
        <w:rPr>
          <w:rFonts w:ascii="Arial" w:cs="Arial" w:eastAsia="Arial" w:hAnsi="Arial"/>
          <w:sz w:val="16"/>
          <w:szCs w:val="16"/>
          <w:color w:val="auto"/>
        </w:rPr>
        <w:t>We granted options to purchase 801,625 shares of our common stock on June 20, 2013. Our board of directors set an exercise price of $1.51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for these options based in part on a contemporaneous third-party valuation prepared as of April 30, 2013. Subsequent to the granting of these options, we obtained a third-party valuation as of June 30, 2013 which determined a fair value of our common stock of $1.98 per share on that date.</w:t>
      </w:r>
    </w:p>
    <w:p>
      <w:pPr>
        <w:spacing w:after="0" w:line="163"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June 30, 2013 valuation. We estimated a 70% probability of an IPO and a 30%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10%. The common stock value based on the PWERM method incorporates probability estimates for a potential future IPO in six months with low, mid, and high valuation scenarios at 25%, 60%, and 15% probability, respectively.</w:t>
      </w:r>
    </w:p>
    <w:p>
      <w:pPr>
        <w:spacing w:after="0" w:line="179" w:lineRule="exact"/>
        <w:rPr>
          <w:sz w:val="20"/>
          <w:szCs w:val="20"/>
          <w:color w:val="auto"/>
        </w:rPr>
      </w:pPr>
    </w:p>
    <w:p>
      <w:pPr>
        <w:jc w:val="both"/>
        <w:ind w:firstLine="373"/>
        <w:spacing w:after="0" w:line="322" w:lineRule="auto"/>
        <w:rPr>
          <w:sz w:val="20"/>
          <w:szCs w:val="20"/>
          <w:color w:val="auto"/>
        </w:rPr>
      </w:pPr>
      <w:r>
        <w:rPr>
          <w:rFonts w:ascii="Arial" w:cs="Arial" w:eastAsia="Arial" w:hAnsi="Arial"/>
          <w:sz w:val="15"/>
          <w:szCs w:val="15"/>
          <w:color w:val="auto"/>
        </w:rPr>
        <w:t>For the stay private scenario, we determined the equity value utilizing the Backsolve method based on our outstanding equity securities as of June 30, 2013. The preferred stock has rights, preferences, and privileges that are significantly different from those of our common stock, including the liquidation preferences of the convertible preferred stock. We allocated the equity value to the various classes of securities using the OPM and applied a non-marketability discount of 20%.</w:t>
      </w:r>
    </w:p>
    <w:p>
      <w:pPr>
        <w:spacing w:after="0" w:line="145" w:lineRule="exact"/>
        <w:rPr>
          <w:sz w:val="20"/>
          <w:szCs w:val="20"/>
          <w:color w:val="auto"/>
        </w:rPr>
      </w:pPr>
    </w:p>
    <w:p>
      <w:pPr>
        <w:jc w:val="both"/>
        <w:ind w:firstLine="429"/>
        <w:spacing w:after="0" w:line="282" w:lineRule="auto"/>
        <w:rPr>
          <w:sz w:val="20"/>
          <w:szCs w:val="20"/>
          <w:color w:val="auto"/>
        </w:rPr>
      </w:pPr>
      <w:r>
        <w:rPr>
          <w:rFonts w:ascii="Arial" w:cs="Arial" w:eastAsia="Arial" w:hAnsi="Arial"/>
          <w:sz w:val="17"/>
          <w:szCs w:val="17"/>
          <w:color w:val="auto"/>
        </w:rPr>
        <w:t>We applied a 30% and 70% weighting to the values determined under the OPM and the PWERM methodologies, respectively, which resulted in an estimated common stock value of $1.98 per share on a non-marketable, minority interest basis as of June 30, 2013.</w:t>
      </w:r>
    </w:p>
    <w:p>
      <w:pPr>
        <w:spacing w:after="0" w:line="170" w:lineRule="exact"/>
        <w:rPr>
          <w:sz w:val="20"/>
          <w:szCs w:val="20"/>
          <w:color w:val="auto"/>
        </w:rPr>
      </w:pPr>
    </w:p>
    <w:p>
      <w:pPr>
        <w:jc w:val="both"/>
        <w:ind w:firstLine="372"/>
        <w:spacing w:after="0" w:line="280" w:lineRule="auto"/>
        <w:rPr>
          <w:sz w:val="20"/>
          <w:szCs w:val="20"/>
          <w:color w:val="auto"/>
        </w:rPr>
      </w:pPr>
      <w:r>
        <w:rPr>
          <w:rFonts w:ascii="Arial" w:cs="Arial" w:eastAsia="Arial" w:hAnsi="Arial"/>
          <w:sz w:val="16"/>
          <w:szCs w:val="16"/>
          <w:color w:val="auto"/>
        </w:rPr>
        <w:t>The increase from the April 2013 valuation to the June 2013 valuation primarily resulted from an increase in the enterprise value as a result of continued growth in our business, including increases in FNA volume, obtaining a coverage decision from Aetna, the successful completion of our financings and an increase in the PWERM weighting from 50% to 70%, reflecting a higher probability of an IPO liquidity event. As noted above, the board granted stock options in June 2013 with an exercise price of $1.51 per share based in part on the fair value of our common stock determined in the April 30, 2013 valuation. However, for financial reporting purposes, we reassessed the fair value of the underlying common stock on the June 20, 2013 grant date and determined that the fair value should be based on the June 30, 2013 valuation. This valuation indicated a fair value of our common stock of $1.98 per share and accordingly, for financial reporting purposes, we have recorded stock-based compensation expense based on the reassessed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FNAs we receive and test</w:t>
      </w:r>
    </w:p>
    <w:p>
      <w:pPr>
        <w:spacing w:after="0" w:line="224" w:lineRule="exact"/>
        <w:rPr>
          <w:sz w:val="20"/>
          <w:szCs w:val="20"/>
          <w:color w:val="auto"/>
        </w:rPr>
      </w:pPr>
    </w:p>
    <w:p>
      <w:pPr>
        <w:jc w:val="both"/>
        <w:ind w:firstLine="356"/>
        <w:spacing w:after="0" w:line="262" w:lineRule="auto"/>
        <w:rPr>
          <w:sz w:val="20"/>
          <w:szCs w:val="20"/>
          <w:color w:val="auto"/>
        </w:rPr>
      </w:pPr>
      <w:r>
        <w:rPr>
          <w:rFonts w:ascii="Arial" w:cs="Arial" w:eastAsia="Arial" w:hAnsi="Arial"/>
          <w:sz w:val="17"/>
          <w:szCs w:val="17"/>
          <w:color w:val="auto"/>
        </w:rPr>
        <w:t>The growth in our business is tied to the number of FNAs we receive. Generally 5%-10% of the FNA samples we receive have insufficient cellular material from which to render a cytopathology diagnosis. We do not bill for these tests. For results that are benign or suspicious/malignant, we bill for the cytopathology portion of the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Afirma</w:t>
      </w:r>
    </w:p>
    <w:p>
      <w:pPr>
        <w:spacing w:after="0" w:line="224" w:lineRule="exact"/>
        <w:rPr>
          <w:sz w:val="20"/>
          <w:szCs w:val="20"/>
          <w:color w:val="auto"/>
        </w:rPr>
      </w:pPr>
    </w:p>
    <w:p>
      <w:pPr>
        <w:jc w:val="both"/>
        <w:ind w:firstLine="398"/>
        <w:spacing w:after="0" w:line="301" w:lineRule="auto"/>
        <w:rPr>
          <w:sz w:val="20"/>
          <w:szCs w:val="20"/>
          <w:color w:val="auto"/>
        </w:rPr>
      </w:pPr>
      <w:r>
        <w:rPr>
          <w:rFonts w:ascii="Arial" w:cs="Arial" w:eastAsia="Arial" w:hAnsi="Arial"/>
          <w:sz w:val="15"/>
          <w:szCs w:val="15"/>
          <w:color w:val="auto"/>
        </w:rPr>
        <w:t>As of August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2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6"/>
          <w:szCs w:val="16"/>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Genzyme co-promotion agreement</w:t>
      </w:r>
    </w:p>
    <w:p>
      <w:pPr>
        <w:spacing w:after="0" w:line="224" w:lineRule="exact"/>
        <w:rPr>
          <w:sz w:val="20"/>
          <w:szCs w:val="20"/>
          <w:color w:val="auto"/>
        </w:rPr>
      </w:pPr>
    </w:p>
    <w:p>
      <w:pPr>
        <w:jc w:val="both"/>
        <w:ind w:firstLine="483"/>
        <w:spacing w:after="0" w:line="261" w:lineRule="auto"/>
        <w:rPr>
          <w:sz w:val="20"/>
          <w:szCs w:val="20"/>
          <w:color w:val="auto"/>
        </w:rPr>
      </w:pPr>
      <w:r>
        <w:rPr>
          <w:rFonts w:ascii="Arial" w:cs="Arial" w:eastAsia="Arial" w:hAnsi="Arial"/>
          <w:sz w:val="17"/>
          <w:szCs w:val="17"/>
          <w:color w:val="auto"/>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87"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We also may receive up to an additional $3.0 million from Genzyme, consisting of $0.6 million for each of up to five countries outside of the United States in which we obtain regulatory authorization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70"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7"/>
          <w:szCs w:val="17"/>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products</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24" w:lineRule="exact"/>
        <w:rPr>
          <w:sz w:val="20"/>
          <w:szCs w:val="20"/>
          <w:color w:val="auto"/>
        </w:rPr>
      </w:pPr>
    </w:p>
    <w:p>
      <w:pPr>
        <w:jc w:val="both"/>
        <w:ind w:firstLine="575"/>
        <w:spacing w:after="0" w:line="301"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 fluctuations in FNA volume and collections</w:t>
      </w:r>
    </w:p>
    <w:p>
      <w:pPr>
        <w:spacing w:after="0" w:line="224" w:lineRule="exact"/>
        <w:rPr>
          <w:sz w:val="20"/>
          <w:szCs w:val="20"/>
          <w:color w:val="auto"/>
        </w:rPr>
      </w:pPr>
    </w:p>
    <w:p>
      <w:pPr>
        <w:jc w:val="both"/>
        <w:ind w:firstLine="462"/>
        <w:spacing w:after="0" w:line="279"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first quarter of the succeeding year. The effects of these seasonal fluctuations in prior periods may have been obscured by the growth of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2012 and 2013</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0"/>
              </w:rPr>
              <w:t>Six Months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00"/>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88"/>
              </w:rPr>
              <w:t>Change</w:t>
            </w: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754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3,618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1,910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12,821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20,762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(8,874)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(11,310)</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(2,436)</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(8,874)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(13,385)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color w:val="auto"/>
        </w:rPr>
        <w:t>Revenue increased $5.5 million, or 139%, for the six months ended June 30, 2013 compared to the same period in 2012 primarily due to a $3.8 million increase in revenue from increased adoption of Afirma, resulting in increased collections, and a $1.7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Cost of revenue increased $3.0 million, or 100%, for the six months ended June 30, 2013 compared to the same period in 2012 primarily due to the increase in the number of FNAs received for analysis from 9,535 for the six months ended June 30, 2012 to 23,181 in the same period in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Research and development expenses increased $0.8 million, or 24%, for the six months ended June 30, 2013 compared to the same period in 2012. The increase was primarily driven by a $0.5 million increase in costs to support our product pipeline and ongoing support for Afirma and a $0.4 million increase in personnel expenses related to headcount increase.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7"/>
          <w:szCs w:val="17"/>
          <w:color w:val="auto"/>
        </w:rPr>
        <w:t>Selling and marketing expenses increased $2.3 million, or 75%, for the six months ended June 30, 2013 compared to the same period in 2012. The increase was primarily due to a $1.9 million increase in net expense recognized under our co-promotion agreement with Genzyme, which was entered into in January 2012. The net expense of $1.9 million is comprised of the co-promotion fee to Genzyme offset in part by amortization of the deferred upfront fee paid to us by Genzyme. In addition, there was an increase of $0.2 million in personnel expenses for additional sales representatives hired in the six months ended June 30, 2013 and a $0.2 million increase in marketing and promotional materials.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General and administrative expenses increased $1.9 million, or 53%, for the six months ended June 30, 2013 compared to the same period in 2012. The increase is primarily related to a $1.0 million increase in personnel expenses resulting from an increase in headcount and employee severance, a $0.5 million increase in professional fees and a $0.3 million increase in facility, equipment, and information technology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auto"/>
        </w:rPr>
        <w:t>Other income (expense), net, was ($2.1) million for the six months ended June 30, 2013 and is primarily related to the increase in value of the preferred stock liability associated with our obligation to issue additional shares of Series C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2011 and 2012</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4,659</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7,918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2,546</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30,557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12,646</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536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(15,266)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(18,929)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(541)</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(14,445)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497"/>
        <w:spacing w:after="0" w:line="282" w:lineRule="auto"/>
        <w:rPr>
          <w:sz w:val="20"/>
          <w:szCs w:val="20"/>
          <w:color w:val="auto"/>
        </w:rPr>
      </w:pPr>
      <w:r>
        <w:rPr>
          <w:rFonts w:ascii="Arial" w:cs="Arial" w:eastAsia="Arial" w:hAnsi="Arial"/>
          <w:sz w:val="17"/>
          <w:szCs w:val="17"/>
          <w:color w:val="auto"/>
        </w:rPr>
        <w:t>Revenue increased $9.0 million, or 340%, in 2012 compared to 2011 primarily due to a $6.4 million increase in revenue from increased Afirma adoption, resulting in increased collections, and a $2.6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Cost of revenue increased $4.7 million, or 159%, in 2012 compared to 2011 primarily due to the increase in the number of FNAs received for analysis from 6,402 in 2011 to 25,890 in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7"/>
          <w:szCs w:val="17"/>
          <w:color w:val="auto"/>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Data</w:t>
      </w:r>
    </w:p>
    <w:p>
      <w:pPr>
        <w:spacing w:after="0" w:line="228" w:lineRule="exact"/>
        <w:rPr>
          <w:sz w:val="20"/>
          <w:szCs w:val="20"/>
          <w:color w:val="auto"/>
        </w:rPr>
      </w:pPr>
    </w:p>
    <w:p>
      <w:pPr>
        <w:jc w:val="both"/>
        <w:ind w:firstLine="415"/>
        <w:spacing w:after="0" w:line="287" w:lineRule="auto"/>
        <w:rPr>
          <w:sz w:val="20"/>
          <w:szCs w:val="20"/>
          <w:color w:val="auto"/>
        </w:rPr>
      </w:pPr>
      <w:r>
        <w:rPr>
          <w:rFonts w:ascii="Arial" w:cs="Arial" w:eastAsia="Arial" w:hAnsi="Arial"/>
          <w:sz w:val="16"/>
          <w:szCs w:val="16"/>
          <w:color w:val="auto"/>
        </w:rPr>
        <w:t>The following table sets forth our unaudited quarterly statements of operations data and other data for each of the six most recent quarters in the period ended June 30,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and related notes included elsewhere in this prospectus. The results of historical periods are not necessarily indicative of results for a full year or for any future period.</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8"/>
              </w:rPr>
              <w:t>Mar 31,</w:t>
            </w:r>
          </w:p>
        </w:tc>
        <w:tc>
          <w:tcPr>
            <w:tcW w:w="100" w:type="dxa"/>
            <w:vAlign w:val="bottom"/>
          </w:tcPr>
          <w:p>
            <w:pPr>
              <w:spacing w:after="0"/>
              <w:rPr>
                <w:sz w:val="10"/>
                <w:szCs w:val="10"/>
                <w:color w:val="auto"/>
              </w:rPr>
            </w:pPr>
          </w:p>
        </w:tc>
        <w:tc>
          <w:tcPr>
            <w:tcW w:w="74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w w:val="84"/>
              </w:rPr>
              <w:t>Sept 30,</w:t>
            </w: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87"/>
              </w:rPr>
              <w:t>Dec 31,</w:t>
            </w: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580" w:type="dxa"/>
            <w:vAlign w:val="bottom"/>
          </w:tcPr>
          <w:p>
            <w:pPr>
              <w:jc w:val="right"/>
              <w:ind w:right="18"/>
              <w:spacing w:after="0" w:line="124"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0"/>
              <w:spacing w:after="0" w:line="138"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3"/>
          </w:tcPr>
          <w:p>
            <w:pPr>
              <w:jc w:val="right"/>
              <w:ind w:right="23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4,457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2,773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3,231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Selling and marketing</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2,347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3,055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6"/>
        </w:trPr>
        <w:tc>
          <w:tcPr>
            <w:tcW w:w="42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8,163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9,573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(4,939)</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(5,417)</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(6,490)</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FNAs received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12,424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62"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Operating expenses generally increased consistently with the growth of the business. Cost of revenue increases are directly related to the increasing volume of tests received during the quarters in 2012. During the quarters ended March 31 and June 30,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The continued decrease of our selling and marketing expenses from the quarter ended March 31, 2013 to the quarter ended June 30, 2013 was primarily due to the reduction of direct marketing and consulting expenses. Our general and administrative expenses increased from the quarter ended December 31, 2012 to the quarter ended March 31, 2013, primarily due to building out our Austin, Texas laboratory. The quarter ended March 31, 2013 also included non-recurring severance costs. General and administrative expenses remained relatively flat in the quarter ended June 30, 2013 due in part to the continued build out of the Austin facility, which began processing cytology samples in May, as well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increases in professional and other expenses related to the growth of our business. We expect our general and administrative expenses will increase in the future as we continue to grow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Since inception, our operations have been financed primarily by net proceeds of $78.6 million from sales of our preferred stock and a $10.0 million payment from our co-promotion agreement with Genzyme, and since June 2013, borrowings under our loan and security agreement. As of December 31, 2012 and June 30, 2013, we had $14.0 million and $20.7 million of cash and cash equivalents, respectively.</w:t>
      </w:r>
    </w:p>
    <w:p>
      <w:pPr>
        <w:spacing w:after="0" w:line="179" w:lineRule="exact"/>
        <w:rPr>
          <w:sz w:val="20"/>
          <w:szCs w:val="20"/>
          <w:color w:val="auto"/>
        </w:rPr>
      </w:pPr>
    </w:p>
    <w:p>
      <w:pPr>
        <w:jc w:val="both"/>
        <w:ind w:firstLine="507"/>
        <w:spacing w:after="0" w:line="294"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63" w:lineRule="exact"/>
        <w:rPr>
          <w:sz w:val="20"/>
          <w:szCs w:val="20"/>
          <w:color w:val="auto"/>
        </w:rPr>
      </w:pPr>
    </w:p>
    <w:p>
      <w:pPr>
        <w:jc w:val="both"/>
        <w:ind w:firstLine="340"/>
        <w:spacing w:after="0" w:line="287" w:lineRule="auto"/>
        <w:rPr>
          <w:sz w:val="20"/>
          <w:szCs w:val="20"/>
          <w:color w:val="auto"/>
        </w:rPr>
      </w:pPr>
      <w:r>
        <w:rPr>
          <w:rFonts w:ascii="Arial" w:cs="Arial" w:eastAsia="Arial" w:hAnsi="Arial"/>
          <w:sz w:val="16"/>
          <w:szCs w:val="16"/>
          <w:color w:val="auto"/>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69"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7"/>
          <w:szCs w:val="17"/>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7"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In connection with the drawdown of the initial $5.0 million term loan under the loan and security agreement, we issued the lender a warrant to purchase 99,206 shares of our Series C preferred stock, which will become exercisable for the same number of shares of our common stock following completion of this offering. The warrant will expire on the seventh anniversary of this offering. If we draw down the second term loan under the loan and security agreement, we will issue the lender a second warrant with identical terms.</w:t>
      </w:r>
    </w:p>
    <w:p>
      <w:pPr>
        <w:spacing w:after="0" w:line="185"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Our primary uses of cash are to fund our operations as we continue to grow our business. Cash used to fund operating expenses is impacted by the timing of when we pay expenses, as reflected in the change in our outstanding accounts payable and accrued expenses.</w:t>
      </w:r>
    </w:p>
    <w:p>
      <w:pPr>
        <w:spacing w:after="0" w:line="170"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7"/>
          <w:szCs w:val="17"/>
          <w:color w:val="auto"/>
        </w:rPr>
        <w:t>We believe that our existing cash and cash equivalents as of June 30, 2013, together with amounts available under our loan and security agreement and the estimated net proceeds from this offering, will be sufficient to meet our anticipated cash requirements for at least the next 12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Year Ended</w:t>
            </w: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72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57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5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jc w:val="right"/>
              <w:ind w:right="460"/>
              <w:spacing w:after="0" w:line="12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(Unaudited)</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(13,524)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1,985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(10,623)</w:t>
            </w: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(1,462)</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(642)</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(891)</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15,065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28" w:lineRule="exact"/>
        <w:rPr>
          <w:sz w:val="20"/>
          <w:szCs w:val="20"/>
          <w:color w:val="auto"/>
        </w:rPr>
      </w:pPr>
    </w:p>
    <w:p>
      <w:pPr>
        <w:jc w:val="both"/>
        <w:ind w:firstLine="551"/>
        <w:spacing w:after="0" w:line="281" w:lineRule="auto"/>
        <w:rPr>
          <w:sz w:val="20"/>
          <w:szCs w:val="20"/>
          <w:color w:val="auto"/>
        </w:rPr>
      </w:pPr>
      <w:r>
        <w:rPr>
          <w:rFonts w:ascii="Arial" w:cs="Arial" w:eastAsia="Arial" w:hAnsi="Arial"/>
          <w:sz w:val="16"/>
          <w:szCs w:val="16"/>
          <w:color w:val="auto"/>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 $0.4 million of depreciation and amortization, $0.5 million of stock-based and equity-based compensation and $0.1 million of bad debt expense. The increase in net operating assets of $0.9 million was primarily due to a $1.7 million increase in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for our anticipated initial public offering.</w:t>
      </w:r>
    </w:p>
    <w:p>
      <w:pPr>
        <w:spacing w:after="0" w:line="176" w:lineRule="exact"/>
        <w:rPr>
          <w:sz w:val="20"/>
          <w:szCs w:val="20"/>
          <w:color w:val="auto"/>
        </w:rPr>
      </w:pPr>
    </w:p>
    <w:p>
      <w:pPr>
        <w:jc w:val="both"/>
        <w:ind w:firstLine="513"/>
        <w:spacing w:after="0" w:line="262" w:lineRule="auto"/>
        <w:rPr>
          <w:sz w:val="20"/>
          <w:szCs w:val="20"/>
          <w:color w:val="auto"/>
        </w:rPr>
      </w:pPr>
      <w:r>
        <w:rPr>
          <w:rFonts w:ascii="Arial" w:cs="Arial" w:eastAsia="Arial" w:hAnsi="Arial"/>
          <w:sz w:val="17"/>
          <w:szCs w:val="17"/>
          <w:color w:val="auto"/>
        </w:rPr>
        <w:t>Cash provided by operating activities for the six months ended June 30, 2012 was $2.0 million. The net loss of $8.9 million reflects non-cash charges of $1.1 million in amortization of the deferred fee from Genzyme, $0.3 million of depreciation and amortization and $0.4 million of stock-based and equity-based compensation. The increase in net operating assets of $11.1 million was primarily due to the $10.0 million we received from Genzyme. Accounts payable and accrued liabilities increased $2.1 million due to the growth in our operations and the timing of our payments. Accounts receivable increased by $0.4 million due to the increase in accrued revenue in 2012 as we had only begun to sell Afirma in 2011. In addition, there was a $0.4 million increase in supplies inventory related to increased test volume.</w:t>
      </w:r>
    </w:p>
    <w:p>
      <w:pPr>
        <w:spacing w:after="0" w:line="188"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7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28" w:lineRule="exact"/>
        <w:rPr>
          <w:sz w:val="20"/>
          <w:szCs w:val="20"/>
          <w:color w:val="auto"/>
        </w:rPr>
      </w:pPr>
    </w:p>
    <w:p>
      <w:pPr>
        <w:jc w:val="both"/>
        <w:ind w:firstLine="373"/>
        <w:spacing w:after="0" w:line="352" w:lineRule="auto"/>
        <w:rPr>
          <w:sz w:val="20"/>
          <w:szCs w:val="20"/>
          <w:color w:val="auto"/>
        </w:rPr>
      </w:pPr>
      <w:r>
        <w:rPr>
          <w:rFonts w:ascii="Arial" w:cs="Arial" w:eastAsia="Arial" w:hAnsi="Arial"/>
          <w:sz w:val="15"/>
          <w:szCs w:val="15"/>
          <w:color w:val="auto"/>
        </w:rPr>
        <w:t>Cash used in investing activities is primarily related to the acquisition of property and equipment totaling $0.6 million and $0.9 million for the six months ended June 30, 2012 and 2013, respectively. Purchases of property and equipment were primarily related to research and development and laboratory equipment.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Cash used in investing activities is related to the acquisition of property and equipment totaling $0.3 million and $1.5 million for the years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2011 and 2012, respectively, and the change in restricted cash balance totaling $55,000 and $0 for the years ended December 31, 2011 and 2012,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Purchases of property and equipment were primarily related to research and development and laboratory equipment.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28"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7"/>
          <w:szCs w:val="17"/>
          <w:color w:val="auto"/>
        </w:rPr>
        <w:t>Cash from financing activities for the six months ended June 30, 2013 primarily is from net proceeds of $4.9 million from the loan and security agreement we entered into in June 2013 and net proceeds of $13.0 million from the sale of our convertible preferred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Cash from financing activities for the six months ended June 30, 2012 consists of proceeds of $66,000 from the exercise of options to purchase common stock.</w:t>
      </w:r>
    </w:p>
    <w:p>
      <w:pPr>
        <w:spacing w:after="0" w:line="247"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Cash from financing activities for the years ended December 31, 2011 and 2012 of $18.6 million and $15.1 million, respectively, were primarily due to the net proceeds from the sale of our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contractual obligations as of December 31, 2012 (in thousands):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5100" w:type="dxa"/>
            <w:vAlign w:val="bottom"/>
          </w:tcPr>
          <w:p>
            <w:pPr>
              <w:spacing w:after="0"/>
              <w:rPr>
                <w:sz w:val="10"/>
                <w:szCs w:val="10"/>
                <w:color w:val="auto"/>
              </w:rPr>
            </w:pPr>
          </w:p>
        </w:tc>
        <w:tc>
          <w:tcPr>
            <w:tcW w:w="90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Less Than</w:t>
            </w:r>
          </w:p>
        </w:tc>
        <w:tc>
          <w:tcPr>
            <w:tcW w:w="76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4"/>
              </w:rPr>
              <w:t>1 to 3</w:t>
            </w:r>
          </w:p>
        </w:tc>
        <w:tc>
          <w:tcPr>
            <w:tcW w:w="66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3 to 5</w:t>
            </w:r>
          </w:p>
        </w:tc>
        <w:tc>
          <w:tcPr>
            <w:tcW w:w="9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7"/>
              </w:rPr>
              <w:t>More Than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2"/>
              </w:rPr>
              <w:t>1 Year</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816</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  1,927</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  635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3,508</w:t>
            </w:r>
          </w:p>
        </w:tc>
      </w:tr>
      <w:tr>
        <w:trPr>
          <w:trHeight w:val="26"/>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In February 2010, we entered into a non-cancellable lease agreement to lease our headquarters and laboratory space in South San Francisco, California. The lease expires in March 2016.</w:t>
      </w:r>
    </w:p>
    <w:p>
      <w:pPr>
        <w:spacing w:after="0" w:line="170" w:lineRule="exact"/>
        <w:rPr>
          <w:sz w:val="20"/>
          <w:szCs w:val="20"/>
          <w:color w:val="auto"/>
        </w:rPr>
      </w:pPr>
    </w:p>
    <w:p>
      <w:pPr>
        <w:jc w:val="both"/>
        <w:ind w:firstLine="386"/>
        <w:spacing w:after="0" w:line="282" w:lineRule="auto"/>
        <w:rPr>
          <w:sz w:val="20"/>
          <w:szCs w:val="20"/>
          <w:color w:val="auto"/>
        </w:rPr>
      </w:pPr>
      <w:r>
        <w:rPr>
          <w:rFonts w:ascii="Arial" w:cs="Arial" w:eastAsia="Arial" w:hAnsi="Arial"/>
          <w:sz w:val="17"/>
          <w:szCs w:val="17"/>
          <w:color w:val="auto"/>
        </w:rPr>
        <w:t>In November 2012, we entered into a non-cancellable lease agreement commencing February 2013 to lease laboratory space in Austin, Texas. The lease expires in July 2018.</w:t>
      </w:r>
    </w:p>
    <w:p>
      <w:pPr>
        <w:spacing w:after="0" w:line="170" w:lineRule="exact"/>
        <w:rPr>
          <w:sz w:val="20"/>
          <w:szCs w:val="20"/>
          <w:color w:val="auto"/>
        </w:rPr>
      </w:pPr>
    </w:p>
    <w:p>
      <w:pPr>
        <w:jc w:val="both"/>
        <w:ind w:firstLine="361"/>
        <w:spacing w:after="0" w:line="315" w:lineRule="auto"/>
        <w:rPr>
          <w:sz w:val="20"/>
          <w:szCs w:val="20"/>
          <w:color w:val="auto"/>
        </w:rPr>
      </w:pPr>
      <w:r>
        <w:rPr>
          <w:rFonts w:ascii="Arial" w:cs="Arial" w:eastAsia="Arial" w:hAnsi="Arial"/>
          <w:sz w:val="16"/>
          <w:szCs w:val="16"/>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$14.0 million and $20.7 million as of December 31, 2012 and June 30, 2013, respectively, which consist of bank deposits and money market funds. Such interest-bearing instruments carry a degree of risk; however, we have not been exposed to, nor do we anticipate being exposed to, material risks due to changes in interest rates. A hypothetical 10% change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interest rates during any of the periods presented would not have had a material impact on our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28"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color w:val="auto"/>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87"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85"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7"/>
          <w:szCs w:val="17"/>
          <w:color w:val="auto"/>
        </w:rPr>
        <w:t xml:space="preserve">In February 2013, the FASB issued Accounting Standards Update (ASU) No. 2013-02, </w:t>
      </w:r>
      <w:r>
        <w:rPr>
          <w:rFonts w:ascii="Arial" w:cs="Arial" w:eastAsia="Arial" w:hAnsi="Arial"/>
          <w:sz w:val="17"/>
          <w:szCs w:val="17"/>
          <w:i w:val="1"/>
          <w:iCs w:val="1"/>
          <w:color w:val="auto"/>
        </w:rPr>
        <w:t>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This ASU requires reporting and disclosure about changes in accumulated other comprehensive income balances and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We adopted this guidance as of January 1, 2013 on a prospective basis and the adoption did not have a material effect on our financial statements as we do not have comprehensive income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$17.1 million for the trailing twelve months ending June 30, 2013.</w:t>
      </w:r>
    </w:p>
    <w:p>
      <w:pPr>
        <w:spacing w:after="0" w:line="187"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predicting outcomes and guiding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90" w:lineRule="exact"/>
        <w:rPr>
          <w:sz w:val="20"/>
          <w:szCs w:val="20"/>
          <w:color w:val="auto"/>
        </w:rPr>
      </w:pPr>
    </w:p>
    <w:p>
      <w:pPr>
        <w:jc w:val="both"/>
        <w:ind w:firstLine="523"/>
        <w:spacing w:after="0" w:line="263" w:lineRule="auto"/>
        <w:rPr>
          <w:sz w:val="20"/>
          <w:szCs w:val="20"/>
          <w:color w:val="auto"/>
        </w:rPr>
      </w:pPr>
      <w:r>
        <w:rPr>
          <w:rFonts w:ascii="Arial" w:cs="Arial" w:eastAsia="Arial" w:hAnsi="Arial"/>
          <w:sz w:val="17"/>
          <w:szCs w:val="17"/>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broad range of areas including thyroid, pulmonology, dermatology and reproductive endocrinology. Based on our internal analysis and third-party data, we believe molecular diagnostic solutions to address these markets could represent an approximately $4.0 billion opportunity.</w:t>
      </w:r>
    </w:p>
    <w:p>
      <w:pPr>
        <w:spacing w:after="0" w:line="187"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 provides meaningful diagnostic information. We position our diagnostic solution as an alternative to an invasive procedure and attempt to efficiently validate the accuracy of our diagnostic tests during product development by comparing our results to those obtained using the more invasive approach.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38"/>
        <w:spacing w:after="0" w:line="300" w:lineRule="auto"/>
        <w:rPr>
          <w:sz w:val="20"/>
          <w:szCs w:val="20"/>
          <w:color w:val="auto"/>
        </w:rPr>
      </w:pPr>
      <w:r>
        <w:rPr>
          <w:rFonts w:ascii="Arial" w:cs="Arial" w:eastAsia="Arial" w:hAnsi="Arial"/>
          <w:sz w:val="15"/>
          <w:szCs w:val="15"/>
          <w:color w:val="auto"/>
        </w:rPr>
        <w:t>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Approximately 525,000 thyroid FNAs were performed in the United States in 2011. Typically 15% to 30% of FNAs yield indeterminate results, meaning they cannot be diagnosed as definitively benign or malignant by cytopathology alone. Because the risk of malignancy is approximately 25% for an indeterminate diagnosis, clinical practice guidelines have historically recommended that patients with indeterminate cytopathology results undergo surgery to remove part or all of their thyroid to obtain an accurate pathology diagnosis. However, in 70%-80% of these cases, the thyroid nodule proves to be benign for cancer. We estimate the average cost of surgery to be $15,000, and surgery can result in complications and leave a patient in need of hormone replacement therapy for life.</w:t>
      </w:r>
    </w:p>
    <w:p>
      <w:pPr>
        <w:spacing w:after="0" w:line="163" w:lineRule="exact"/>
        <w:rPr>
          <w:sz w:val="20"/>
          <w:szCs w:val="20"/>
          <w:color w:val="auto"/>
        </w:rPr>
      </w:pPr>
    </w:p>
    <w:p>
      <w:pPr>
        <w:jc w:val="both"/>
        <w:ind w:firstLine="373"/>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The GEC reduces the number of unnecessary diagnostic surgeries by analyzing the genomic signature of FNA samples judged to be indeterminate by cytopathology and reclassifies about 50% of those nodules to a benign diagnosis. In </w:t>
      </w:r>
      <w:r>
        <w:rPr>
          <w:rFonts w:ascii="Arial" w:cs="Arial" w:eastAsia="Arial" w:hAnsi="Arial"/>
          <w:sz w:val="16"/>
          <w:szCs w:val="16"/>
          <w:i w:val="1"/>
          <w:iCs w:val="1"/>
          <w:color w:val="auto"/>
        </w:rPr>
        <w:t>The New</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England Journal of Medicine </w:t>
      </w:r>
      <w:r>
        <w:rPr>
          <w:rFonts w:ascii="Arial" w:cs="Arial" w:eastAsia="Arial" w:hAnsi="Arial"/>
          <w:sz w:val="16"/>
          <w:szCs w:val="16"/>
          <w:color w:val="auto"/>
        </w:rPr>
        <w:t>clinical validation study for the GEC, the study authors concluded that the GEC could be useful to physicians in making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covered 368 patients from 51 different endocrinologists. Each of these patients had both a cytopathology indeterminate result and a GEC-benign result. The study found that physicians recommended surgery in only 7.6% of these cases, representing a 90% reduction in surgeries when compared to the historical average for patients with cytopathology indeterminate results alone. We believe the GEC is currently the only diagnostic test that meets the criteria of the National Comprehensive Cancer Network, or NCCN, for safely monitoring patients with indeterminate cytopathology results in lieu of surgery.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147955</wp:posOffset>
            </wp:positionV>
            <wp:extent cx="5694045" cy="31216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940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In addition to thyroid cancer, there are many other complex diseases in which cytology samples play a critical role in clinical decision making. As with thyroid nodule diagnosis, inherent ambiguity in evaluation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of cytopathology samples often results in unnecessary costs and procedures that would be avoidable if a molecular diagnostic test could refine diagnoses reached by cytopathology alone. We are currently developing the Afirma Malignant GEC test to identify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Disease Diagnosis Today</w:t>
      </w:r>
    </w:p>
    <w:p>
      <w:pPr>
        <w:spacing w:after="0" w:line="228" w:lineRule="exact"/>
        <w:rPr>
          <w:sz w:val="20"/>
          <w:szCs w:val="20"/>
          <w:color w:val="auto"/>
        </w:rPr>
      </w:pPr>
    </w:p>
    <w:p>
      <w:pPr>
        <w:jc w:val="both"/>
        <w:ind w:firstLine="384"/>
        <w:spacing w:after="0" w:line="278" w:lineRule="auto"/>
        <w:rPr>
          <w:sz w:val="20"/>
          <w:szCs w:val="20"/>
          <w:color w:val="auto"/>
        </w:rPr>
      </w:pPr>
      <w:r>
        <w:rPr>
          <w:rFonts w:ascii="Arial" w:cs="Arial" w:eastAsia="Arial" w:hAnsi="Arial"/>
          <w:sz w:val="16"/>
          <w:szCs w:val="16"/>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 patient care would be meaningfully improved with lower costs if that diagnosis could be provided without surgery.</w:t>
      </w:r>
    </w:p>
    <w:p>
      <w:pPr>
        <w:spacing w:after="0" w:line="176" w:lineRule="exact"/>
        <w:rPr>
          <w:sz w:val="20"/>
          <w:szCs w:val="20"/>
          <w:color w:val="auto"/>
        </w:rPr>
      </w:pPr>
    </w:p>
    <w:p>
      <w:pPr>
        <w:jc w:val="both"/>
        <w:ind w:firstLine="414"/>
        <w:spacing w:after="0" w:line="262" w:lineRule="auto"/>
        <w:rPr>
          <w:sz w:val="20"/>
          <w:szCs w:val="20"/>
          <w:color w:val="auto"/>
        </w:rPr>
      </w:pPr>
      <w:r>
        <w:rPr>
          <w:rFonts w:ascii="Arial" w:cs="Arial" w:eastAsia="Arial" w:hAnsi="Arial"/>
          <w:sz w:val="17"/>
          <w:szCs w:val="17"/>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88" w:lineRule="exact"/>
        <w:rPr>
          <w:sz w:val="20"/>
          <w:szCs w:val="20"/>
          <w:color w:val="auto"/>
        </w:rPr>
      </w:pPr>
    </w:p>
    <w:p>
      <w:pPr>
        <w:jc w:val="both"/>
        <w:ind w:firstLine="435"/>
        <w:spacing w:after="0" w:line="28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7"/>
          <w:szCs w:val="17"/>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firstLine="497"/>
        <w:spacing w:after="0" w:line="278"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76" w:lineRule="exact"/>
        <w:rPr>
          <w:sz w:val="20"/>
          <w:szCs w:val="20"/>
          <w:color w:val="auto"/>
        </w:rPr>
      </w:pPr>
    </w:p>
    <w:p>
      <w:pPr>
        <w:jc w:val="both"/>
        <w:ind w:firstLine="404"/>
        <w:spacing w:after="0" w:line="301" w:lineRule="auto"/>
        <w:rPr>
          <w:sz w:val="20"/>
          <w:szCs w:val="20"/>
          <w:color w:val="auto"/>
        </w:rPr>
      </w:pPr>
      <w:r>
        <w:rPr>
          <w:rFonts w:ascii="Arial" w:cs="Arial" w:eastAsia="Arial" w:hAnsi="Arial"/>
          <w:sz w:val="15"/>
          <w:szCs w:val="15"/>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 partner with key opinion leaders to design and execute clinical studies that specifically validate the key attributes we believe will be required for broad adoption and reimbursement of our products.</w:t>
      </w:r>
    </w:p>
    <w:p>
      <w:pPr>
        <w:spacing w:after="0" w:line="164" w:lineRule="exact"/>
        <w:rPr>
          <w:sz w:val="20"/>
          <w:szCs w:val="20"/>
          <w:color w:val="auto"/>
        </w:rPr>
      </w:pPr>
    </w:p>
    <w:p>
      <w:pPr>
        <w:jc w:val="both"/>
        <w:ind w:firstLine="439"/>
        <w:spacing w:after="0" w:line="261" w:lineRule="auto"/>
        <w:rPr>
          <w:sz w:val="20"/>
          <w:szCs w:val="20"/>
          <w:color w:val="auto"/>
        </w:rPr>
      </w:pPr>
      <w:r>
        <w:rPr>
          <w:rFonts w:ascii="Arial" w:cs="Arial" w:eastAsia="Arial" w:hAnsi="Arial"/>
          <w:sz w:val="17"/>
          <w:szCs w:val="17"/>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90"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guides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88" w:lineRule="exact"/>
        <w:rPr>
          <w:sz w:val="20"/>
          <w:szCs w:val="20"/>
          <w:color w:val="auto"/>
        </w:rPr>
      </w:pPr>
    </w:p>
    <w:p>
      <w:pPr>
        <w:jc w:val="both"/>
        <w:ind w:firstLine="363"/>
        <w:spacing w:after="0" w:line="270"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requirements, which informs our strategy across disease selection, clinical study design, marketing and sales.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Thyroid Cancer Diagnostic Market</w:t>
      </w:r>
    </w:p>
    <w:p>
      <w:pPr>
        <w:spacing w:after="0" w:line="228" w:lineRule="exact"/>
        <w:rPr>
          <w:sz w:val="20"/>
          <w:szCs w:val="20"/>
          <w:color w:val="auto"/>
        </w:rPr>
      </w:pPr>
    </w:p>
    <w:p>
      <w:pPr>
        <w:ind w:firstLine="415"/>
        <w:spacing w:after="0" w:line="282" w:lineRule="auto"/>
        <w:rPr>
          <w:sz w:val="20"/>
          <w:szCs w:val="20"/>
          <w:color w:val="auto"/>
        </w:rPr>
      </w:pPr>
      <w:r>
        <w:rPr>
          <w:rFonts w:ascii="Arial" w:cs="Arial" w:eastAsia="Arial" w:hAnsi="Arial"/>
          <w:sz w:val="17"/>
          <w:szCs w:val="17"/>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83" w:lineRule="exact"/>
        <w:rPr>
          <w:sz w:val="20"/>
          <w:szCs w:val="20"/>
          <w:color w:val="auto"/>
        </w:rPr>
      </w:pPr>
    </w:p>
    <w:p>
      <w:pPr>
        <w:jc w:val="both"/>
        <w:ind w:left="1060" w:hanging="531"/>
        <w:spacing w:after="0" w:line="260"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Large, growing market. </w:t>
      </w:r>
      <w:r>
        <w:rPr>
          <w:rFonts w:ascii="Arial" w:cs="Arial" w:eastAsia="Arial" w:hAnsi="Arial"/>
          <w:sz w:val="17"/>
          <w:szCs w:val="17"/>
          <w:color w:val="auto"/>
        </w:rPr>
        <w:t>Thyroid cancer is the fastest growing cancer in the United States according to the American Cancer Society, and screening of</w:t>
      </w:r>
      <w:r>
        <w:rPr>
          <w:rFonts w:ascii="Arial" w:cs="Arial" w:eastAsia="Arial" w:hAnsi="Arial"/>
          <w:sz w:val="17"/>
          <w:szCs w:val="17"/>
          <w:i w:val="1"/>
          <w:iCs w:val="1"/>
          <w:color w:val="auto"/>
        </w:rPr>
        <w:t xml:space="preserve"> </w:t>
      </w:r>
      <w:r>
        <w:rPr>
          <w:rFonts w:ascii="Arial" w:cs="Arial" w:eastAsia="Arial" w:hAnsi="Arial"/>
          <w:sz w:val="17"/>
          <w:szCs w:val="17"/>
          <w:color w:val="auto"/>
        </w:rPr>
        <w:t>nodules suspicious 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$50 million related to a molecular cytology test for malignant thyroid FNA samples. Our market research indicates that there is an estimated $300 million market opportunity for the GEC internationally. We believe we can effectively market Afirma with a small specialty sales force in part because Afirma represents a significant innovation in the underserved thyroid cancer diagnostic market. Because Afirma represents a significant innovation for this underserved and relatively concentrated base of physicians, we believe we can effectively market Afirma with a small specialty sales force.</w:t>
      </w:r>
    </w:p>
    <w:p>
      <w:pPr>
        <w:spacing w:after="0" w:line="217" w:lineRule="exact"/>
        <w:rPr>
          <w:rFonts w:ascii="Arial" w:cs="Arial" w:eastAsia="Arial" w:hAnsi="Arial"/>
          <w:sz w:val="17"/>
          <w:szCs w:val="17"/>
          <w:color w:val="auto"/>
        </w:rPr>
      </w:pPr>
    </w:p>
    <w:p>
      <w:pPr>
        <w:jc w:val="both"/>
        <w:ind w:left="1060" w:hanging="531"/>
        <w:spacing w:after="0" w:line="306" w:lineRule="auto"/>
        <w:tabs>
          <w:tab w:leader="none" w:pos="106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High costs of unnecessary surgery for patients and payers. </w:t>
      </w:r>
      <w:r>
        <w:rPr>
          <w:rFonts w:ascii="Arial" w:cs="Arial" w:eastAsia="Arial" w:hAnsi="Arial"/>
          <w:sz w:val="15"/>
          <w:szCs w:val="15"/>
          <w:color w:val="auto"/>
        </w:rPr>
        <w:t>The biology of thyroid cells is complex. Microscopic analysis by a cytopathologist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in 15% to 30% of diagnoses being deemed indeterminate, meaning they cannot be diagnosed as definitively benign or malignant by cytopathology alone. This ambiguity results in confusion for doctors and patients. The 2011 NCCN Clinical Practice Guidelines in Oncology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72" w:lineRule="exact"/>
        <w:rPr>
          <w:rFonts w:ascii="Arial" w:cs="Arial" w:eastAsia="Arial" w:hAnsi="Arial"/>
          <w:sz w:val="15"/>
          <w:szCs w:val="15"/>
          <w:color w:val="auto"/>
        </w:rPr>
      </w:pPr>
    </w:p>
    <w:p>
      <w:pPr>
        <w:jc w:val="both"/>
        <w:ind w:left="1060" w:hanging="531"/>
        <w:spacing w:after="0" w:line="265"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Concentrated base of customers. </w:t>
      </w:r>
      <w:r>
        <w:rPr>
          <w:rFonts w:ascii="Arial" w:cs="Arial" w:eastAsia="Arial" w:hAnsi="Arial"/>
          <w:sz w:val="17"/>
          <w:szCs w:val="17"/>
          <w:color w:val="auto"/>
        </w:rPr>
        <w:t>We estimate that approximately 3,500 endocrinologists specialize in thyroid disease. While endocrinologists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Highly fragmented thyroid FNA cytopathology market. </w:t>
      </w:r>
      <w:r>
        <w:rPr>
          <w:rFonts w:ascii="Arial" w:cs="Arial" w:eastAsia="Arial" w:hAnsi="Arial"/>
          <w:sz w:val="17"/>
          <w:szCs w:val="17"/>
          <w:color w:val="auto"/>
        </w:rPr>
        <w:t>We believe the analysis of thyroid FNAs is highly fragmented among local cytopathologists</w:t>
      </w:r>
      <w:r>
        <w:rPr>
          <w:rFonts w:ascii="Arial" w:cs="Arial" w:eastAsia="Arial" w:hAnsi="Arial"/>
          <w:sz w:val="17"/>
          <w:szCs w:val="17"/>
          <w:i w:val="1"/>
          <w:iCs w:val="1"/>
          <w:color w:val="auto"/>
        </w:rPr>
        <w:t xml:space="preserve"> </w:t>
      </w:r>
      <w:r>
        <w:rPr>
          <w:rFonts w:ascii="Arial" w:cs="Arial" w:eastAsia="Arial" w:hAnsi="Arial"/>
          <w:sz w:val="17"/>
          <w:szCs w:val="17"/>
          <w:color w:val="auto"/>
        </w:rPr>
        <w:t>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Afirma Thyroid FNA Analysis</w:t>
      </w:r>
    </w:p>
    <w:p>
      <w:pPr>
        <w:spacing w:after="0" w:line="228"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Afirma Thyroid FNA Analysis is our comprehensive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8"/>
        <w:spacing w:after="0" w:line="301" w:lineRule="auto"/>
        <w:rPr>
          <w:sz w:val="20"/>
          <w:szCs w:val="20"/>
          <w:color w:val="auto"/>
        </w:rPr>
      </w:pPr>
      <w:r>
        <w:rPr>
          <w:rFonts w:ascii="Arial" w:cs="Arial" w:eastAsia="Arial" w:hAnsi="Arial"/>
          <w:sz w:val="15"/>
          <w:szCs w:val="15"/>
          <w:color w:val="auto"/>
        </w:rPr>
        <w:t>The majority of our customers practice in the community setting. Our community-based customers send both the cytopathology and the GEC samples overnight to our licensed CLIA laboratory for analysis. After we receive samples and accession them into our laboratory information system, the GEC samples are stored in a freezer while the cytopathology samples are prepared and stained for review by Thyroid Cytology Partners, or TCP, a practice solely focused on thyroid FNA analysis.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64"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color w:val="auto"/>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79"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79"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Whether the final result is rendered by cytopathology alone or a combination of cytopathology and the GEC, physicians receive an actionable answer based on samples collected in a single patient visit.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147955</wp:posOffset>
            </wp:positionV>
            <wp:extent cx="5544185" cy="31464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4418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Advantages of Afirma for Stakeholders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w:t>
      </w:r>
    </w:p>
    <w:p>
      <w:pPr>
        <w:spacing w:after="0" w:line="224"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7"/>
          <w:szCs w:val="17"/>
          <w:color w:val="auto"/>
        </w:rPr>
        <w:t>With the GEC, approximately half of the patients with indeterminate cytology results may avoid unnecessary, invasive diagnostic surgery. Patients who obtain an Afirma benign result avoid the potential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surgery-related complications, the effects of life-long hormone replacement therapy and the associated costs. We estimate that approximately 115,000 FNAs performed in the United States in 2011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Physicians</w:t>
      </w:r>
    </w:p>
    <w:p>
      <w:pPr>
        <w:spacing w:after="0" w:line="224" w:lineRule="exact"/>
        <w:rPr>
          <w:sz w:val="20"/>
          <w:szCs w:val="20"/>
          <w:color w:val="auto"/>
        </w:rPr>
      </w:pPr>
    </w:p>
    <w:p>
      <w:pPr>
        <w:jc w:val="both"/>
        <w:ind w:firstLine="416"/>
        <w:spacing w:after="0" w:line="281" w:lineRule="auto"/>
        <w:rPr>
          <w:sz w:val="20"/>
          <w:szCs w:val="20"/>
          <w:color w:val="auto"/>
        </w:rPr>
      </w:pPr>
      <w:r>
        <w:rPr>
          <w:rFonts w:ascii="Arial" w:cs="Arial" w:eastAsia="Arial" w:hAnsi="Arial"/>
          <w:sz w:val="16"/>
          <w:szCs w:val="16"/>
          <w:color w:val="auto"/>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commissioned by Genzyme, a survey of 229 endocrinologists indicated that 86% of 102 Afirma users reported that they were either extremely satisfied or very satisfied with the services of TCP.</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Payers</w:t>
      </w:r>
    </w:p>
    <w:p>
      <w:pPr>
        <w:spacing w:after="0" w:line="22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6"/>
          <w:szCs w:val="16"/>
          <w:i w:val="1"/>
          <w:iCs w:val="1"/>
          <w:color w:val="auto"/>
        </w:rPr>
        <w:t>Journal of Clinical Endocrinology and Metabolism,</w:t>
      </w:r>
      <w:r>
        <w:rPr>
          <w:rFonts w:ascii="Arial" w:cs="Arial" w:eastAsia="Arial" w:hAnsi="Arial"/>
          <w:sz w:val="16"/>
          <w:szCs w:val="16"/>
          <w:color w:val="auto"/>
        </w:rPr>
        <w:t xml:space="preserve"> concluded that routine use of the GEC in the United States would prevent tens of thousands of surgeries each year. Based on our estimate of the average cost of surgery of $15,000 as well as clinical utility studies, we believe full adoption of Afirma would result in over $500 million in direct cost savings to the healthcare system over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generate significant cost savings for the healthcare system.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Key initiatives driving our strategy include:</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growth of Afirma. </w:t>
      </w:r>
      <w:r>
        <w:rPr>
          <w:rFonts w:ascii="Arial" w:cs="Arial" w:eastAsia="Arial" w:hAnsi="Arial"/>
          <w:sz w:val="17"/>
          <w:szCs w:val="17"/>
          <w:color w:val="auto"/>
        </w:rPr>
        <w:t>We will continue to drive rapid adoption of Afirma by expanding our base of prescribing physicians and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broader reimbursement. We plan to selectively grow our sales force in high-volume geographies domestically and leverage our marketing relationship with Genzyme to accelerate Afirma growth both in the Unites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214"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Market our novel molecular diagnostic tests as the centerpiece of a comprehensive patient-care solution. </w:t>
      </w:r>
      <w:r>
        <w:rPr>
          <w:rFonts w:ascii="Arial" w:cs="Arial" w:eastAsia="Arial" w:hAnsi="Arial"/>
          <w:sz w:val="15"/>
          <w:szCs w:val="15"/>
          <w:color w:val="auto"/>
        </w:rPr>
        <w:t>In each disease area we pursue, we intend to</w:t>
      </w:r>
      <w:r>
        <w:rPr>
          <w:rFonts w:ascii="Arial" w:cs="Arial" w:eastAsia="Arial" w:hAnsi="Arial"/>
          <w:sz w:val="15"/>
          <w:szCs w:val="15"/>
          <w:i w:val="1"/>
          <w:iCs w:val="1"/>
          <w:color w:val="auto"/>
        </w:rPr>
        <w:t xml:space="preserve"> </w:t>
      </w:r>
      <w:r>
        <w:rPr>
          <w:rFonts w:ascii="Arial" w:cs="Arial" w:eastAsia="Arial" w:hAnsi="Arial"/>
          <w:sz w:val="15"/>
          <w:szCs w:val="15"/>
          <w:color w:val="auto"/>
        </w:rPr>
        <w:t>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6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Drive cost and capital efficiencies by offering turnkey solutions to physicians in specialty markets. </w:t>
      </w:r>
      <w:r>
        <w:rPr>
          <w:rFonts w:ascii="Arial" w:cs="Arial" w:eastAsia="Arial" w:hAnsi="Arial"/>
          <w:sz w:val="17"/>
          <w:szCs w:val="17"/>
          <w:color w:val="auto"/>
        </w:rPr>
        <w:t>The infrastructure we have built to make Afirma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available 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214"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Broaden our addressable market in endocrinology. </w:t>
      </w:r>
      <w:r>
        <w:rPr>
          <w:rFonts w:ascii="Arial" w:cs="Arial" w:eastAsia="Arial" w:hAnsi="Arial"/>
          <w:sz w:val="17"/>
          <w:szCs w:val="17"/>
          <w:color w:val="auto"/>
        </w:rPr>
        <w:t>Our product development pipeline includes additional genomic tests to complement Afirma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serve our current 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guide surgical strategy for the treatment of medullary thyroid cancer and other rare and metastatic forms of thyroid cancer.</w:t>
      </w:r>
    </w:p>
    <w:p>
      <w:pPr>
        <w:spacing w:after="0" w:line="200"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Expand molecular cytology to additional diseases. </w:t>
      </w:r>
      <w:r>
        <w:rPr>
          <w:rFonts w:ascii="Arial" w:cs="Arial" w:eastAsia="Arial" w:hAnsi="Arial"/>
          <w:sz w:val="17"/>
          <w:szCs w:val="17"/>
          <w:color w:val="auto"/>
        </w:rPr>
        <w:t>We intend to apply our core competencies we have developed in disease selection, genomic</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 product in 2016 and believe this product will serve as the foundational application to expand our molecular cytology platform within the pulmonology vertical.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Afirma Gene Expression Classifier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224"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7"/>
          <w:szCs w:val="17"/>
          <w:i w:val="1"/>
          <w:iCs w:val="1"/>
          <w:color w:val="auto"/>
        </w:rPr>
        <w:t>Journal of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Endocrinology and Metabolism.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Validation</w:t>
      </w:r>
    </w:p>
    <w:p>
      <w:pPr>
        <w:spacing w:after="0" w:line="224"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Preoperative Diagnosis of Benign Thyroid Nodules with Indeterminate Cytology (The New England Journal of Medicine, 2012)</w:t>
      </w:r>
    </w:p>
    <w:p>
      <w:pPr>
        <w:spacing w:after="0" w:line="224"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6"/>
          <w:szCs w:val="16"/>
          <w:color w:val="auto"/>
        </w:rPr>
        <w:t>In this study,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87" w:lineRule="exact"/>
        <w:rPr>
          <w:sz w:val="20"/>
          <w:szCs w:val="20"/>
          <w:color w:val="auto"/>
        </w:rPr>
      </w:pPr>
    </w:p>
    <w:p>
      <w:pPr>
        <w:jc w:val="both"/>
        <w:ind w:firstLine="724"/>
        <w:spacing w:after="0" w:line="280"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Molecular Classification of Thyroid Nodules using High-Dimensionality Genomic Data (Journal of Clinical Endocrinology and Metabolism, 2010)</w:t>
      </w:r>
    </w:p>
    <w:p>
      <w:pPr>
        <w:spacing w:after="0" w:line="224"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5"/>
          <w:szCs w:val="15"/>
          <w:color w:val="auto"/>
        </w:rPr>
        <w:t>In this study,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59"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Utility and Cost Effectiveness</w:t>
      </w:r>
    </w:p>
    <w:p>
      <w:pPr>
        <w:spacing w:after="0" w:line="224" w:lineRule="exact"/>
        <w:rPr>
          <w:sz w:val="20"/>
          <w:szCs w:val="20"/>
          <w:color w:val="auto"/>
        </w:rPr>
      </w:pPr>
    </w:p>
    <w:p>
      <w:pPr>
        <w:jc w:val="both"/>
        <w:ind w:firstLine="443"/>
        <w:spacing w:after="0" w:line="281" w:lineRule="auto"/>
        <w:rPr>
          <w:sz w:val="20"/>
          <w:szCs w:val="20"/>
          <w:color w:val="auto"/>
        </w:rPr>
      </w:pPr>
      <w:r>
        <w:rPr>
          <w:rFonts w:ascii="Arial" w:cs="Arial" w:eastAsia="Arial" w:hAnsi="Arial"/>
          <w:sz w:val="16"/>
          <w:szCs w:val="16"/>
          <w:color w:val="auto"/>
        </w:rPr>
        <w:t>We collaborated with clinicians to demonstrate the clinical utility of the GEC, which refers to the effect of the GEC result on treatment decision-making and patient outcomes. The clinical utility of the GEC is based on preventing surgery on cytologically indeterminate but benign thyroid nodules that would otherwise be referred for a diagnostic thyroid surgery. Because thyroid nodules with indeterminate FNA cytopathology have an approximately 25% risk of malignancy when resected, approximately 75% of these operations will likely be on nodules determined to be benign post-operatively. Thyroid surgery is associated with potential complications, including temporary and permanent hypocalcemia, recurrent laryngeal nerve injury (with voice change, dysphagia, and potentially airway compromise), and bleeding, with an incidence as high as approximately 2% to 10%. Hypothyroidism is an expected consequence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utility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70"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6"/>
          <w:szCs w:val="16"/>
          <w:color w:val="auto"/>
        </w:rPr>
        <w:t xml:space="preserve">This study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Arial" w:cs="Arial" w:eastAsia="Arial" w:hAnsi="Arial"/>
          <w:sz w:val="16"/>
          <w:szCs w:val="16"/>
          <w:i w:val="1"/>
          <w:iCs w:val="1"/>
          <w:color w:val="auto"/>
        </w:rPr>
        <w:t xml:space="preserve">Thyroid </w:t>
      </w:r>
      <w:r>
        <w:rPr>
          <w:rFonts w:ascii="Arial" w:cs="Arial" w:eastAsia="Arial" w:hAnsi="Arial"/>
          <w:sz w:val="16"/>
          <w:szCs w:val="16"/>
          <w:color w:val="auto"/>
        </w:rPr>
        <w:t>in 2011, a 90% reduction in the decision to operate (p &lt; 0.001). The study demonstrates the effect of the GEC on clinical decision making for patients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indeterminate thyroid nodules. The graph below sets forth the results of the study: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Afirma Gene Expression Classifier:</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143510</wp:posOffset>
            </wp:positionV>
            <wp:extent cx="3071495" cy="30302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71495" cy="303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1"/>
        <w:spacing w:after="0" w:line="270" w:lineRule="auto"/>
        <w:rPr>
          <w:sz w:val="20"/>
          <w:szCs w:val="20"/>
          <w:color w:val="auto"/>
        </w:rPr>
      </w:pPr>
      <w:r>
        <w:rPr>
          <w:rFonts w:ascii="Arial" w:cs="Arial" w:eastAsia="Arial" w:hAnsi="Arial"/>
          <w:sz w:val="17"/>
          <w:szCs w:val="17"/>
          <w:color w:val="auto"/>
        </w:rPr>
        <w:t>In addition, such results were consistent with results from an earlier unpublished study presented at the American Thyroid Association annual scientific meeting in 2011, which reported the results of a web-and mail-based opinion survey of 32 physician practices, with a mean of 89% of physicians reporting that they recommended watchful waiting for patients with cytologically indeterminate FNAs but benign GEC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economics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Cost-effectiveness of a Novel Molecular Test for Cytologically Indeterminate Thyroid Nodules (Journal of Clinical Endocrinology and Metabolism, 2011)</w:t>
      </w:r>
    </w:p>
    <w:p>
      <w:pPr>
        <w:spacing w:after="0" w:line="236"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7"/>
          <w:szCs w:val="17"/>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79" w:lineRule="exact"/>
        <w:rPr>
          <w:sz w:val="20"/>
          <w:szCs w:val="20"/>
          <w:color w:val="auto"/>
        </w:rPr>
      </w:pPr>
    </w:p>
    <w:p>
      <w:pPr>
        <w:jc w:val="both"/>
        <w:ind w:firstLine="429"/>
        <w:spacing w:after="0" w:line="277" w:lineRule="auto"/>
        <w:rPr>
          <w:sz w:val="20"/>
          <w:szCs w:val="20"/>
          <w:color w:val="auto"/>
        </w:rPr>
      </w:pPr>
      <w:r>
        <w:rPr>
          <w:rFonts w:ascii="Arial" w:cs="Arial" w:eastAsia="Arial" w:hAnsi="Arial"/>
          <w:sz w:val="16"/>
          <w:szCs w:val="16"/>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81"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 xml:space="preserve">The cost savings estimate in the Johns Hopkins model was based on an estimated 14% rate of surgery on a GEC benign nodule, which rate is almost double the 7.6% subsequently reported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described above. Based on the rate of surgery on GEC benign nodules reported in </w:t>
      </w:r>
      <w:r>
        <w:rPr>
          <w:rFonts w:ascii="Arial" w:cs="Arial" w:eastAsia="Arial" w:hAnsi="Arial"/>
          <w:sz w:val="17"/>
          <w:szCs w:val="17"/>
          <w:i w:val="1"/>
          <w:iCs w:val="1"/>
          <w:color w:val="auto"/>
        </w:rPr>
        <w:t>Thyroid</w:t>
      </w:r>
      <w:r>
        <w:rPr>
          <w:rFonts w:ascii="Arial" w:cs="Arial" w:eastAsia="Arial" w:hAnsi="Arial"/>
          <w:sz w:val="17"/>
          <w:szCs w:val="17"/>
          <w:color w:val="auto"/>
        </w:rPr>
        <w:t>, we estimate that each GEC test would save approximately $2,600. The graph below sets forth the results of the study: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Impact on Patient Quality-Adjusted Life Years (QALY) and Cost</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143510</wp:posOffset>
            </wp:positionV>
            <wp:extent cx="3696335" cy="258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9633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Analytical Validity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Analytical Performance Verification of a Molecular Diagnostic for Cytology-Indeterminate Thyroid Nodules (Journal of Clinical Endocrinology and Metabolism, 2012)</w:t>
      </w:r>
    </w:p>
    <w:p>
      <w:pPr>
        <w:spacing w:after="0" w:line="170"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79" w:lineRule="exact"/>
        <w:rPr>
          <w:sz w:val="20"/>
          <w:szCs w:val="20"/>
          <w:color w:val="auto"/>
        </w:rPr>
      </w:pPr>
    </w:p>
    <w:p>
      <w:pPr>
        <w:jc w:val="both"/>
        <w:ind w:firstLine="352"/>
        <w:spacing w:after="0" w:line="300" w:lineRule="auto"/>
        <w:rPr>
          <w:sz w:val="20"/>
          <w:szCs w:val="20"/>
          <w:color w:val="auto"/>
        </w:rPr>
      </w:pPr>
      <w:r>
        <w:rPr>
          <w:rFonts w:ascii="Arial" w:cs="Arial" w:eastAsia="Arial" w:hAnsi="Arial"/>
          <w:sz w:val="15"/>
          <w:szCs w:val="15"/>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Afirma clinical studies that have been performed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Study</w:t>
      </w:r>
      <w:r>
        <w:rPr>
          <w:sz w:val="20"/>
          <w:szCs w:val="20"/>
          <w:color w:val="auto"/>
        </w:rPr>
        <w:tab/>
      </w:r>
      <w:r>
        <w:rPr>
          <w:rFonts w:ascii="Arial" w:cs="Arial" w:eastAsia="Arial" w:hAnsi="Arial"/>
          <w:sz w:val="13"/>
          <w:szCs w:val="13"/>
          <w:b w:val="1"/>
          <w:bCs w:val="1"/>
          <w:color w:val="auto"/>
        </w:rPr>
        <w:t>Publication/ Presentation</w:t>
      </w:r>
      <w:r>
        <w:rPr>
          <w:sz w:val="20"/>
          <w:szCs w:val="20"/>
          <w:color w:val="auto"/>
        </w:rPr>
        <w:tab/>
      </w:r>
      <w:r>
        <w:rPr>
          <w:rFonts w:ascii="Arial" w:cs="Arial" w:eastAsia="Arial" w:hAnsi="Arial"/>
          <w:sz w:val="12"/>
          <w:szCs w:val="12"/>
          <w:b w:val="1"/>
          <w:bCs w:val="1"/>
          <w:color w:val="auto"/>
        </w:rPr>
        <w:t>Main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Validity</w:t>
      </w:r>
    </w:p>
    <w:p>
      <w:pPr>
        <w:spacing w:after="0"/>
        <w:tabs>
          <w:tab w:leader="none" w:pos="3640" w:val="left"/>
        </w:tabs>
        <w:rPr>
          <w:sz w:val="20"/>
          <w:szCs w:val="20"/>
          <w:color w:val="auto"/>
        </w:rPr>
      </w:pPr>
      <w:r>
        <w:rPr>
          <w:rFonts w:ascii="Arial" w:cs="Arial" w:eastAsia="Arial" w:hAnsi="Arial"/>
          <w:sz w:val="13"/>
          <w:szCs w:val="13"/>
          <w:color w:val="auto"/>
        </w:rPr>
        <w:t>Preoperative Diagnosis of Benign Thyroid Nodules with</w:t>
      </w:r>
      <w:r>
        <w:rPr>
          <w:sz w:val="20"/>
          <w:szCs w:val="20"/>
          <w:color w:val="auto"/>
        </w:rPr>
        <w:tab/>
      </w:r>
      <w:r>
        <w:rPr>
          <w:rFonts w:ascii="Arial" w:cs="Arial" w:eastAsia="Arial" w:hAnsi="Arial"/>
          <w:sz w:val="12"/>
          <w:szCs w:val="12"/>
          <w:i w:val="1"/>
          <w:iCs w:val="1"/>
          <w:color w:val="auto"/>
        </w:rPr>
        <w:t>The New England Journal of Medicine</w:t>
      </w:r>
    </w:p>
    <w:p>
      <w:pPr>
        <w:spacing w:after="0"/>
        <w:tabs>
          <w:tab w:leader="none" w:pos="3640" w:val="left"/>
        </w:tabs>
        <w:rPr>
          <w:sz w:val="20"/>
          <w:szCs w:val="20"/>
          <w:color w:val="auto"/>
        </w:rPr>
      </w:pPr>
      <w:r>
        <w:rPr>
          <w:rFonts w:ascii="Arial" w:cs="Arial" w:eastAsia="Arial" w:hAnsi="Arial"/>
          <w:sz w:val="13"/>
          <w:szCs w:val="13"/>
          <w:color w:val="auto"/>
        </w:rPr>
        <w:t>Indeterminate Cytology</w:t>
      </w:r>
      <w:r>
        <w:rPr>
          <w:sz w:val="20"/>
          <w:szCs w:val="20"/>
          <w:color w:val="auto"/>
        </w:rPr>
        <w:tab/>
      </w:r>
      <w:r>
        <w:rPr>
          <w:rFonts w:ascii="Arial" w:cs="Arial" w:eastAsia="Arial" w:hAnsi="Arial"/>
          <w:sz w:val="12"/>
          <w:szCs w:val="12"/>
          <w:color w:val="auto"/>
        </w:rPr>
        <w:t>(August 2012)</w:t>
      </w:r>
    </w:p>
    <w:p>
      <w:pPr>
        <w:spacing w:after="0" w:line="200" w:lineRule="exact"/>
        <w:rPr>
          <w:sz w:val="20"/>
          <w:szCs w:val="20"/>
          <w:color w:val="auto"/>
        </w:rPr>
      </w:pPr>
    </w:p>
    <w:p>
      <w:pPr>
        <w:spacing w:after="0" w:line="257" w:lineRule="exact"/>
        <w:rPr>
          <w:sz w:val="20"/>
          <w:szCs w:val="20"/>
          <w:color w:val="auto"/>
        </w:rPr>
      </w:pPr>
    </w:p>
    <w:p>
      <w:pPr>
        <w:spacing w:after="0"/>
        <w:tabs>
          <w:tab w:leader="none" w:pos="3640" w:val="left"/>
        </w:tabs>
        <w:rPr>
          <w:sz w:val="20"/>
          <w:szCs w:val="20"/>
          <w:color w:val="auto"/>
        </w:rPr>
      </w:pPr>
      <w:r>
        <w:rPr>
          <w:rFonts w:ascii="Arial" w:cs="Arial" w:eastAsia="Arial" w:hAnsi="Arial"/>
          <w:sz w:val="13"/>
          <w:szCs w:val="13"/>
          <w:color w:val="auto"/>
        </w:rPr>
        <w:t>Molecular Classification of Thyroid Nodules Using High-</w:t>
      </w:r>
      <w:r>
        <w:rPr>
          <w:sz w:val="20"/>
          <w:szCs w:val="20"/>
          <w:color w:val="auto"/>
        </w:rPr>
        <w:tab/>
      </w:r>
      <w:r>
        <w:rPr>
          <w:rFonts w:ascii="Arial" w:cs="Arial" w:eastAsia="Arial" w:hAnsi="Arial"/>
          <w:sz w:val="12"/>
          <w:szCs w:val="12"/>
          <w:i w:val="1"/>
          <w:iCs w:val="1"/>
          <w:color w:val="auto"/>
        </w:rPr>
        <w:t>Journal of Clinical Endocrinology and Metabolism</w:t>
      </w:r>
    </w:p>
    <w:p>
      <w:pPr>
        <w:spacing w:after="0" w:line="5" w:lineRule="exact"/>
        <w:rPr>
          <w:sz w:val="20"/>
          <w:szCs w:val="20"/>
          <w:color w:val="auto"/>
        </w:rPr>
      </w:pPr>
    </w:p>
    <w:p>
      <w:pPr>
        <w:spacing w:after="0"/>
        <w:tabs>
          <w:tab w:leader="none" w:pos="3640" w:val="left"/>
        </w:tabs>
        <w:rPr>
          <w:sz w:val="20"/>
          <w:szCs w:val="20"/>
          <w:color w:val="auto"/>
        </w:rPr>
      </w:pPr>
      <w:r>
        <w:rPr>
          <w:rFonts w:ascii="Arial" w:cs="Arial" w:eastAsia="Arial" w:hAnsi="Arial"/>
          <w:sz w:val="13"/>
          <w:szCs w:val="13"/>
          <w:color w:val="auto"/>
        </w:rPr>
        <w:t>Dimensionality Genomic Data</w:t>
      </w:r>
      <w:r>
        <w:rPr>
          <w:sz w:val="20"/>
          <w:szCs w:val="20"/>
          <w:color w:val="auto"/>
        </w:rPr>
        <w:tab/>
      </w:r>
      <w:r>
        <w:rPr>
          <w:rFonts w:ascii="Arial" w:cs="Arial" w:eastAsia="Arial" w:hAnsi="Arial"/>
          <w:sz w:val="11"/>
          <w:szCs w:val="11"/>
          <w:color w:val="auto"/>
        </w:rPr>
        <w:t>(December 2010)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Utility</w:t>
      </w:r>
    </w:p>
    <w:p>
      <w:pPr>
        <w:spacing w:after="0"/>
        <w:tabs>
          <w:tab w:leader="none" w:pos="3640" w:val="left"/>
        </w:tabs>
        <w:rPr>
          <w:sz w:val="20"/>
          <w:szCs w:val="20"/>
          <w:color w:val="auto"/>
        </w:rPr>
      </w:pPr>
      <w:r>
        <w:rPr>
          <w:rFonts w:ascii="Arial" w:cs="Arial" w:eastAsia="Arial" w:hAnsi="Arial"/>
          <w:sz w:val="13"/>
          <w:szCs w:val="13"/>
          <w:color w:val="auto"/>
        </w:rPr>
        <w:t>The Impact of Benign Gene Expression Classifier Test</w:t>
      </w:r>
      <w:r>
        <w:rPr>
          <w:sz w:val="20"/>
          <w:szCs w:val="20"/>
          <w:color w:val="auto"/>
        </w:rPr>
        <w:tab/>
      </w:r>
      <w:r>
        <w:rPr>
          <w:rFonts w:ascii="Arial" w:cs="Arial" w:eastAsia="Arial" w:hAnsi="Arial"/>
          <w:sz w:val="12"/>
          <w:szCs w:val="12"/>
          <w:i w:val="1"/>
          <w:iCs w:val="1"/>
          <w:color w:val="auto"/>
        </w:rPr>
        <w:t>Thyroid</w:t>
      </w:r>
    </w:p>
    <w:p>
      <w:pPr>
        <w:spacing w:after="0"/>
        <w:tabs>
          <w:tab w:leader="none" w:pos="3640" w:val="left"/>
        </w:tabs>
        <w:rPr>
          <w:sz w:val="20"/>
          <w:szCs w:val="20"/>
          <w:color w:val="auto"/>
        </w:rPr>
      </w:pPr>
      <w:r>
        <w:rPr>
          <w:rFonts w:ascii="Arial" w:cs="Arial" w:eastAsia="Arial" w:hAnsi="Arial"/>
          <w:sz w:val="13"/>
          <w:szCs w:val="13"/>
          <w:color w:val="auto"/>
        </w:rPr>
        <w:t>Results on the Endocrinologist-Patient Decision to</w:t>
      </w:r>
      <w:r>
        <w:rPr>
          <w:sz w:val="20"/>
          <w:szCs w:val="20"/>
          <w:color w:val="auto"/>
        </w:rPr>
        <w:tab/>
      </w:r>
      <w:r>
        <w:rPr>
          <w:rFonts w:ascii="Arial" w:cs="Arial" w:eastAsia="Arial" w:hAnsi="Arial"/>
          <w:sz w:val="11"/>
          <w:szCs w:val="11"/>
          <w:color w:val="auto"/>
        </w:rPr>
        <w:t>(October 2012)</w:t>
      </w:r>
    </w:p>
    <w:p>
      <w:pPr>
        <w:spacing w:after="0" w:line="232" w:lineRule="auto"/>
        <w:rPr>
          <w:sz w:val="20"/>
          <w:szCs w:val="20"/>
          <w:color w:val="auto"/>
        </w:rPr>
      </w:pPr>
      <w:r>
        <w:rPr>
          <w:rFonts w:ascii="Arial" w:cs="Arial" w:eastAsia="Arial" w:hAnsi="Arial"/>
          <w:sz w:val="13"/>
          <w:szCs w:val="13"/>
          <w:color w:val="auto"/>
        </w:rPr>
        <w:t>Operate on Patients with Thyroid Nodules with</w:t>
      </w:r>
    </w:p>
    <w:p>
      <w:pPr>
        <w:spacing w:after="0"/>
        <w:rPr>
          <w:sz w:val="20"/>
          <w:szCs w:val="20"/>
          <w:color w:val="auto"/>
        </w:rPr>
      </w:pPr>
      <w:r>
        <w:rPr>
          <w:rFonts w:ascii="Arial" w:cs="Arial" w:eastAsia="Arial" w:hAnsi="Arial"/>
          <w:sz w:val="13"/>
          <w:szCs w:val="13"/>
          <w:color w:val="auto"/>
        </w:rPr>
        <w:t>Indeterminate Fine-Needle Aspiration Cytopathology</w:t>
      </w:r>
    </w:p>
    <w:p>
      <w:pPr>
        <w:spacing w:after="0" w:line="168" w:lineRule="exact"/>
        <w:rPr>
          <w:sz w:val="20"/>
          <w:szCs w:val="20"/>
          <w:color w:val="auto"/>
        </w:rPr>
      </w:pPr>
    </w:p>
    <w:p>
      <w:pPr>
        <w:spacing w:after="0"/>
        <w:tabs>
          <w:tab w:leader="none" w:pos="3640" w:val="left"/>
        </w:tabs>
        <w:rPr>
          <w:sz w:val="20"/>
          <w:szCs w:val="20"/>
          <w:color w:val="auto"/>
        </w:rPr>
      </w:pPr>
      <w:r>
        <w:rPr>
          <w:rFonts w:ascii="Arial" w:cs="Arial" w:eastAsia="Arial" w:hAnsi="Arial"/>
          <w:sz w:val="13"/>
          <w:szCs w:val="13"/>
          <w:color w:val="auto"/>
        </w:rPr>
        <w:t>Clinical Practice Impact of a Novel mRNA–based Gene</w:t>
      </w:r>
      <w:r>
        <w:rPr>
          <w:sz w:val="20"/>
          <w:szCs w:val="20"/>
          <w:color w:val="auto"/>
        </w:rPr>
        <w:tab/>
      </w:r>
      <w:r>
        <w:rPr>
          <w:rFonts w:ascii="Arial" w:cs="Arial" w:eastAsia="Arial" w:hAnsi="Arial"/>
          <w:sz w:val="12"/>
          <w:szCs w:val="12"/>
          <w:i w:val="1"/>
          <w:iCs w:val="1"/>
          <w:color w:val="auto"/>
        </w:rPr>
        <w:t xml:space="preserve">American Thyroid Association </w:t>
      </w:r>
      <w:r>
        <w:rPr>
          <w:rFonts w:ascii="Arial" w:cs="Arial" w:eastAsia="Arial" w:hAnsi="Arial"/>
          <w:sz w:val="12"/>
          <w:szCs w:val="12"/>
          <w:color w:val="auto"/>
        </w:rPr>
        <w:t>(</w:t>
      </w:r>
      <w:r>
        <w:rPr>
          <w:rFonts w:ascii="Arial" w:cs="Arial" w:eastAsia="Arial" w:hAnsi="Arial"/>
          <w:sz w:val="12"/>
          <w:szCs w:val="12"/>
          <w:i w:val="1"/>
          <w:iCs w:val="1"/>
          <w:color w:val="auto"/>
        </w:rPr>
        <w:t>Abstract Poster</w:t>
      </w:r>
    </w:p>
    <w:p>
      <w:pPr>
        <w:spacing w:after="0"/>
        <w:tabs>
          <w:tab w:leader="none" w:pos="3640" w:val="left"/>
        </w:tabs>
        <w:rPr>
          <w:sz w:val="20"/>
          <w:szCs w:val="20"/>
          <w:color w:val="auto"/>
        </w:rPr>
      </w:pPr>
      <w:r>
        <w:rPr>
          <w:rFonts w:ascii="Arial" w:cs="Arial" w:eastAsia="Arial" w:hAnsi="Arial"/>
          <w:sz w:val="13"/>
          <w:szCs w:val="13"/>
          <w:color w:val="auto"/>
        </w:rPr>
        <w:t>Expression Classifier in Thyroid Nodules with</w:t>
      </w:r>
      <w:r>
        <w:rPr>
          <w:sz w:val="20"/>
          <w:szCs w:val="20"/>
          <w:color w:val="auto"/>
        </w:rPr>
        <w:tab/>
      </w:r>
      <w:r>
        <w:rPr>
          <w:rFonts w:ascii="Arial" w:cs="Arial" w:eastAsia="Arial" w:hAnsi="Arial"/>
          <w:sz w:val="12"/>
          <w:szCs w:val="12"/>
          <w:i w:val="1"/>
          <w:iCs w:val="1"/>
          <w:color w:val="auto"/>
        </w:rPr>
        <w:t>Presentation</w:t>
      </w:r>
      <w:r>
        <w:rPr>
          <w:rFonts w:ascii="Arial" w:cs="Arial" w:eastAsia="Arial" w:hAnsi="Arial"/>
          <w:sz w:val="12"/>
          <w:szCs w:val="12"/>
          <w:color w:val="auto"/>
        </w:rPr>
        <w:t>)</w:t>
      </w:r>
    </w:p>
    <w:p>
      <w:pPr>
        <w:spacing w:after="0"/>
        <w:tabs>
          <w:tab w:leader="none" w:pos="3640" w:val="left"/>
        </w:tabs>
        <w:rPr>
          <w:sz w:val="20"/>
          <w:szCs w:val="20"/>
          <w:color w:val="auto"/>
        </w:rPr>
      </w:pPr>
      <w:r>
        <w:rPr>
          <w:rFonts w:ascii="Arial" w:cs="Arial" w:eastAsia="Arial" w:hAnsi="Arial"/>
          <w:sz w:val="13"/>
          <w:szCs w:val="13"/>
          <w:color w:val="auto"/>
        </w:rPr>
        <w:t>Indeterminate Fine Needle Aspiration Cytopathology</w:t>
      </w:r>
      <w:r>
        <w:rPr>
          <w:sz w:val="20"/>
          <w:szCs w:val="20"/>
          <w:color w:val="auto"/>
        </w:rPr>
        <w:tab/>
      </w:r>
      <w:r>
        <w:rPr>
          <w:rFonts w:ascii="Arial" w:cs="Arial" w:eastAsia="Arial" w:hAnsi="Arial"/>
          <w:sz w:val="11"/>
          <w:szCs w:val="11"/>
          <w:color w:val="auto"/>
        </w:rPr>
        <w:t>(October 2011)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hanging="180"/>
        <w:spacing w:after="0"/>
        <w:tabs>
          <w:tab w:leader="none" w:pos="180" w:val="left"/>
        </w:tabs>
        <w:numPr>
          <w:ilvl w:val="0"/>
          <w:numId w:val="35"/>
        </w:numPr>
        <w:rPr>
          <w:rFonts w:ascii="Arial" w:cs="Arial" w:eastAsia="Arial" w:hAnsi="Arial"/>
          <w:sz w:val="19"/>
          <w:szCs w:val="19"/>
          <w:color w:val="auto"/>
        </w:rPr>
      </w:pPr>
      <w:r>
        <w:rPr>
          <w:rFonts w:ascii="Arial" w:cs="Arial" w:eastAsia="Arial" w:hAnsi="Arial"/>
          <w:sz w:val="12"/>
          <w:szCs w:val="12"/>
          <w:color w:val="auto"/>
        </w:rPr>
        <w:t>Pivotal clinical validation study (prospective, multicenter, double-blind)</w:t>
      </w:r>
    </w:p>
    <w:p>
      <w:pPr>
        <w:spacing w:after="0" w:line="241"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5"/>
        </w:numPr>
        <w:rPr>
          <w:rFonts w:ascii="Arial" w:cs="Arial" w:eastAsia="Arial" w:hAnsi="Arial"/>
          <w:sz w:val="21"/>
          <w:szCs w:val="21"/>
          <w:color w:val="auto"/>
        </w:rPr>
      </w:pPr>
      <w:r>
        <w:rPr>
          <w:rFonts w:ascii="Arial" w:cs="Arial" w:eastAsia="Arial" w:hAnsi="Arial"/>
          <w:sz w:val="13"/>
          <w:szCs w:val="13"/>
          <w:color w:val="auto"/>
        </w:rPr>
        <w:t>A GEC benign result is comparable in accuracy to a benign cytology result</w:t>
      </w:r>
    </w:p>
    <w:p>
      <w:pPr>
        <w:spacing w:after="0" w:line="1"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5"/>
        </w:numPr>
        <w:rPr>
          <w:rFonts w:ascii="Arial" w:cs="Arial" w:eastAsia="Arial" w:hAnsi="Arial"/>
          <w:sz w:val="21"/>
          <w:szCs w:val="21"/>
          <w:color w:val="auto"/>
        </w:rPr>
      </w:pPr>
      <w:r>
        <w:rPr>
          <w:rFonts w:ascii="Arial" w:cs="Arial" w:eastAsia="Arial" w:hAnsi="Arial"/>
          <w:sz w:val="13"/>
          <w:szCs w:val="13"/>
          <w:color w:val="auto"/>
        </w:rPr>
        <w:t>First prospective, multicenter, double-blind validation study</w:t>
      </w:r>
    </w:p>
    <w:p>
      <w:pPr>
        <w:spacing w:after="0" w:line="242" w:lineRule="exact"/>
        <w:rPr>
          <w:rFonts w:ascii="Arial" w:cs="Arial" w:eastAsia="Arial" w:hAnsi="Arial"/>
          <w:sz w:val="21"/>
          <w:szCs w:val="21"/>
          <w:color w:val="auto"/>
        </w:rPr>
      </w:pPr>
    </w:p>
    <w:p>
      <w:pPr>
        <w:jc w:val="both"/>
        <w:ind w:left="180" w:hanging="180"/>
        <w:spacing w:after="0" w:line="207" w:lineRule="auto"/>
        <w:tabs>
          <w:tab w:leader="none" w:pos="180" w:val="left"/>
        </w:tabs>
        <w:numPr>
          <w:ilvl w:val="0"/>
          <w:numId w:val="35"/>
        </w:numPr>
        <w:rPr>
          <w:rFonts w:ascii="Arial" w:cs="Arial" w:eastAsia="Arial" w:hAnsi="Arial"/>
          <w:sz w:val="21"/>
          <w:szCs w:val="21"/>
          <w:color w:val="auto"/>
        </w:rPr>
      </w:pPr>
      <w:r>
        <w:rPr>
          <w:rFonts w:ascii="Arial" w:cs="Arial" w:eastAsia="Arial" w:hAnsi="Arial"/>
          <w:sz w:val="13"/>
          <w:szCs w:val="13"/>
          <w:color w:val="auto"/>
        </w:rPr>
        <w:t>Even in the presence of degraded RNA, bloody samples, or malignant samples diluted up to 80% with aspirate material from benign nodules, the GEC correctly recognizes benign nodules and does not miss malignancy in the majority of FNA samples</w:t>
      </w:r>
    </w:p>
    <w:p>
      <w:pPr>
        <w:spacing w:after="0" w:line="114" w:lineRule="exact"/>
        <w:rPr>
          <w:rFonts w:ascii="Arial" w:cs="Arial" w:eastAsia="Arial" w:hAnsi="Arial"/>
          <w:sz w:val="21"/>
          <w:szCs w:val="21"/>
          <w:color w:val="auto"/>
        </w:rPr>
      </w:pPr>
    </w:p>
    <w:p>
      <w:pPr>
        <w:ind w:left="180" w:hanging="180"/>
        <w:spacing w:after="0"/>
        <w:tabs>
          <w:tab w:leader="none" w:pos="180" w:val="left"/>
        </w:tabs>
        <w:numPr>
          <w:ilvl w:val="0"/>
          <w:numId w:val="35"/>
        </w:numPr>
        <w:rPr>
          <w:rFonts w:ascii="Arial" w:cs="Arial" w:eastAsia="Arial" w:hAnsi="Arial"/>
          <w:sz w:val="21"/>
          <w:szCs w:val="21"/>
          <w:color w:val="auto"/>
        </w:rPr>
      </w:pPr>
      <w:r>
        <w:rPr>
          <w:rFonts w:ascii="Arial" w:cs="Arial" w:eastAsia="Arial" w:hAnsi="Arial"/>
          <w:sz w:val="13"/>
          <w:szCs w:val="13"/>
          <w:color w:val="auto"/>
        </w:rPr>
        <w:t>Large multicenter study of endocrinologists' practices</w:t>
      </w:r>
    </w:p>
    <w:p>
      <w:pPr>
        <w:spacing w:after="0" w:line="241"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5"/>
        </w:numPr>
        <w:rPr>
          <w:rFonts w:ascii="Arial" w:cs="Arial" w:eastAsia="Arial" w:hAnsi="Arial"/>
          <w:sz w:val="21"/>
          <w:szCs w:val="21"/>
          <w:color w:val="auto"/>
        </w:rPr>
      </w:pPr>
      <w:r>
        <w:rPr>
          <w:rFonts w:ascii="Arial" w:cs="Arial" w:eastAsia="Arial" w:hAnsi="Arial"/>
          <w:sz w:val="13"/>
          <w:szCs w:val="13"/>
          <w:color w:val="auto"/>
        </w:rPr>
        <w:t>Approximately one surgery was avoided for every two GEC tests run on thyroid FNAs with indeterminate cytology</w:t>
      </w:r>
    </w:p>
    <w:p>
      <w:pPr>
        <w:spacing w:after="0" w:line="41" w:lineRule="exact"/>
        <w:rPr>
          <w:rFonts w:ascii="Arial" w:cs="Arial" w:eastAsia="Arial" w:hAnsi="Arial"/>
          <w:sz w:val="21"/>
          <w:szCs w:val="21"/>
          <w:color w:val="auto"/>
        </w:rPr>
      </w:pPr>
    </w:p>
    <w:p>
      <w:pPr>
        <w:ind w:left="180" w:hanging="180"/>
        <w:spacing w:after="0"/>
        <w:tabs>
          <w:tab w:leader="none" w:pos="180" w:val="left"/>
        </w:tabs>
        <w:numPr>
          <w:ilvl w:val="0"/>
          <w:numId w:val="35"/>
        </w:numPr>
        <w:rPr>
          <w:rFonts w:ascii="Arial" w:cs="Arial" w:eastAsia="Arial" w:hAnsi="Arial"/>
          <w:sz w:val="19"/>
          <w:szCs w:val="19"/>
          <w:color w:val="auto"/>
        </w:rPr>
      </w:pPr>
      <w:r>
        <w:rPr>
          <w:rFonts w:ascii="Arial" w:cs="Arial" w:eastAsia="Arial" w:hAnsi="Arial"/>
          <w:sz w:val="12"/>
          <w:szCs w:val="12"/>
          <w:color w:val="auto"/>
        </w:rPr>
        <w:t>Assessed clinical utility by surveying physicians' treatment decisions</w:t>
      </w:r>
      <w:r>
        <w:rPr>
          <w:rFonts w:ascii="Arial" w:cs="Arial" w:eastAsia="Arial" w:hAnsi="Arial"/>
          <w:sz w:val="19"/>
          <w:szCs w:val="19"/>
          <w:color w:val="auto"/>
          <w:vertAlign w:val="superscript"/>
        </w:rPr>
        <w:t>(1)</w:t>
      </w:r>
    </w:p>
    <w:p>
      <w:pPr>
        <w:spacing w:after="0" w:line="218" w:lineRule="exact"/>
        <w:rPr>
          <w:sz w:val="20"/>
          <w:szCs w:val="20"/>
          <w:color w:val="auto"/>
        </w:rPr>
      </w:pPr>
    </w:p>
    <w:p>
      <w:pPr>
        <w:sectPr>
          <w:pgSz w:w="11900" w:h="16838" w:orient="portrait"/>
          <w:cols w:equalWidth="0" w:num="2">
            <w:col w:w="6600" w:space="720"/>
            <w:col w:w="4100"/>
          </w:cols>
          <w:pgMar w:left="240" w:top="131" w:right="23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 Economics</w:t>
      </w:r>
    </w:p>
    <w:p>
      <w:pPr>
        <w:spacing w:after="0"/>
        <w:tabs>
          <w:tab w:leader="none" w:pos="3640" w:val="left"/>
        </w:tabs>
        <w:rPr>
          <w:sz w:val="20"/>
          <w:szCs w:val="20"/>
          <w:color w:val="auto"/>
        </w:rPr>
      </w:pPr>
      <w:r>
        <w:rPr>
          <w:rFonts w:ascii="Arial" w:cs="Arial" w:eastAsia="Arial" w:hAnsi="Arial"/>
          <w:sz w:val="13"/>
          <w:szCs w:val="13"/>
          <w:color w:val="auto"/>
        </w:rPr>
        <w:t>Cost-Effectiveness of a Novel Molecular Test for</w:t>
      </w:r>
      <w:r>
        <w:rPr>
          <w:sz w:val="20"/>
          <w:szCs w:val="20"/>
          <w:color w:val="auto"/>
        </w:rPr>
        <w:tab/>
      </w:r>
      <w:r>
        <w:rPr>
          <w:rFonts w:ascii="Arial" w:cs="Arial" w:eastAsia="Arial" w:hAnsi="Arial"/>
          <w:sz w:val="12"/>
          <w:szCs w:val="12"/>
          <w:i w:val="1"/>
          <w:iCs w:val="1"/>
          <w:color w:val="auto"/>
        </w:rPr>
        <w:t>Journal of Clinical Endocrinology and Metabolism</w:t>
      </w:r>
    </w:p>
    <w:p>
      <w:pPr>
        <w:spacing w:after="0"/>
        <w:tabs>
          <w:tab w:leader="none" w:pos="3640" w:val="left"/>
        </w:tabs>
        <w:rPr>
          <w:sz w:val="20"/>
          <w:szCs w:val="20"/>
          <w:color w:val="auto"/>
        </w:rPr>
      </w:pPr>
      <w:r>
        <w:rPr>
          <w:rFonts w:ascii="Arial" w:cs="Arial" w:eastAsia="Arial" w:hAnsi="Arial"/>
          <w:sz w:val="13"/>
          <w:szCs w:val="13"/>
          <w:color w:val="auto"/>
        </w:rPr>
        <w:t>Cytologically Indeterminate Thyroid Nodules</w:t>
      </w:r>
      <w:r>
        <w:rPr>
          <w:sz w:val="20"/>
          <w:szCs w:val="20"/>
          <w:color w:val="auto"/>
        </w:rPr>
        <w:tab/>
      </w:r>
      <w:r>
        <w:rPr>
          <w:rFonts w:ascii="Arial" w:cs="Arial" w:eastAsia="Arial" w:hAnsi="Arial"/>
          <w:sz w:val="12"/>
          <w:szCs w:val="12"/>
          <w:color w:val="auto"/>
        </w:rPr>
        <w:t>(August 2011)</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Analytical Validity</w:t>
      </w:r>
    </w:p>
    <w:p>
      <w:pPr>
        <w:spacing w:after="0"/>
        <w:tabs>
          <w:tab w:leader="none" w:pos="3640" w:val="left"/>
        </w:tabs>
        <w:rPr>
          <w:sz w:val="20"/>
          <w:szCs w:val="20"/>
          <w:color w:val="auto"/>
        </w:rPr>
      </w:pPr>
      <w:r>
        <w:rPr>
          <w:rFonts w:ascii="Arial" w:cs="Arial" w:eastAsia="Arial" w:hAnsi="Arial"/>
          <w:sz w:val="13"/>
          <w:szCs w:val="13"/>
          <w:color w:val="auto"/>
        </w:rPr>
        <w:t>Analytical Performance Verification of a Molecular</w:t>
      </w:r>
      <w:r>
        <w:rPr>
          <w:sz w:val="20"/>
          <w:szCs w:val="20"/>
          <w:color w:val="auto"/>
        </w:rPr>
        <w:tab/>
      </w:r>
      <w:r>
        <w:rPr>
          <w:rFonts w:ascii="Arial" w:cs="Arial" w:eastAsia="Arial" w:hAnsi="Arial"/>
          <w:sz w:val="12"/>
          <w:szCs w:val="12"/>
          <w:i w:val="1"/>
          <w:iCs w:val="1"/>
          <w:color w:val="auto"/>
        </w:rPr>
        <w:t>Journal of Clinical Endocrinology and Metabolism</w:t>
      </w:r>
    </w:p>
    <w:p>
      <w:pPr>
        <w:spacing w:after="0"/>
        <w:tabs>
          <w:tab w:leader="none" w:pos="3640" w:val="left"/>
        </w:tabs>
        <w:rPr>
          <w:sz w:val="20"/>
          <w:szCs w:val="20"/>
          <w:color w:val="auto"/>
        </w:rPr>
      </w:pPr>
      <w:r>
        <w:rPr>
          <w:rFonts w:ascii="Arial" w:cs="Arial" w:eastAsia="Arial" w:hAnsi="Arial"/>
          <w:sz w:val="13"/>
          <w:szCs w:val="13"/>
          <w:color w:val="auto"/>
        </w:rPr>
        <w:t>Diagnostic for Cytology-Indeterminate Thyroid Nodules</w:t>
      </w:r>
      <w:r>
        <w:rPr>
          <w:sz w:val="20"/>
          <w:szCs w:val="20"/>
          <w:color w:val="auto"/>
        </w:rPr>
        <w:tab/>
      </w:r>
      <w:r>
        <w:rPr>
          <w:rFonts w:ascii="Arial" w:cs="Arial" w:eastAsia="Arial" w:hAnsi="Arial"/>
          <w:sz w:val="11"/>
          <w:szCs w:val="11"/>
          <w:color w:val="auto"/>
        </w:rPr>
        <w:t>(October 2012)</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Studies</w:t>
      </w:r>
    </w:p>
    <w:p>
      <w:pPr>
        <w:spacing w:after="0"/>
        <w:tabs>
          <w:tab w:leader="none" w:pos="3640" w:val="left"/>
        </w:tabs>
        <w:rPr>
          <w:sz w:val="20"/>
          <w:szCs w:val="20"/>
          <w:color w:val="auto"/>
        </w:rPr>
      </w:pPr>
      <w:r>
        <w:rPr>
          <w:rFonts w:ascii="Arial" w:cs="Arial" w:eastAsia="Arial" w:hAnsi="Arial"/>
          <w:sz w:val="13"/>
          <w:szCs w:val="13"/>
          <w:color w:val="auto"/>
        </w:rPr>
        <w:t>A Large Multicenter Correlation Study of Thyroid Nodule</w:t>
      </w:r>
      <w:r>
        <w:rPr>
          <w:sz w:val="20"/>
          <w:szCs w:val="20"/>
          <w:color w:val="auto"/>
        </w:rPr>
        <w:tab/>
      </w:r>
      <w:r>
        <w:rPr>
          <w:rFonts w:ascii="Arial" w:cs="Arial" w:eastAsia="Arial" w:hAnsi="Arial"/>
          <w:sz w:val="12"/>
          <w:szCs w:val="12"/>
          <w:i w:val="1"/>
          <w:iCs w:val="1"/>
          <w:color w:val="auto"/>
        </w:rPr>
        <w:t>Thyroid</w:t>
      </w:r>
    </w:p>
    <w:p>
      <w:pPr>
        <w:spacing w:after="0"/>
        <w:tabs>
          <w:tab w:leader="none" w:pos="3640" w:val="left"/>
        </w:tabs>
        <w:rPr>
          <w:sz w:val="20"/>
          <w:szCs w:val="20"/>
          <w:color w:val="auto"/>
        </w:rPr>
      </w:pPr>
      <w:r>
        <w:rPr>
          <w:rFonts w:ascii="Arial" w:cs="Arial" w:eastAsia="Arial" w:hAnsi="Arial"/>
          <w:sz w:val="13"/>
          <w:szCs w:val="13"/>
          <w:color w:val="auto"/>
        </w:rPr>
        <w:t>Cytopathology and Histopathology</w:t>
      </w:r>
      <w:r>
        <w:rPr>
          <w:sz w:val="20"/>
          <w:szCs w:val="20"/>
          <w:color w:val="auto"/>
        </w:rPr>
        <w:tab/>
      </w:r>
      <w:r>
        <w:rPr>
          <w:rFonts w:ascii="Arial" w:cs="Arial" w:eastAsia="Arial" w:hAnsi="Arial"/>
          <w:sz w:val="12"/>
          <w:szCs w:val="12"/>
          <w:color w:val="auto"/>
        </w:rPr>
        <w:t>(March 2011)</w:t>
      </w:r>
    </w:p>
    <w:p>
      <w:pPr>
        <w:spacing w:after="0" w:line="20" w:lineRule="exact"/>
        <w:rPr>
          <w:sz w:val="20"/>
          <w:szCs w:val="20"/>
          <w:color w:val="auto"/>
        </w:rPr>
      </w:pPr>
      <w:r>
        <w:rPr>
          <w:sz w:val="20"/>
          <w:szCs w:val="20"/>
          <w:color w:val="auto"/>
        </w:rPr>
        <w:br w:type="column"/>
      </w:r>
    </w:p>
    <w:p>
      <w:pPr>
        <w:jc w:val="both"/>
        <w:ind w:left="180" w:hanging="180"/>
        <w:spacing w:after="0" w:line="207"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Applying the survey results to 540 patients with indeterminate cytopathology, physicians recommended watchful waiting and sonographic follow up in lieu of surgery in 89% (234 of 263) of patients with a benign GEC result</w:t>
      </w:r>
    </w:p>
    <w:p>
      <w:pPr>
        <w:spacing w:after="0" w:line="191"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Use of Afirma can potentially avoid almost three-fourths of currently performed surgeries in patients with benign nodules</w:t>
      </w:r>
    </w:p>
    <w:p>
      <w:pPr>
        <w:spacing w:after="0" w:line="190"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Analytical sensitivity, analytical specificity, robustness, and quality control of the GEC were successfully verified, indicating its suitability for clinical use</w:t>
      </w:r>
    </w:p>
    <w:p>
      <w:pPr>
        <w:spacing w:after="0" w:line="189"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Prospective multicenter study and meta-review of 11 recently published U.S. based pathology series</w:t>
      </w:r>
    </w:p>
    <w:p>
      <w:pPr>
        <w:spacing w:after="0" w:line="237"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Two-thirds of cytologically indeterminate nodules</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were found to be benign post-operatively</w:t>
      </w:r>
    </w:p>
    <w:p>
      <w:pPr>
        <w:spacing w:after="0" w:line="255"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Operated cytology benign nodules were found to have an 11% risk of malignancy in the prospective study and 6% risk of malignancy in the meta-review (range 2%-18%)</w:t>
      </w:r>
    </w:p>
    <w:p>
      <w:pPr>
        <w:spacing w:after="0" w:line="177" w:lineRule="exact"/>
        <w:rPr>
          <w:sz w:val="20"/>
          <w:szCs w:val="20"/>
          <w:color w:val="auto"/>
        </w:rPr>
      </w:pPr>
    </w:p>
    <w:p>
      <w:pPr>
        <w:sectPr>
          <w:pgSz w:w="11900" w:h="16838" w:orient="portrait"/>
          <w:cols w:equalWidth="0" w:num="2">
            <w:col w:w="6600" w:space="720"/>
            <w:col w:w="4100"/>
          </w:cols>
          <w:pgMar w:left="240" w:top="131" w:right="239" w:bottom="1440" w:gutter="0" w:footer="0" w:header="0"/>
          <w:type w:val="continuous"/>
        </w:sectPr>
      </w:pPr>
    </w:p>
    <w:p>
      <w:pPr>
        <w:ind w:left="520" w:hanging="515"/>
        <w:spacing w:after="0"/>
        <w:tabs>
          <w:tab w:leader="none" w:pos="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Indeterminate results were defined to include any cytological results suspicious for malignancy in addition to AUS/FLUS and SFN/SHN.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review articles related to Afirma that have been published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Publication</w:t>
      </w:r>
      <w:r>
        <w:rPr>
          <w:sz w:val="20"/>
          <w:szCs w:val="20"/>
          <w:color w:val="auto"/>
        </w:rPr>
        <w:tab/>
      </w:r>
      <w:r>
        <w:rPr>
          <w:rFonts w:ascii="Arial" w:cs="Arial" w:eastAsia="Arial" w:hAnsi="Arial"/>
          <w:sz w:val="12"/>
          <w:szCs w:val="12"/>
          <w:b w:val="1"/>
          <w:bCs w:val="1"/>
          <w:color w:val="auto"/>
        </w:rPr>
        <w:t>Summary</w:t>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Use of the Afirma Gene Expression Classifier for Preoperative Identification of Benign Thyroid Nodules with Indeterminate Fine Needle Aspiration Cytopathology</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Minimizing Unnecessary Surgery for Thyroid Nodules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Diagnostic Use of Molecular Markers in the Evaluation of Thyroid Nodules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56" w:lineRule="auto"/>
        <w:rPr>
          <w:sz w:val="20"/>
          <w:szCs w:val="20"/>
          <w:color w:val="auto"/>
        </w:rPr>
      </w:pPr>
      <w:r>
        <w:rPr>
          <w:rFonts w:ascii="Arial" w:cs="Arial" w:eastAsia="Arial" w:hAnsi="Arial"/>
          <w:sz w:val="13"/>
          <w:szCs w:val="13"/>
          <w:color w:val="auto"/>
        </w:rPr>
        <w:t>Diagnosis and Management of Differentiated Thyroid Cancer using Molecular Biology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Molecular markers in the diagnosis of thyroid nodules</w:t>
      </w:r>
    </w:p>
    <w:p>
      <w:pPr>
        <w:spacing w:after="0" w:line="360" w:lineRule="exact"/>
        <w:rPr>
          <w:sz w:val="20"/>
          <w:szCs w:val="20"/>
          <w:color w:val="auto"/>
        </w:rPr>
      </w:pPr>
    </w:p>
    <w:p>
      <w:pPr>
        <w:ind w:right="700"/>
        <w:spacing w:after="0" w:line="297" w:lineRule="auto"/>
        <w:rPr>
          <w:sz w:val="20"/>
          <w:szCs w:val="20"/>
          <w:color w:val="auto"/>
        </w:rPr>
      </w:pPr>
      <w:r>
        <w:rPr>
          <w:rFonts w:ascii="Arial" w:cs="Arial" w:eastAsia="Arial" w:hAnsi="Arial"/>
          <w:sz w:val="12"/>
          <w:szCs w:val="12"/>
          <w:color w:val="auto"/>
        </w:rPr>
        <w:t>Progress in Molecular-based Management of Differentiated Thyroid Cancer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640"/>
        <w:spacing w:after="0" w:line="256" w:lineRule="auto"/>
        <w:rPr>
          <w:sz w:val="20"/>
          <w:szCs w:val="20"/>
          <w:color w:val="auto"/>
        </w:rPr>
      </w:pPr>
      <w:r>
        <w:rPr>
          <w:rFonts w:ascii="Arial" w:cs="Arial" w:eastAsia="Arial" w:hAnsi="Arial"/>
          <w:sz w:val="13"/>
          <w:szCs w:val="13"/>
          <w:i w:val="1"/>
          <w:iCs w:val="1"/>
          <w:color w:val="auto"/>
        </w:rPr>
        <w:t xml:space="preserve">PLoS Currents: Evidence on Genomic Tests </w:t>
      </w:r>
      <w:r>
        <w:rPr>
          <w:rFonts w:ascii="Arial" w:cs="Arial" w:eastAsia="Arial" w:hAnsi="Arial"/>
          <w:sz w:val="13"/>
          <w:szCs w:val="13"/>
          <w:color w:val="auto"/>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-204470</wp:posOffset>
            </wp:positionV>
            <wp:extent cx="72504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Endocrine Practice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(September/October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&amp; Metabolism </w:t>
      </w:r>
      <w:r>
        <w:rPr>
          <w:rFonts w:ascii="Arial" w:cs="Arial" w:eastAsia="Arial" w:hAnsi="Arial"/>
          <w:sz w:val="13"/>
          <w:szCs w:val="13"/>
          <w:color w:val="auto"/>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Laryngoscope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(April 2013)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i w:val="1"/>
          <w:iCs w:val="1"/>
          <w:color w:val="auto"/>
        </w:rPr>
        <w:t xml:space="preserve">Brazilian Archives of Endocrinology and Metabolism </w:t>
      </w:r>
      <w:r>
        <w:rPr>
          <w:rFonts w:ascii="Arial" w:cs="Arial" w:eastAsia="Arial" w:hAnsi="Arial"/>
          <w:sz w:val="13"/>
          <w:szCs w:val="13"/>
          <w:color w:val="auto"/>
        </w:rPr>
        <w:t>(March 2013)</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Lancet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left="180" w:hanging="180"/>
        <w:spacing w:after="0" w:line="207"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7"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Clinical algorithm recommending monitoring in lieu of diagnostic surgery in patients with indeterminate FNA cytopathology results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Genomic tests exhibit variable performance characteristics and require clinical validation in prospective, multicenter, blinded studies before widespread adoption</w:t>
      </w:r>
    </w:p>
    <w:p>
      <w:pPr>
        <w:spacing w:after="0" w:line="242"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Prospective, large scale validation of Afirma provides the broadest available data among any of the thyroid nodule diagnostic tests</w:t>
      </w:r>
    </w:p>
    <w:p>
      <w:pPr>
        <w:spacing w:after="0" w:line="46"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8"/>
        </w:numPr>
        <w:rPr>
          <w:rFonts w:ascii="Arial" w:cs="Arial" w:eastAsia="Arial" w:hAnsi="Arial"/>
          <w:sz w:val="19"/>
          <w:szCs w:val="19"/>
          <w:color w:val="auto"/>
        </w:rPr>
      </w:pPr>
      <w:r>
        <w:rPr>
          <w:rFonts w:ascii="Arial" w:cs="Arial" w:eastAsia="Arial" w:hAnsi="Arial"/>
          <w:sz w:val="12"/>
          <w:szCs w:val="12"/>
          <w:color w:val="auto"/>
        </w:rPr>
        <w:t>Clinical implementation of genomic tests requires robust demonstration of analytic validity, as reported for Afirma in Walsh et al JCEM 2012</w:t>
      </w:r>
    </w:p>
    <w:p>
      <w:pPr>
        <w:spacing w:after="0" w:line="241" w:lineRule="exact"/>
        <w:rPr>
          <w:rFonts w:ascii="Arial" w:cs="Arial" w:eastAsia="Arial" w:hAnsi="Arial"/>
          <w:sz w:val="19"/>
          <w:szCs w:val="19"/>
          <w:color w:val="auto"/>
        </w:rPr>
      </w:pPr>
    </w:p>
    <w:p>
      <w:pPr>
        <w:ind w:left="180" w:hanging="180"/>
        <w:spacing w:after="0" w:line="208" w:lineRule="auto"/>
        <w:tabs>
          <w:tab w:leader="none" w:pos="180" w:val="left"/>
        </w:tabs>
        <w:numPr>
          <w:ilvl w:val="0"/>
          <w:numId w:val="38"/>
        </w:numPr>
        <w:rPr>
          <w:rFonts w:ascii="Arial" w:cs="Arial" w:eastAsia="Arial" w:hAnsi="Arial"/>
          <w:sz w:val="19"/>
          <w:szCs w:val="19"/>
          <w:color w:val="auto"/>
        </w:rPr>
      </w:pPr>
      <w:r>
        <w:rPr>
          <w:rFonts w:ascii="Arial" w:cs="Arial" w:eastAsia="Arial" w:hAnsi="Arial"/>
          <w:sz w:val="12"/>
          <w:szCs w:val="12"/>
          <w:color w:val="auto"/>
        </w:rPr>
        <w:t>As many as 30-40% of thyroid carcinomas do not display known somatic oncogene mutations and may harbor novel genetic alterations</w:t>
      </w:r>
    </w:p>
    <w:p>
      <w:pPr>
        <w:spacing w:after="0" w:line="254" w:lineRule="exact"/>
        <w:rPr>
          <w:rFonts w:ascii="Arial" w:cs="Arial" w:eastAsia="Arial" w:hAnsi="Arial"/>
          <w:sz w:val="19"/>
          <w:szCs w:val="19"/>
          <w:color w:val="auto"/>
        </w:rPr>
      </w:pPr>
    </w:p>
    <w:p>
      <w:pPr>
        <w:jc w:val="both"/>
        <w:ind w:left="180" w:hanging="180"/>
        <w:spacing w:after="0" w:line="201"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The mutation assessment test may serve best as a diagnostic algorithm to identify suspected malignancy with an NPV of up to 95%, Afirma may serve to exclude malignancy</w:t>
      </w:r>
    </w:p>
    <w:p>
      <w:pPr>
        <w:spacing w:after="0" w:line="45" w:lineRule="exact"/>
        <w:rPr>
          <w:rFonts w:ascii="Arial" w:cs="Arial" w:eastAsia="Arial" w:hAnsi="Arial"/>
          <w:sz w:val="21"/>
          <w:szCs w:val="21"/>
          <w:color w:val="auto"/>
        </w:rPr>
      </w:pPr>
    </w:p>
    <w:p>
      <w:pPr>
        <w:jc w:val="both"/>
        <w:ind w:left="180" w:hanging="180"/>
        <w:spacing w:after="0" w:line="219" w:lineRule="auto"/>
        <w:tabs>
          <w:tab w:leader="none" w:pos="180" w:val="left"/>
        </w:tabs>
        <w:numPr>
          <w:ilvl w:val="0"/>
          <w:numId w:val="38"/>
        </w:numPr>
        <w:rPr>
          <w:rFonts w:ascii="Arial" w:cs="Arial" w:eastAsia="Arial" w:hAnsi="Arial"/>
          <w:sz w:val="19"/>
          <w:szCs w:val="19"/>
          <w:color w:val="auto"/>
        </w:rPr>
      </w:pPr>
      <w:r>
        <w:rPr>
          <w:rFonts w:ascii="Arial" w:cs="Arial" w:eastAsia="Arial" w:hAnsi="Arial"/>
          <w:sz w:val="12"/>
          <w:szCs w:val="12"/>
          <w:color w:val="auto"/>
        </w:rPr>
        <w:t>Molecular markers can be classified broadly into those with high positive predictive value (BRAF, RET/PTC, PAX8/PPARc) and those with potentially high negative predictive value (gene expression microarrays)</w:t>
      </w:r>
    </w:p>
    <w:p>
      <w:pPr>
        <w:spacing w:after="0" w:line="243"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Gene expression microarrays may eliminate the need for unnecessary diagnostic lobectomy in 60% to 90% of cases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The Afirma GEC raises specificity on indeterminate cytology thyroid nodules from 0% to 52%, effectively reducing the need to operate by one-half</w:t>
      </w:r>
    </w:p>
    <w:p>
      <w:pPr>
        <w:spacing w:after="0" w:line="45" w:lineRule="exact"/>
        <w:rPr>
          <w:rFonts w:ascii="Arial" w:cs="Arial" w:eastAsia="Arial" w:hAnsi="Arial"/>
          <w:sz w:val="21"/>
          <w:szCs w:val="21"/>
          <w:color w:val="auto"/>
        </w:rPr>
      </w:pPr>
    </w:p>
    <w:p>
      <w:pPr>
        <w:jc w:val="both"/>
        <w:ind w:left="180" w:hanging="180"/>
        <w:spacing w:after="0" w:line="214" w:lineRule="auto"/>
        <w:tabs>
          <w:tab w:leader="none" w:pos="180" w:val="left"/>
        </w:tabs>
        <w:numPr>
          <w:ilvl w:val="0"/>
          <w:numId w:val="38"/>
        </w:numPr>
        <w:rPr>
          <w:rFonts w:ascii="Arial" w:cs="Arial" w:eastAsia="Arial" w:hAnsi="Arial"/>
          <w:sz w:val="21"/>
          <w:szCs w:val="21"/>
          <w:color w:val="auto"/>
        </w:rPr>
      </w:pPr>
      <w:r>
        <w:rPr>
          <w:rFonts w:ascii="Arial" w:cs="Arial" w:eastAsia="Arial" w:hAnsi="Arial"/>
          <w:sz w:val="13"/>
          <w:szCs w:val="13"/>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193"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Practice Guidelines</w:t>
      </w:r>
    </w:p>
    <w:p>
      <w:pPr>
        <w:spacing w:after="0" w:line="22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revised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24" w:lineRule="exact"/>
        <w:rPr>
          <w:sz w:val="20"/>
          <w:szCs w:val="20"/>
          <w:color w:val="auto"/>
        </w:rPr>
      </w:pPr>
    </w:p>
    <w:p>
      <w:pPr>
        <w:jc w:val="both"/>
        <w:ind w:firstLine="411"/>
        <w:spacing w:after="0" w:line="311"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68"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reduction of unnecessary thyroid surgeries;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lower healthcare costs;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actionable information from a single patient visit.</w:t>
      </w:r>
    </w:p>
    <w:p>
      <w:pPr>
        <w:spacing w:after="0" w:line="224"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5"/>
          <w:szCs w:val="15"/>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24"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7"/>
          <w:szCs w:val="17"/>
          <w:color w:val="auto"/>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experienced a high level of customer retention. Of the physicians who ordered five or more tests in 2011, more than 80% remain customers today.</w:t>
      </w:r>
    </w:p>
    <w:p>
      <w:pPr>
        <w:spacing w:after="0" w:line="236" w:lineRule="exact"/>
        <w:rPr>
          <w:sz w:val="20"/>
          <w:szCs w:val="20"/>
          <w:color w:val="auto"/>
        </w:rPr>
      </w:pPr>
    </w:p>
    <w:p>
      <w:pPr>
        <w:jc w:val="both"/>
        <w:ind w:firstLine="511"/>
        <w:spacing w:after="0" w:line="282" w:lineRule="auto"/>
        <w:rPr>
          <w:sz w:val="20"/>
          <w:szCs w:val="20"/>
          <w:color w:val="auto"/>
        </w:rPr>
      </w:pPr>
      <w:r>
        <w:rPr>
          <w:rFonts w:ascii="Arial" w:cs="Arial" w:eastAsia="Arial" w:hAnsi="Arial"/>
          <w:sz w:val="17"/>
          <w:szCs w:val="17"/>
          <w:color w:val="auto"/>
        </w:rPr>
        <w:t>We, together with Genzyme, are in the early stages of commercializing Afirma internationally. We intend to selectively target attractive markets for entry beginning in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Relationship with Genzyme</w:t>
      </w:r>
    </w:p>
    <w:p>
      <w:pPr>
        <w:spacing w:after="0" w:line="228" w:lineRule="exact"/>
        <w:rPr>
          <w:sz w:val="20"/>
          <w:szCs w:val="20"/>
          <w:color w:val="auto"/>
        </w:rPr>
      </w:pPr>
    </w:p>
    <w:p>
      <w:pPr>
        <w:jc w:val="both"/>
        <w:ind w:firstLine="477"/>
        <w:spacing w:after="0" w:line="261" w:lineRule="auto"/>
        <w:rPr>
          <w:sz w:val="20"/>
          <w:szCs w:val="20"/>
          <w:color w:val="auto"/>
        </w:rPr>
      </w:pPr>
      <w:r>
        <w:rPr>
          <w:rFonts w:ascii="Arial" w:cs="Arial" w:eastAsia="Arial" w:hAnsi="Arial"/>
          <w:sz w:val="17"/>
          <w:szCs w:val="17"/>
          <w:color w:val="auto"/>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87"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88" w:lineRule="exact"/>
        <w:rPr>
          <w:sz w:val="20"/>
          <w:szCs w:val="20"/>
          <w:color w:val="auto"/>
        </w:rPr>
      </w:pPr>
    </w:p>
    <w:p>
      <w:pPr>
        <w:jc w:val="both"/>
        <w:ind w:firstLine="354"/>
        <w:spacing w:after="0" w:line="262" w:lineRule="auto"/>
        <w:rPr>
          <w:sz w:val="20"/>
          <w:szCs w:val="20"/>
          <w:color w:val="auto"/>
        </w:rPr>
      </w:pPr>
      <w:r>
        <w:rPr>
          <w:rFonts w:ascii="Arial" w:cs="Arial" w:eastAsia="Arial" w:hAnsi="Arial"/>
          <w:sz w:val="17"/>
          <w:szCs w:val="17"/>
          <w:color w:val="auto"/>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w:t>
      </w:r>
    </w:p>
    <w:p>
      <w:pPr>
        <w:spacing w:after="0" w:line="228" w:lineRule="exact"/>
        <w:rPr>
          <w:sz w:val="20"/>
          <w:szCs w:val="20"/>
          <w:color w:val="auto"/>
        </w:rPr>
      </w:pPr>
    </w:p>
    <w:p>
      <w:pPr>
        <w:jc w:val="both"/>
        <w:ind w:firstLine="414"/>
        <w:spacing w:after="0" w:line="282" w:lineRule="auto"/>
        <w:rPr>
          <w:sz w:val="20"/>
          <w:szCs w:val="20"/>
          <w:color w:val="auto"/>
        </w:rPr>
      </w:pPr>
      <w:r>
        <w:rPr>
          <w:rFonts w:ascii="Arial" w:cs="Arial" w:eastAsia="Arial" w:hAnsi="Arial"/>
          <w:sz w:val="17"/>
          <w:szCs w:val="17"/>
          <w:color w:val="auto"/>
        </w:rPr>
        <w:t>Revenue for Afirma comes from several sources, including commercial third-party payers, such as insurance companies and health maintenance organizations, government payers, such as Medicare and Medicaid,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 Landscape for Afirma</w:t>
      </w:r>
    </w:p>
    <w:p>
      <w:pPr>
        <w:spacing w:after="0" w:line="224"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Reimbursement for Afirma is comprised of two separate components: routine cytopathology and, when cytopathology yields an indeterminate result, reimbursement for the GEC. Substantially all patient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23"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85"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Reimbursement Strategy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employ a multi-pronged strategy designed to achieve broad coverage and reimbursement for Afirma:</w:t>
      </w:r>
    </w:p>
    <w:p>
      <w:pPr>
        <w:spacing w:after="0" w:line="224"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7"/>
          <w:szCs w:val="17"/>
          <w:i w:val="1"/>
          <w:iCs w:val="1"/>
          <w:color w:val="auto"/>
        </w:rPr>
        <w:t xml:space="preserve">Meet the evidence standards necessary to be consistent with leading clinical guidelines. </w:t>
      </w:r>
      <w:r>
        <w:rPr>
          <w:rFonts w:ascii="Arial" w:cs="Arial" w:eastAsia="Arial" w:hAnsi="Arial"/>
          <w:sz w:val="17"/>
          <w:szCs w:val="17"/>
          <w:color w:val="auto"/>
        </w:rPr>
        <w:t>We believe inclusion in leading clinical practice guidelines plays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role in payers' 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85"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i w:val="1"/>
          <w:iCs w:val="1"/>
          <w:color w:val="auto"/>
        </w:rPr>
        <w:t xml:space="preserve">Execute an internal managed care policy and claims adjudication function as part of our core business operations. </w:t>
      </w:r>
      <w:r>
        <w:rPr>
          <w:rFonts w:ascii="Arial" w:cs="Arial" w:eastAsia="Arial" w:hAnsi="Arial"/>
          <w:sz w:val="17"/>
          <w:szCs w:val="17"/>
          <w:color w:val="auto"/>
        </w:rPr>
        <w:t>We believe that obtaining adequate and</w:t>
      </w:r>
      <w:r>
        <w:rPr>
          <w:rFonts w:ascii="Arial" w:cs="Arial" w:eastAsia="Arial" w:hAnsi="Arial"/>
          <w:sz w:val="17"/>
          <w:szCs w:val="17"/>
          <w:i w:val="1"/>
          <w:iCs w:val="1"/>
          <w:color w:val="auto"/>
        </w:rPr>
        <w:t xml:space="preserve"> </w:t>
      </w:r>
      <w:r>
        <w:rPr>
          <w:rFonts w:ascii="Arial" w:cs="Arial" w:eastAsia="Arial" w:hAnsi="Arial"/>
          <w:sz w:val="17"/>
          <w:szCs w:val="17"/>
          <w:color w:val="auto"/>
        </w:rPr>
        <w:t>widespread 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i w:val="1"/>
          <w:iCs w:val="1"/>
          <w:color w:val="auto"/>
        </w:rPr>
        <w:t xml:space="preserve">Cultivate a network of key opinion leaders. </w:t>
      </w:r>
      <w:r>
        <w:rPr>
          <w:rFonts w:ascii="Arial" w:cs="Arial" w:eastAsia="Arial" w:hAnsi="Arial"/>
          <w:sz w:val="17"/>
          <w:szCs w:val="17"/>
          <w:color w:val="auto"/>
        </w:rPr>
        <w:t>Key opinion leaders are able to influence clinical practice by publishing research and determining whether new tests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79"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i w:val="1"/>
          <w:iCs w:val="1"/>
          <w:color w:val="auto"/>
        </w:rPr>
        <w:t xml:space="preserve">Compile a growing library of peer-reviewed studies that demonstrate the test is effective. </w:t>
      </w:r>
      <w:r>
        <w:rPr>
          <w:rFonts w:ascii="Arial" w:cs="Arial" w:eastAsia="Arial" w:hAnsi="Arial"/>
          <w:sz w:val="17"/>
          <w:szCs w:val="17"/>
          <w:color w:val="auto"/>
        </w:rPr>
        <w:t>To date, several peer-reviewed articles and review papers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published and have helped support our efforts aimed at widespread adoption and reimbursement of Afirma. In each disease area we pursue, we intend to conduct studies in order to develop similar supporting literature.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28"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7"/>
          <w:szCs w:val="17"/>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Afirma Malignant GEC</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direct the patient to the right surgery the first time. We intend to introduce this product in the second quarter of 2014, which will expand the number of patients for which we can perform testing using the Afirma solution.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Idiopathic Pulmonary Fibrosis and Nodules Suspicious for Lung Cancer</w:t>
      </w:r>
    </w:p>
    <w:p>
      <w:pPr>
        <w:spacing w:after="0" w:line="224"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6"/>
          <w:szCs w:val="16"/>
          <w:color w:val="auto"/>
        </w:rPr>
        <w:t>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Bronchoscopy, a minimally invasive procedure often used to diagnose lung cancer, is typically inadequate for definitive diagnosis of ILDs. As a result, tens of thousands of patients undergo expensive and invasive diagnostic surgeries.</w:t>
      </w:r>
    </w:p>
    <w:p>
      <w:pPr>
        <w:spacing w:after="0" w:line="17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119380</wp:posOffset>
            </wp:positionV>
            <wp:extent cx="5677535" cy="2680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7753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technology platform offers a number of key attributes:</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Core expertise in whole genome analysis. </w:t>
      </w:r>
      <w:r>
        <w:rPr>
          <w:rFonts w:ascii="Arial" w:cs="Arial" w:eastAsia="Arial" w:hAnsi="Arial"/>
          <w:sz w:val="17"/>
          <w:szCs w:val="17"/>
          <w:color w:val="auto"/>
        </w:rPr>
        <w:t>Our team of bioinformatics and computational scientists possess extensive knowledge of both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205"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Proprietary capabilities in analyzing small, heterogeneous cytology samples.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201"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1"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Technology agnostic discovery platform. </w:t>
      </w:r>
      <w:r>
        <w:rPr>
          <w:rFonts w:ascii="Arial" w:cs="Arial" w:eastAsia="Arial" w:hAnsi="Arial"/>
          <w:sz w:val="17"/>
          <w:szCs w:val="17"/>
          <w:color w:val="auto"/>
        </w:rPr>
        <w:t>We are not reliant on specific formats and are able to take advantage of a multitude of genomic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in developing future tests. When we developed the GEC in 2008, microarray technologies were a cost-effective discovery technology compared to other approaches that were nascent at the time. More recently, the rapid cost reductions achieved in next generation sequencing platforms has allowed us to pursue our whole genome approach to biomarker discovery using a range of technologies, including gene expression and DNA methylation, as well as DNA and RNA sequencing.</w:t>
      </w:r>
    </w:p>
    <w:p>
      <w:pPr>
        <w:spacing w:after="0" w:line="187" w:lineRule="exact"/>
        <w:rPr>
          <w:sz w:val="20"/>
          <w:szCs w:val="20"/>
          <w:color w:val="auto"/>
        </w:rPr>
      </w:pPr>
    </w:p>
    <w:p>
      <w:pPr>
        <w:jc w:val="both"/>
        <w:ind w:firstLine="493"/>
        <w:spacing w:after="0" w:line="282" w:lineRule="auto"/>
        <w:rPr>
          <w:sz w:val="20"/>
          <w:szCs w:val="20"/>
          <w:color w:val="auto"/>
        </w:rPr>
      </w:pPr>
      <w:r>
        <w:rPr>
          <w:rFonts w:ascii="Arial" w:cs="Arial" w:eastAsia="Arial" w:hAnsi="Arial"/>
          <w:sz w:val="17"/>
          <w:szCs w:val="17"/>
          <w:color w:val="auto"/>
        </w:rPr>
        <w:t>Our research and development expenses for the years ended December 31, 2011 and 2012 and for the six months ended June 30, 2013 were $6.7 million, $6.6 million and $3.9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Laboratory Operations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GEC testing. Beginning in May 2013, our customers began shipping samples to our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 Assurance</w:t>
      </w:r>
    </w:p>
    <w:p>
      <w:pPr>
        <w:spacing w:after="0" w:line="228" w:lineRule="exact"/>
        <w:rPr>
          <w:sz w:val="20"/>
          <w:szCs w:val="20"/>
          <w:color w:val="auto"/>
        </w:rPr>
      </w:pPr>
    </w:p>
    <w:p>
      <w:pPr>
        <w:jc w:val="both"/>
        <w:ind w:firstLine="415"/>
        <w:spacing w:after="0" w:line="265" w:lineRule="auto"/>
        <w:rPr>
          <w:sz w:val="20"/>
          <w:szCs w:val="20"/>
          <w:color w:val="auto"/>
        </w:rPr>
      </w:pPr>
      <w:r>
        <w:rPr>
          <w:rFonts w:ascii="Arial" w:cs="Arial" w:eastAsia="Arial" w:hAnsi="Arial"/>
          <w:sz w:val="17"/>
          <w:szCs w:val="17"/>
          <w:color w:val="auto"/>
        </w:rPr>
        <w:t>Our quality assurance function oversees quality of the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time and believe our implementation of these processes has supported our achievement of product performance, customer satisfaction and retention and a philosophy of continuous improvement.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 include:</w:t>
      </w:r>
    </w:p>
    <w:p>
      <w:pPr>
        <w:spacing w:after="0" w:line="237"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quality and strength of clinical and analytical validation data;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confidence in diagnostic results;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extent of reimbursement;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inclusion in practice guidelines;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cost-effectiveness;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compete favorably on the factors described above.</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In addition, competitors may develop their own versions of our solution in countries where we do not have patents or where our intellectual property rights are not recognized and compete with us in those countries.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what we consider to be reasonable security measures in place to maintain confidentiality. Our intellectual property strategy is intended to develop and maintain our competitive position.</w:t>
      </w:r>
    </w:p>
    <w:p>
      <w:pPr>
        <w:spacing w:after="0" w:line="170"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As of June 30, 2013, we had six pending United States nonprovisional patent applications and one allowed patent application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7"/>
          <w:szCs w:val="17"/>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hold registered trademarks in the United States for "Veracyte" and "Afirma".</w:t>
      </w:r>
    </w:p>
    <w:p>
      <w:pPr>
        <w:spacing w:after="0" w:line="22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Laboratory Improvement Amendments of 1988, or CLIA</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9" w:lineRule="exact"/>
        <w:rPr>
          <w:sz w:val="20"/>
          <w:szCs w:val="20"/>
          <w:color w:val="auto"/>
        </w:rPr>
      </w:pPr>
    </w:p>
    <w:p>
      <w:pPr>
        <w:jc w:val="both"/>
        <w:ind w:firstLine="475"/>
        <w:spacing w:after="0" w:line="265" w:lineRule="auto"/>
        <w:rPr>
          <w:sz w:val="20"/>
          <w:szCs w:val="20"/>
          <w:color w:val="auto"/>
        </w:rPr>
      </w:pPr>
      <w:r>
        <w:rPr>
          <w:rFonts w:ascii="Arial" w:cs="Arial" w:eastAsia="Arial" w:hAnsi="Arial"/>
          <w:sz w:val="17"/>
          <w:szCs w:val="17"/>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Food and Drug Administration: Diagnostic Kits</w:t>
      </w:r>
    </w:p>
    <w:p>
      <w:pPr>
        <w:spacing w:after="0" w:line="224"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Diagnostic kits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letters, and can be liable for criminal or civil penalties, such as recalls, import detentions, seizures, or injunctions, including orders to cease manufacturing.</w:t>
      </w:r>
    </w:p>
    <w:p>
      <w:pPr>
        <w:spacing w:after="0" w:line="236" w:lineRule="exact"/>
        <w:rPr>
          <w:sz w:val="20"/>
          <w:szCs w:val="20"/>
          <w:color w:val="auto"/>
        </w:rPr>
      </w:pPr>
    </w:p>
    <w:p>
      <w:pPr>
        <w:jc w:val="both"/>
        <w:ind w:firstLine="406"/>
        <w:spacing w:after="0" w:line="283"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74" w:lineRule="exact"/>
        <w:rPr>
          <w:sz w:val="20"/>
          <w:szCs w:val="20"/>
          <w:color w:val="auto"/>
        </w:rPr>
      </w:pPr>
    </w:p>
    <w:p>
      <w:pPr>
        <w:jc w:val="both"/>
        <w:ind w:firstLine="537"/>
        <w:spacing w:after="0" w:line="315"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4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55" w:lineRule="exact"/>
        <w:rPr>
          <w:sz w:val="20"/>
          <w:szCs w:val="20"/>
          <w:color w:val="auto"/>
        </w:rPr>
      </w:pPr>
    </w:p>
    <w:p>
      <w:pPr>
        <w:jc w:val="both"/>
        <w:ind w:firstLine="345"/>
        <w:spacing w:after="0" w:line="281" w:lineRule="auto"/>
        <w:rPr>
          <w:sz w:val="20"/>
          <w:szCs w:val="20"/>
          <w:color w:val="auto"/>
        </w:rPr>
      </w:pPr>
      <w:r>
        <w:rPr>
          <w:rFonts w:ascii="Arial" w:cs="Arial" w:eastAsia="Arial" w:hAnsi="Arial"/>
          <w:sz w:val="16"/>
          <w:szCs w:val="16"/>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so long as no sterility claims are made. It is subject to MDR requirements, the reporting of corrections and removals, registration and listing. It is exempt from premarket review, and from QSR requirements except for recordkeeping and complaint handling requirements. Our facility is registered with the FDA and the container we provide for collection and transport of FNA samples from a physician to our clinical reference laboratory is listed with the FDA as a Class I medical device and is subject to regulation by the FDA.</w:t>
      </w:r>
    </w:p>
    <w:p>
      <w:pPr>
        <w:spacing w:after="0" w:line="176"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3" w:lineRule="exact"/>
        <w:rPr>
          <w:sz w:val="20"/>
          <w:szCs w:val="20"/>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recall or seizure of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Oversight of Laboratory Developed Tests and Research Use Only Products</w:t>
      </w:r>
    </w:p>
    <w:p>
      <w:pPr>
        <w:spacing w:after="0" w:line="224" w:lineRule="exact"/>
        <w:rPr>
          <w:sz w:val="20"/>
          <w:szCs w:val="20"/>
          <w:color w:val="auto"/>
        </w:rPr>
      </w:pPr>
    </w:p>
    <w:p>
      <w:pPr>
        <w:jc w:val="both"/>
        <w:ind w:firstLine="502"/>
        <w:spacing w:after="0" w:line="262" w:lineRule="auto"/>
        <w:rPr>
          <w:sz w:val="20"/>
          <w:szCs w:val="20"/>
          <w:color w:val="auto"/>
        </w:rPr>
      </w:pPr>
      <w:r>
        <w:rPr>
          <w:rFonts w:ascii="Arial" w:cs="Arial" w:eastAsia="Arial" w:hAnsi="Arial"/>
          <w:sz w:val="17"/>
          <w:szCs w:val="17"/>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5,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87" w:lineRule="exact"/>
        <w:rPr>
          <w:sz w:val="20"/>
          <w:szCs w:val="20"/>
          <w:color w:val="auto"/>
        </w:rPr>
      </w:pPr>
    </w:p>
    <w:p>
      <w:pPr>
        <w:jc w:val="both"/>
        <w:ind w:firstLine="379"/>
        <w:spacing w:after="0" w:line="283" w:lineRule="auto"/>
        <w:rPr>
          <w:sz w:val="20"/>
          <w:szCs w:val="20"/>
          <w:color w:val="auto"/>
        </w:rPr>
      </w:pPr>
      <w:r>
        <w:rPr>
          <w:rFonts w:ascii="Arial" w:cs="Arial" w:eastAsia="Arial" w:hAnsi="Arial"/>
          <w:sz w:val="16"/>
          <w:szCs w:val="16"/>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 Labeled for Research Use Only or Investigational Use Only." Aspects of this draft guidance, which has not been finalized, are controversial.</w:t>
      </w:r>
    </w:p>
    <w:p>
      <w:pPr>
        <w:spacing w:after="0" w:line="174"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74"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guidance could be issued by the FDA which may result in new or increased regulatory requirements for us to continue to offer our diagnostic services or to develop and introduce new services.</w:t>
      </w:r>
    </w:p>
    <w:p>
      <w:pPr>
        <w:spacing w:after="0" w:line="187" w:lineRule="exact"/>
        <w:rPr>
          <w:sz w:val="20"/>
          <w:szCs w:val="20"/>
          <w:color w:val="auto"/>
        </w:rPr>
      </w:pPr>
    </w:p>
    <w:p>
      <w:pPr>
        <w:jc w:val="both"/>
        <w:ind w:firstLine="357"/>
        <w:spacing w:after="0" w:line="299" w:lineRule="auto"/>
        <w:rPr>
          <w:sz w:val="20"/>
          <w:szCs w:val="20"/>
          <w:color w:val="auto"/>
        </w:rPr>
      </w:pPr>
      <w:r>
        <w:rPr>
          <w:rFonts w:ascii="Arial" w:cs="Arial" w:eastAsia="Arial" w:hAnsi="Arial"/>
          <w:sz w:val="15"/>
          <w:szCs w:val="15"/>
          <w:color w:val="auto"/>
        </w:rPr>
        <w:t>If premarket review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our services, if they are labeled investigational by the FDA, or if labeling claims the FDA allows us to make are limited, order levels may decline and reimbursement may be adversely affected. The regulatory approval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Insurance Portability and Accountability Act</w:t>
      </w:r>
    </w:p>
    <w:p>
      <w:pPr>
        <w:spacing w:after="0" w:line="224"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85" w:lineRule="exact"/>
        <w:rPr>
          <w:sz w:val="20"/>
          <w:szCs w:val="20"/>
          <w:color w:val="auto"/>
        </w:rPr>
      </w:pPr>
    </w:p>
    <w:p>
      <w:pPr>
        <w:jc w:val="both"/>
        <w:ind w:firstLine="390"/>
        <w:spacing w:after="0" w:line="315"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w:t>
      </w:r>
    </w:p>
    <w:p>
      <w:pPr>
        <w:spacing w:after="0" w:line="236"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Physician Self-referral Prohibitions</w:t>
      </w:r>
    </w:p>
    <w:p>
      <w:pPr>
        <w:spacing w:after="0" w:line="224" w:lineRule="exact"/>
        <w:rPr>
          <w:sz w:val="20"/>
          <w:szCs w:val="20"/>
          <w:color w:val="auto"/>
        </w:rPr>
      </w:pPr>
    </w:p>
    <w:p>
      <w:pPr>
        <w:jc w:val="both"/>
        <w:ind w:firstLine="461"/>
        <w:spacing w:after="0" w:line="265" w:lineRule="auto"/>
        <w:rPr>
          <w:sz w:val="20"/>
          <w:szCs w:val="20"/>
          <w:color w:val="auto"/>
        </w:rPr>
      </w:pPr>
      <w:r>
        <w:rPr>
          <w:rFonts w:ascii="Arial" w:cs="Arial" w:eastAsia="Arial" w:hAnsi="Arial"/>
          <w:sz w:val="17"/>
          <w:szCs w:val="17"/>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85"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9" w:lineRule="exact"/>
        <w:rPr>
          <w:sz w:val="20"/>
          <w:szCs w:val="20"/>
          <w:color w:val="auto"/>
        </w:rPr>
      </w:pPr>
    </w:p>
    <w:p>
      <w:pPr>
        <w:jc w:val="both"/>
        <w:ind w:firstLine="373"/>
        <w:spacing w:after="0" w:line="315"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Sanctions for a violation of the Stark Law include the following:</w:t>
      </w:r>
    </w:p>
    <w:p>
      <w:pPr>
        <w:spacing w:after="0" w:line="237"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denial of payment for the services provided in violation of the prohibition;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refunds of amounts collected by an entity in violation of the Stark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civil penalty of up to $15,000 for each service arising out of the prohibited referral;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possible exclusion from federal healthcare programs, including Medicare and Medicaid;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civil penalty of up to $100,000 against parties that enter into a scheme to circumvent the Stark Law's prohibition.</w:t>
      </w:r>
    </w:p>
    <w:p>
      <w:pPr>
        <w:spacing w:after="0" w:line="224" w:lineRule="exact"/>
        <w:rPr>
          <w:sz w:val="20"/>
          <w:szCs w:val="20"/>
          <w:color w:val="auto"/>
        </w:rPr>
      </w:pPr>
    </w:p>
    <w:p>
      <w:pPr>
        <w:ind w:firstLine="418"/>
        <w:spacing w:after="0" w:line="282"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Anti-kickback Laws</w:t>
      </w:r>
    </w:p>
    <w:p>
      <w:pPr>
        <w:spacing w:after="0" w:line="224" w:lineRule="exact"/>
        <w:rPr>
          <w:sz w:val="20"/>
          <w:szCs w:val="20"/>
          <w:color w:val="auto"/>
        </w:rPr>
      </w:pPr>
    </w:p>
    <w:p>
      <w:pPr>
        <w:jc w:val="both"/>
        <w:ind w:firstLine="359"/>
        <w:spacing w:after="0" w:line="280" w:lineRule="auto"/>
        <w:rPr>
          <w:sz w:val="20"/>
          <w:szCs w:val="20"/>
          <w:color w:val="auto"/>
        </w:rPr>
      </w:pPr>
      <w:r>
        <w:rPr>
          <w:rFonts w:ascii="Arial" w:cs="Arial" w:eastAsia="Arial" w:hAnsi="Arial"/>
          <w:sz w:val="16"/>
          <w:szCs w:val="16"/>
          <w:color w:val="auto"/>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5" w:lineRule="exact"/>
        <w:rPr>
          <w:sz w:val="20"/>
          <w:szCs w:val="20"/>
          <w:color w:val="auto"/>
        </w:rPr>
      </w:pPr>
    </w:p>
    <w:p>
      <w:pPr>
        <w:jc w:val="both"/>
        <w:ind w:firstLine="364"/>
        <w:spacing w:after="0" w:line="262" w:lineRule="auto"/>
        <w:rPr>
          <w:sz w:val="20"/>
          <w:szCs w:val="20"/>
          <w:color w:val="auto"/>
        </w:rPr>
      </w:pPr>
      <w:r>
        <w:rPr>
          <w:rFonts w:ascii="Arial" w:cs="Arial" w:eastAsia="Arial" w:hAnsi="Arial"/>
          <w:sz w:val="17"/>
          <w:szCs w:val="17"/>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88" w:lineRule="exact"/>
        <w:rPr>
          <w:sz w:val="20"/>
          <w:szCs w:val="20"/>
          <w:color w:val="auto"/>
        </w:rPr>
      </w:pPr>
    </w:p>
    <w:p>
      <w:pPr>
        <w:jc w:val="both"/>
        <w:ind w:firstLine="348"/>
        <w:spacing w:after="0" w:line="283"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4"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9"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5" w:lineRule="exact"/>
        <w:rPr>
          <w:sz w:val="20"/>
          <w:szCs w:val="20"/>
          <w:color w:val="auto"/>
        </w:rPr>
      </w:pPr>
    </w:p>
    <w:p>
      <w:pPr>
        <w:jc w:val="both"/>
        <w:ind w:firstLine="410"/>
        <w:spacing w:after="0" w:line="315" w:lineRule="auto"/>
        <w:rPr>
          <w:sz w:val="20"/>
          <w:szCs w:val="20"/>
          <w:color w:val="auto"/>
        </w:rPr>
      </w:pPr>
      <w:r>
        <w:rPr>
          <w:rFonts w:ascii="Arial" w:cs="Arial" w:eastAsia="Arial" w:hAnsi="Arial"/>
          <w:sz w:val="16"/>
          <w:szCs w:val="16"/>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8"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Federal and State Fraud and Abuse Laws</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3" w:lineRule="exact"/>
        <w:rPr>
          <w:sz w:val="20"/>
          <w:szCs w:val="20"/>
          <w:color w:val="auto"/>
        </w:rPr>
      </w:pPr>
    </w:p>
    <w:p>
      <w:pPr>
        <w:jc w:val="both"/>
        <w:ind w:firstLine="417"/>
        <w:spacing w:after="0" w:line="261" w:lineRule="auto"/>
        <w:rPr>
          <w:sz w:val="20"/>
          <w:szCs w:val="20"/>
          <w:color w:val="auto"/>
        </w:rPr>
      </w:pPr>
      <w:r>
        <w:rPr>
          <w:rFonts w:ascii="Arial" w:cs="Arial" w:eastAsia="Arial" w:hAnsi="Arial"/>
          <w:sz w:val="17"/>
          <w:szCs w:val="17"/>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Laboratory Licensing</w:t>
      </w:r>
    </w:p>
    <w:p>
      <w:pPr>
        <w:spacing w:after="0" w:line="224"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5"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York Laboratory Licensing</w:t>
      </w:r>
    </w:p>
    <w:p>
      <w:pPr>
        <w:spacing w:after="0" w:line="224" w:lineRule="exact"/>
        <w:rPr>
          <w:sz w:val="20"/>
          <w:szCs w:val="20"/>
          <w:color w:val="auto"/>
        </w:rPr>
      </w:pPr>
    </w:p>
    <w:p>
      <w:pPr>
        <w:ind w:firstLine="452"/>
        <w:spacing w:after="0" w:line="282" w:lineRule="auto"/>
        <w:rPr>
          <w:sz w:val="20"/>
          <w:szCs w:val="20"/>
          <w:color w:val="auto"/>
        </w:rPr>
      </w:pPr>
      <w:r>
        <w:rPr>
          <w:rFonts w:ascii="Arial" w:cs="Arial" w:eastAsia="Arial" w:hAnsi="Arial"/>
          <w:sz w:val="17"/>
          <w:szCs w:val="17"/>
          <w:color w:val="auto"/>
        </w:rPr>
        <w:t>Because we receive specimens from New York State, our clinical reference laboratories are required to be licensed by New York, under New York laws and regulations, which establish standards for:</w:t>
      </w:r>
    </w:p>
    <w:p>
      <w:pPr>
        <w:spacing w:after="0" w:line="183"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day-to-day operation of a clinical laboratory, including training and skill levels required of laboratory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physical requirements of a facility;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equipment;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validation and quality control.</w:t>
      </w:r>
    </w:p>
    <w:p>
      <w:pPr>
        <w:spacing w:after="0" w:line="224" w:lineRule="exact"/>
        <w:rPr>
          <w:sz w:val="20"/>
          <w:szCs w:val="20"/>
          <w:color w:val="auto"/>
        </w:rPr>
      </w:pPr>
    </w:p>
    <w:p>
      <w:pPr>
        <w:jc w:val="both"/>
        <w:ind w:firstLine="370"/>
        <w:spacing w:after="0" w:line="261"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or not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 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States' Laboratory Licensing</w:t>
      </w:r>
    </w:p>
    <w:p>
      <w:pPr>
        <w:spacing w:after="0" w:line="22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79"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w:t>
      </w:r>
    </w:p>
    <w:p>
      <w:pPr>
        <w:spacing w:after="0" w:line="224"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PRC is effective until December 2015 and automatically renews on an annual basis unless either party provides notice of intent not to renew.</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93"/>
        <w:spacing w:after="0" w:line="322" w:lineRule="auto"/>
        <w:rPr>
          <w:sz w:val="20"/>
          <w:szCs w:val="20"/>
          <w:color w:val="auto"/>
        </w:rPr>
      </w:pPr>
      <w:r>
        <w:rPr>
          <w:rFonts w:ascii="Arial" w:cs="Arial" w:eastAsia="Arial" w:hAnsi="Arial"/>
          <w:sz w:val="15"/>
          <w:szCs w:val="15"/>
          <w:color w:val="auto"/>
        </w:rPr>
        <w:t>As of June 30, 2013, we had 98 employees, of which 24 work in laboratory operations, 19 in research and development and clinical development, 15 in selling and marketing, 40 in general and administrative including 16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the near-term and that additional space will be available on commercially reasonable terms, if required.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legal proceedings.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officers, directors and key employees, and their ages and positions as of August 15, 2013, are as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640" w:type="dxa"/>
            <w:vAlign w:val="bottom"/>
          </w:tcPr>
          <w:p>
            <w:pPr>
              <w:spacing w:after="0"/>
              <w:rPr>
                <w:sz w:val="13"/>
                <w:szCs w:val="1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558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Position</w:t>
            </w:r>
          </w:p>
        </w:tc>
      </w:tr>
      <w:tr>
        <w:trPr>
          <w:trHeight w:val="203"/>
        </w:trPr>
        <w:tc>
          <w:tcPr>
            <w:tcW w:w="1160" w:type="dxa"/>
            <w:vAlign w:val="bottom"/>
            <w:tcBorders>
              <w:right w:val="single" w:sz="8" w:color="CCEEFF"/>
            </w:tcBorders>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Executive Officers and Key Employees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Bonnie H. Anderson</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558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Shelly D. Guyer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 and Secretary</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Christopher M. Hall</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45</w:t>
            </w:r>
          </w:p>
        </w:tc>
        <w:tc>
          <w:tcPr>
            <w:tcW w:w="5580" w:type="dxa"/>
            <w:vAlign w:val="bottom"/>
          </w:tcPr>
          <w:p>
            <w:pPr>
              <w:spacing w:after="0"/>
              <w:rPr>
                <w:sz w:val="20"/>
                <w:szCs w:val="20"/>
                <w:color w:val="auto"/>
              </w:rPr>
            </w:pPr>
            <w:r>
              <w:rPr>
                <w:rFonts w:ascii="Arial" w:cs="Arial" w:eastAsia="Arial" w:hAnsi="Arial"/>
                <w:sz w:val="17"/>
                <w:szCs w:val="17"/>
                <w:color w:val="auto"/>
              </w:rPr>
              <w:t>Chief Commercial Officer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Giulia C. Kennedy, Ph.D.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Scientific Officer</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Richard B. Lanman, M.D.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5580" w:type="dxa"/>
            <w:vAlign w:val="bottom"/>
          </w:tcPr>
          <w:p>
            <w:pPr>
              <w:spacing w:after="0"/>
              <w:rPr>
                <w:sz w:val="20"/>
                <w:szCs w:val="20"/>
                <w:color w:val="auto"/>
              </w:rPr>
            </w:pPr>
            <w:r>
              <w:rPr>
                <w:rFonts w:ascii="Arial" w:cs="Arial" w:eastAsia="Arial" w:hAnsi="Arial"/>
                <w:sz w:val="17"/>
                <w:szCs w:val="17"/>
                <w:color w:val="auto"/>
              </w:rPr>
              <w:t>Chief Medical Officer</w:t>
            </w:r>
          </w:p>
        </w:tc>
      </w:tr>
      <w:tr>
        <w:trPr>
          <w:trHeight w:val="419"/>
        </w:trPr>
        <w:tc>
          <w:tcPr>
            <w:tcW w:w="1160" w:type="dxa"/>
            <w:vAlign w:val="bottom"/>
            <w:tcBorders>
              <w:right w:val="single" w:sz="8" w:color="CCEEFF"/>
            </w:tcBorders>
          </w:tcPr>
          <w:p>
            <w:pPr>
              <w:spacing w:after="0"/>
              <w:rPr>
                <w:sz w:val="24"/>
                <w:szCs w:val="2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(1)(3)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5580" w:type="dxa"/>
            <w:vAlign w:val="bottom"/>
          </w:tcPr>
          <w:p>
            <w:pPr>
              <w:spacing w:after="0"/>
              <w:rPr>
                <w:sz w:val="20"/>
                <w:szCs w:val="20"/>
                <w:color w:val="auto"/>
              </w:rPr>
            </w:pPr>
            <w:r>
              <w:rPr>
                <w:rFonts w:ascii="Arial" w:cs="Arial" w:eastAsia="Arial" w:hAnsi="Arial"/>
                <w:sz w:val="17"/>
                <w:szCs w:val="17"/>
                <w:color w:val="auto"/>
              </w:rPr>
              <w:t>Chairman of Board and 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54"/>
        </w:trPr>
        <w:tc>
          <w:tcPr>
            <w:tcW w:w="11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520" w:hanging="515"/>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4" w:lineRule="exact"/>
        <w:rPr>
          <w:sz w:val="20"/>
          <w:szCs w:val="20"/>
          <w:color w:val="auto"/>
        </w:rPr>
      </w:pPr>
    </w:p>
    <w:p>
      <w:pPr>
        <w:jc w:val="both"/>
        <w:ind w:firstLine="498"/>
        <w:spacing w:after="0" w:line="280"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Shelly D. Guyer </w:t>
      </w:r>
      <w:r>
        <w:rPr>
          <w:rFonts w:ascii="Arial" w:cs="Arial" w:eastAsia="Arial" w:hAnsi="Arial"/>
          <w:sz w:val="17"/>
          <w:szCs w:val="17"/>
          <w:color w:val="auto"/>
        </w:rPr>
        <w:t>has served as our Chief Financial Officer and Secretary since April 2013. Prior to joining us, Ms. Guyer served as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88"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Commercial Officer since March 2010. Prior to joining us, Mr. Hall served as Chief Business Officer of Celera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diagnostics company focusing on personalized disease management, from October 2008 to February 2010. From August 2002 to February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7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Giulia C. Kennedy, Ph.D., </w:t>
      </w:r>
      <w:r>
        <w:rPr>
          <w:rFonts w:ascii="Arial" w:cs="Arial" w:eastAsia="Arial" w:hAnsi="Arial"/>
          <w:sz w:val="17"/>
          <w:szCs w:val="17"/>
          <w:color w:val="auto"/>
        </w:rPr>
        <w:t>has served as our Chief Scientific Officer since September 2008 and served as our Senior Vice President of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88"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i w:val="1"/>
          <w:iCs w:val="1"/>
          <w:color w:val="auto"/>
        </w:rPr>
        <w:t xml:space="preserve">Richard B. Lanman, M.D., </w:t>
      </w:r>
      <w:r>
        <w:rPr>
          <w:rFonts w:ascii="Arial" w:cs="Arial" w:eastAsia="Arial" w:hAnsi="Arial"/>
          <w:sz w:val="15"/>
          <w:szCs w:val="15"/>
          <w:color w:val="auto"/>
        </w:rPr>
        <w:t>has served as our Chief Medical Officer since July 2008. Prior to joining us, Dr. Lanman served as Executive Vice President and Chief</w:t>
      </w:r>
      <w:r>
        <w:rPr>
          <w:rFonts w:ascii="Arial" w:cs="Arial" w:eastAsia="Arial" w:hAnsi="Arial"/>
          <w:sz w:val="15"/>
          <w:szCs w:val="15"/>
          <w:i w:val="1"/>
          <w:iCs w:val="1"/>
          <w:color w:val="auto"/>
        </w:rPr>
        <w:t xml:space="preserve"> </w:t>
      </w:r>
      <w:r>
        <w:rPr>
          <w:rFonts w:ascii="Arial" w:cs="Arial" w:eastAsia="Arial" w:hAnsi="Arial"/>
          <w:sz w:val="15"/>
          <w:szCs w:val="15"/>
          <w:color w:val="auto"/>
        </w:rPr>
        <w:t>Medical Officer of 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64"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6"/>
          <w:szCs w:val="16"/>
          <w:i w:val="1"/>
          <w:iCs w:val="1"/>
          <w:color w:val="auto"/>
        </w:rPr>
        <w:t xml:space="preserve">Brian G. Atwood </w:t>
      </w:r>
      <w:r>
        <w:rPr>
          <w:rFonts w:ascii="Arial" w:cs="Arial" w:eastAsia="Arial" w:hAnsi="Arial"/>
          <w:sz w:val="16"/>
          <w:szCs w:val="16"/>
          <w:color w:val="auto"/>
        </w:rPr>
        <w:t>has served as Chairman of our board of directors since February 2008 and as a director since December 2006. Since 1999, Mr. Atwood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and Trius Therapeutics, Inc. and a number of privately held companies. Mr. Atwood served as a director of Helicos BioSciences Corporation from 2003 until September 2011 and Pharmion Corporation from January 2000 until its acquisition in March 2008.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79"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i w:val="1"/>
          <w:iCs w:val="1"/>
          <w:color w:val="auto"/>
        </w:rPr>
        <w:t xml:space="preserve">Brook H. Byers </w:t>
      </w:r>
      <w:r>
        <w:rPr>
          <w:rFonts w:ascii="Arial" w:cs="Arial" w:eastAsia="Arial" w:hAnsi="Arial"/>
          <w:sz w:val="16"/>
          <w:szCs w:val="16"/>
          <w:color w:val="auto"/>
        </w:rPr>
        <w:t>has served as a member of our board of directors since January 2007. Mr. Byers is a Managing Partner of Kleiner Perkins Caufield &amp; Byers, a</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capital firm which he joined in 1977. Mr. Byers currently serves as a director of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9"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has served as a member our board of directors since January 2007. Dr. Cohen is a partner at TPG, a private equity firm he joined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and serves as 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77"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has served as a member our board of directors since December 2006. Since 1999, Mr. Colella has served as a Managing Director of Versant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77" w:lineRule="exact"/>
        <w:rPr>
          <w:sz w:val="20"/>
          <w:szCs w:val="20"/>
          <w:color w:val="auto"/>
        </w:rPr>
      </w:pPr>
    </w:p>
    <w:p>
      <w:pPr>
        <w:jc w:val="both"/>
        <w:ind w:firstLine="459"/>
        <w:spacing w:after="0" w:line="297" w:lineRule="auto"/>
        <w:rPr>
          <w:sz w:val="20"/>
          <w:szCs w:val="20"/>
          <w:color w:val="auto"/>
        </w:rPr>
      </w:pPr>
      <w:r>
        <w:rPr>
          <w:rFonts w:ascii="Arial" w:cs="Arial" w:eastAsia="Arial" w:hAnsi="Arial"/>
          <w:sz w:val="15"/>
          <w:szCs w:val="15"/>
          <w:i w:val="1"/>
          <w:iCs w:val="1"/>
          <w:color w:val="auto"/>
        </w:rPr>
        <w:t xml:space="preserve">Karin Eastham </w:t>
      </w:r>
      <w:r>
        <w:rPr>
          <w:rFonts w:ascii="Arial" w:cs="Arial" w:eastAsia="Arial" w:hAnsi="Arial"/>
          <w:sz w:val="15"/>
          <w:szCs w:val="15"/>
          <w:color w:val="auto"/>
        </w:rPr>
        <w:t>has served as a member our board of directors since December 2012. Ms. Eastham serves on the boards of directors of several life sciences</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MorphoSys AG, and Trius Therapeutics, Inc. Ms. Eastham served as a director of Amylin Pharmaceuticals, Inc. from September 2005 until its acquisition in August 2012, Genoptix, Inc. from August 2008 until its acquisition in March 2011, and Tercica, Inc. from December 2003 until its acquisition in October 2008.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6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a member of our board of directors since February 2008. Mr. Jones has served since 2007 as Managing Member of jVen Capital, LLC, a</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and Fluidigm Corporation. Mr. Jones received a B.A. in Biotechnology from the University of Colorado and an M.B.A. from The Wharton School at the University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96" w:lineRule="exact"/>
        <w:rPr>
          <w:sz w:val="20"/>
          <w:szCs w:val="20"/>
          <w:color w:val="auto"/>
        </w:rPr>
      </w:pPr>
    </w:p>
    <w:p>
      <w:pPr>
        <w:jc w:val="both"/>
        <w:ind w:firstLine="472"/>
        <w:spacing w:after="0" w:line="279" w:lineRule="auto"/>
        <w:rPr>
          <w:sz w:val="20"/>
          <w:szCs w:val="20"/>
          <w:color w:val="auto"/>
        </w:rPr>
      </w:pPr>
      <w:r>
        <w:rPr>
          <w:rFonts w:ascii="Arial" w:cs="Arial" w:eastAsia="Arial" w:hAnsi="Arial"/>
          <w:sz w:val="16"/>
          <w:szCs w:val="16"/>
          <w:i w:val="1"/>
          <w:iCs w:val="1"/>
          <w:color w:val="auto"/>
        </w:rPr>
        <w:t xml:space="preserve">Jesse I. Treu, Ph.D., </w:t>
      </w:r>
      <w:r>
        <w:rPr>
          <w:rFonts w:ascii="Arial" w:cs="Arial" w:eastAsia="Arial" w:hAnsi="Arial"/>
          <w:sz w:val="16"/>
          <w:szCs w:val="16"/>
          <w:color w:val="auto"/>
        </w:rPr>
        <w:t>has served as a member our board of directors since June 2010. Dr. Treu has been a partner at Domain Associates,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since its inception in 1985. Dr. Treu currently serves as a director of Regado Biosciences, Inc., a biopharmaceutical company, Tandem Diabetes Care, Inc., a privately held company, and a number of other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board of directors currently consists of eight members. The restated certificate of incorporation that will become effective upon completion of this offering</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provides that the authorized number of directors on our board will consist of not fewer than and not more than directors, as the board of directors may from time to time determine. Our board of directors will initially consist of eight directors. The authorized number of directors may be changed by resolution of our board of directors. Vacancies on our board of directors can be filled by resolution of our board of directors. Upon the completion of this offering, our board of directors will be divided into three classes, each serving staggered, three-year terms:</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760" w:type="dxa"/>
            <w:vAlign w:val="bottom"/>
          </w:tcPr>
          <w:p>
            <w:pPr>
              <w:ind w:left="240"/>
              <w:spacing w:after="0"/>
              <w:rPr>
                <w:sz w:val="20"/>
                <w:szCs w:val="20"/>
                <w:color w:val="auto"/>
              </w:rPr>
            </w:pPr>
            <w:r>
              <w:rPr>
                <w:rFonts w:ascii="Arial" w:cs="Arial" w:eastAsia="Arial" w:hAnsi="Arial"/>
                <w:sz w:val="17"/>
                <w:szCs w:val="17"/>
                <w:color w:val="auto"/>
              </w:rPr>
              <w:t>Our Class I directors will be</w:t>
            </w:r>
          </w:p>
        </w:tc>
        <w:tc>
          <w:tcPr>
            <w:tcW w:w="1360" w:type="dxa"/>
            <w:vAlign w:val="bottom"/>
          </w:tcPr>
          <w:p>
            <w:pPr>
              <w:ind w:left="480"/>
              <w:spacing w:after="0"/>
              <w:rPr>
                <w:sz w:val="20"/>
                <w:szCs w:val="20"/>
                <w:color w:val="auto"/>
              </w:rPr>
            </w:pPr>
            <w:r>
              <w:rPr>
                <w:rFonts w:ascii="Arial" w:cs="Arial" w:eastAsia="Arial" w:hAnsi="Arial"/>
                <w:sz w:val="17"/>
                <w:szCs w:val="17"/>
                <w:color w:val="auto"/>
              </w:rPr>
              <w:t>and</w:t>
            </w:r>
          </w:p>
        </w:tc>
        <w:tc>
          <w:tcPr>
            <w:tcW w:w="6480" w:type="dxa"/>
            <w:vAlign w:val="bottom"/>
          </w:tcPr>
          <w:p>
            <w:pPr>
              <w:jc w:val="right"/>
              <w:spacing w:after="0"/>
              <w:rPr>
                <w:sz w:val="20"/>
                <w:szCs w:val="20"/>
                <w:color w:val="auto"/>
              </w:rPr>
            </w:pPr>
            <w:r>
              <w:rPr>
                <w:rFonts w:ascii="Arial" w:cs="Arial" w:eastAsia="Arial" w:hAnsi="Arial"/>
                <w:sz w:val="17"/>
                <w:szCs w:val="17"/>
                <w:color w:val="auto"/>
                <w:w w:val="99"/>
              </w:rPr>
              <w:t>and their terms will expire at the first annual meeting of stockholders following the date</w:t>
            </w:r>
          </w:p>
        </w:tc>
      </w:tr>
      <w:tr>
        <w:trPr>
          <w:trHeight w:val="216"/>
        </w:trPr>
        <w:tc>
          <w:tcPr>
            <w:tcW w:w="300" w:type="dxa"/>
            <w:vAlign w:val="bottom"/>
          </w:tcPr>
          <w:p>
            <w:pPr>
              <w:spacing w:after="0"/>
              <w:rPr>
                <w:sz w:val="18"/>
                <w:szCs w:val="18"/>
                <w:color w:val="auto"/>
              </w:rPr>
            </w:pPr>
          </w:p>
        </w:tc>
        <w:tc>
          <w:tcPr>
            <w:tcW w:w="2760" w:type="dxa"/>
            <w:vAlign w:val="bottom"/>
          </w:tcPr>
          <w:p>
            <w:pPr>
              <w:ind w:left="240"/>
              <w:spacing w:after="0"/>
              <w:rPr>
                <w:sz w:val="20"/>
                <w:szCs w:val="20"/>
                <w:color w:val="auto"/>
              </w:rPr>
            </w:pPr>
            <w:r>
              <w:rPr>
                <w:rFonts w:ascii="Arial" w:cs="Arial" w:eastAsia="Arial" w:hAnsi="Arial"/>
                <w:sz w:val="17"/>
                <w:szCs w:val="17"/>
                <w:color w:val="auto"/>
              </w:rPr>
              <w:t>of this prospectus;</w:t>
            </w:r>
          </w:p>
        </w:tc>
        <w:tc>
          <w:tcPr>
            <w:tcW w:w="136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440"/>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760" w:type="dxa"/>
            <w:vAlign w:val="bottom"/>
          </w:tcPr>
          <w:p>
            <w:pPr>
              <w:ind w:left="240"/>
              <w:spacing w:after="0"/>
              <w:rPr>
                <w:sz w:val="20"/>
                <w:szCs w:val="20"/>
                <w:color w:val="auto"/>
              </w:rPr>
            </w:pPr>
            <w:r>
              <w:rPr>
                <w:rFonts w:ascii="Arial" w:cs="Arial" w:eastAsia="Arial" w:hAnsi="Arial"/>
                <w:sz w:val="17"/>
                <w:szCs w:val="17"/>
                <w:color w:val="auto"/>
              </w:rPr>
              <w:t>Our Class II directors will be</w:t>
            </w:r>
          </w:p>
        </w:tc>
        <w:tc>
          <w:tcPr>
            <w:tcW w:w="1360" w:type="dxa"/>
            <w:vAlign w:val="bottom"/>
          </w:tcPr>
          <w:p>
            <w:pPr>
              <w:ind w:left="560"/>
              <w:spacing w:after="0"/>
              <w:rPr>
                <w:sz w:val="20"/>
                <w:szCs w:val="20"/>
                <w:color w:val="auto"/>
              </w:rPr>
            </w:pPr>
            <w:r>
              <w:rPr>
                <w:rFonts w:ascii="Arial" w:cs="Arial" w:eastAsia="Arial" w:hAnsi="Arial"/>
                <w:sz w:val="17"/>
                <w:szCs w:val="17"/>
                <w:color w:val="auto"/>
              </w:rPr>
              <w:t>and</w:t>
            </w:r>
          </w:p>
        </w:tc>
        <w:tc>
          <w:tcPr>
            <w:tcW w:w="6480" w:type="dxa"/>
            <w:vAlign w:val="bottom"/>
          </w:tcPr>
          <w:p>
            <w:pPr>
              <w:jc w:val="right"/>
              <w:spacing w:after="0"/>
              <w:rPr>
                <w:sz w:val="20"/>
                <w:szCs w:val="20"/>
                <w:color w:val="auto"/>
              </w:rPr>
            </w:pPr>
            <w:r>
              <w:rPr>
                <w:rFonts w:ascii="Arial" w:cs="Arial" w:eastAsia="Arial" w:hAnsi="Arial"/>
                <w:sz w:val="17"/>
                <w:szCs w:val="17"/>
                <w:color w:val="auto"/>
              </w:rPr>
              <w:t>and their terms will expire at the second annual meeting of stockholders following the</w:t>
            </w:r>
          </w:p>
        </w:tc>
      </w:tr>
      <w:tr>
        <w:trPr>
          <w:trHeight w:val="216"/>
        </w:trPr>
        <w:tc>
          <w:tcPr>
            <w:tcW w:w="300" w:type="dxa"/>
            <w:vAlign w:val="bottom"/>
          </w:tcPr>
          <w:p>
            <w:pPr>
              <w:spacing w:after="0"/>
              <w:rPr>
                <w:sz w:val="18"/>
                <w:szCs w:val="18"/>
                <w:color w:val="auto"/>
              </w:rPr>
            </w:pPr>
          </w:p>
        </w:tc>
        <w:tc>
          <w:tcPr>
            <w:tcW w:w="2760" w:type="dxa"/>
            <w:vAlign w:val="bottom"/>
          </w:tcPr>
          <w:p>
            <w:pPr>
              <w:ind w:left="240"/>
              <w:spacing w:after="0"/>
              <w:rPr>
                <w:sz w:val="20"/>
                <w:szCs w:val="20"/>
                <w:color w:val="auto"/>
              </w:rPr>
            </w:pPr>
            <w:r>
              <w:rPr>
                <w:rFonts w:ascii="Arial" w:cs="Arial" w:eastAsia="Arial" w:hAnsi="Arial"/>
                <w:sz w:val="17"/>
                <w:szCs w:val="17"/>
                <w:color w:val="auto"/>
              </w:rPr>
              <w:t>date of this prospectus; and</w:t>
            </w:r>
          </w:p>
        </w:tc>
        <w:tc>
          <w:tcPr>
            <w:tcW w:w="136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427"/>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760" w:type="dxa"/>
            <w:vAlign w:val="bottom"/>
          </w:tcPr>
          <w:p>
            <w:pPr>
              <w:ind w:left="240"/>
              <w:spacing w:after="0"/>
              <w:rPr>
                <w:sz w:val="20"/>
                <w:szCs w:val="20"/>
                <w:color w:val="auto"/>
              </w:rPr>
            </w:pPr>
            <w:r>
              <w:rPr>
                <w:rFonts w:ascii="Arial" w:cs="Arial" w:eastAsia="Arial" w:hAnsi="Arial"/>
                <w:sz w:val="17"/>
                <w:szCs w:val="17"/>
                <w:color w:val="auto"/>
              </w:rPr>
              <w:t>Our Class III directors will be</w:t>
            </w:r>
          </w:p>
        </w:tc>
        <w:tc>
          <w:tcPr>
            <w:tcW w:w="1360" w:type="dxa"/>
            <w:vAlign w:val="bottom"/>
          </w:tcPr>
          <w:p>
            <w:pPr>
              <w:ind w:left="660"/>
              <w:spacing w:after="0"/>
              <w:rPr>
                <w:sz w:val="20"/>
                <w:szCs w:val="20"/>
                <w:color w:val="auto"/>
              </w:rPr>
            </w:pPr>
            <w:r>
              <w:rPr>
                <w:rFonts w:ascii="Arial" w:cs="Arial" w:eastAsia="Arial" w:hAnsi="Arial"/>
                <w:sz w:val="17"/>
                <w:szCs w:val="17"/>
                <w:color w:val="auto"/>
              </w:rPr>
              <w:t>and</w:t>
            </w:r>
          </w:p>
        </w:tc>
        <w:tc>
          <w:tcPr>
            <w:tcW w:w="6480" w:type="dxa"/>
            <w:vAlign w:val="bottom"/>
          </w:tcPr>
          <w:p>
            <w:pPr>
              <w:jc w:val="right"/>
              <w:spacing w:after="0"/>
              <w:rPr>
                <w:sz w:val="20"/>
                <w:szCs w:val="20"/>
                <w:color w:val="auto"/>
              </w:rPr>
            </w:pPr>
            <w:r>
              <w:rPr>
                <w:rFonts w:ascii="Arial" w:cs="Arial" w:eastAsia="Arial" w:hAnsi="Arial"/>
                <w:sz w:val="17"/>
                <w:szCs w:val="17"/>
                <w:color w:val="auto"/>
              </w:rPr>
              <w:t>and their terms will expire at the third annual meeting of stockholders following the</w:t>
            </w:r>
          </w:p>
        </w:tc>
      </w:tr>
      <w:tr>
        <w:trPr>
          <w:trHeight w:val="216"/>
        </w:trPr>
        <w:tc>
          <w:tcPr>
            <w:tcW w:w="300" w:type="dxa"/>
            <w:vAlign w:val="bottom"/>
          </w:tcPr>
          <w:p>
            <w:pPr>
              <w:spacing w:after="0"/>
              <w:rPr>
                <w:sz w:val="18"/>
                <w:szCs w:val="18"/>
                <w:color w:val="auto"/>
              </w:rPr>
            </w:pPr>
          </w:p>
        </w:tc>
        <w:tc>
          <w:tcPr>
            <w:tcW w:w="2760" w:type="dxa"/>
            <w:vAlign w:val="bottom"/>
          </w:tcPr>
          <w:p>
            <w:pPr>
              <w:ind w:left="240"/>
              <w:spacing w:after="0"/>
              <w:rPr>
                <w:sz w:val="20"/>
                <w:szCs w:val="20"/>
                <w:color w:val="auto"/>
              </w:rPr>
            </w:pPr>
            <w:r>
              <w:rPr>
                <w:rFonts w:ascii="Arial" w:cs="Arial" w:eastAsia="Arial" w:hAnsi="Arial"/>
                <w:sz w:val="17"/>
                <w:szCs w:val="17"/>
                <w:color w:val="auto"/>
              </w:rPr>
              <w:t>date of this prospectus.</w:t>
            </w:r>
          </w:p>
        </w:tc>
        <w:tc>
          <w:tcPr>
            <w:tcW w:w="1360" w:type="dxa"/>
            <w:vAlign w:val="bottom"/>
          </w:tcPr>
          <w:p>
            <w:pPr>
              <w:spacing w:after="0"/>
              <w:rPr>
                <w:sz w:val="18"/>
                <w:szCs w:val="18"/>
                <w:color w:val="auto"/>
              </w:rPr>
            </w:pPr>
          </w:p>
        </w:tc>
        <w:tc>
          <w:tcPr>
            <w:tcW w:w="6480" w:type="dxa"/>
            <w:vAlign w:val="bottom"/>
          </w:tcPr>
          <w:p>
            <w:pPr>
              <w:spacing w:after="0"/>
              <w:rPr>
                <w:sz w:val="18"/>
                <w:szCs w:val="18"/>
                <w:color w:val="auto"/>
              </w:rPr>
            </w:pPr>
          </w:p>
        </w:tc>
      </w:tr>
    </w:tbl>
    <w:p>
      <w:pPr>
        <w:spacing w:after="0" w:line="204"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As a result, only one class of directors will be elected at each annual meeting of stockholders, with the other classes continuing for the remainder of their respective terms.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completion of this offering, the code of business conduct and ethics and the code of ethics for senior financial officers will each be posted on our website.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ind w:left="340"/>
        <w:spacing w:after="0"/>
        <w:tabs>
          <w:tab w:leader="none" w:pos="3980" w:val="left"/>
          <w:tab w:leader="none" w:pos="5280" w:val="left"/>
        </w:tabs>
        <w:rPr>
          <w:sz w:val="20"/>
          <w:szCs w:val="20"/>
          <w:color w:val="auto"/>
        </w:rPr>
      </w:pPr>
      <w:r>
        <w:rPr>
          <w:rFonts w:ascii="Arial" w:cs="Arial" w:eastAsia="Arial" w:hAnsi="Arial"/>
          <w:sz w:val="17"/>
          <w:szCs w:val="17"/>
          <w:color w:val="auto"/>
        </w:rPr>
        <w:t>Our board of directors determined that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are "independent directors" as defined under the rules of The NASDAQ Stock Market.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228"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color w:val="auto"/>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85"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Mr. Atwood, Dr. Cohen and Ms. Eastham serve on our audit committee. Ms. Eastham is the chairperson of this committee. Our audit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oversees our corporate accounting and financial reporting process and assists our board of directors in oversight of the integrity of our financial statements, our compliance with financial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has determined that is an audit committee financial expert, as defined by the rules promulgated by the SEC, and has the requisite financial sophistication as defined under the applicable rules and regulations of The NASDAQ Stock Market.</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Messrs. Byers, Colella and Jones serve on our compensation committee. Mr. Jones is the chairperson of this committee.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8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Messrs. Atwood and Byers and Dr. Treu serve on our nominating and corporate governance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Dr. Treu is the chairperson of 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6"/>
          <w:szCs w:val="16"/>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w:t>
      </w:r>
    </w:p>
    <w:p>
      <w:pPr>
        <w:spacing w:after="0" w:line="146"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1"/>
              </w:rPr>
              <w:t>Fees Earned or Paid</w:t>
            </w: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Option Awards ($)</w:t>
            </w:r>
            <w:r>
              <w:rPr>
                <w:rFonts w:ascii="Arial" w:cs="Arial" w:eastAsia="Arial" w:hAnsi="Arial"/>
                <w:sz w:val="21"/>
                <w:szCs w:val="21"/>
                <w:b w:val="1"/>
                <w:bCs w:val="1"/>
                <w:color w:val="auto"/>
                <w:w w:val="91"/>
                <w:vertAlign w:val="superscript"/>
              </w:rPr>
              <w:t>(1)(2)</w:t>
            </w:r>
          </w:p>
        </w:tc>
        <w:tc>
          <w:tcPr>
            <w:tcW w:w="14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3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3"/>
              </w:rPr>
              <w:t>in Cash ($)</w:t>
            </w:r>
          </w:p>
        </w:tc>
        <w:tc>
          <w:tcPr>
            <w:tcW w:w="76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Karin Eastham</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1,712</w:t>
            </w:r>
            <w:r>
              <w:rPr>
                <w:rFonts w:ascii="Arial" w:cs="Arial" w:eastAsia="Arial" w:hAnsi="Arial"/>
                <w:sz w:val="14"/>
                <w:szCs w:val="14"/>
                <w:color w:val="auto"/>
              </w:rPr>
              <w:t>(3)</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18,333</w:t>
            </w:r>
          </w:p>
        </w:tc>
        <w:tc>
          <w:tcPr>
            <w:tcW w:w="0" w:type="dxa"/>
            <w:vAlign w:val="bottom"/>
          </w:tcPr>
          <w:p>
            <w:pPr>
              <w:spacing w:after="0"/>
              <w:rPr>
                <w:sz w:val="1"/>
                <w:szCs w:val="1"/>
                <w:color w:val="auto"/>
              </w:rPr>
            </w:pPr>
          </w:p>
        </w:tc>
      </w:tr>
      <w:tr>
        <w:trPr>
          <w:trHeight w:val="216"/>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Evan Jones</w:t>
            </w:r>
          </w:p>
        </w:tc>
        <w:tc>
          <w:tcPr>
            <w:tcW w:w="10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99"/>
        </w:trPr>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following table sets forth outstanding equity awards held by non-employee directors as of December 31, 2012:</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4"/>
        </w:trPr>
        <w:tc>
          <w:tcPr>
            <w:tcW w:w="29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1"/>
                <w:szCs w:val="21"/>
                <w:b w:val="1"/>
                <w:bCs w:val="1"/>
                <w:color w:val="auto"/>
                <w:vertAlign w:val="superscript"/>
              </w:rPr>
              <w:t>(1)</w:t>
            </w:r>
          </w:p>
        </w:tc>
        <w:tc>
          <w:tcPr>
            <w:tcW w:w="94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170"/>
        </w:trPr>
        <w:tc>
          <w:tcPr>
            <w:tcW w:w="2920" w:type="dxa"/>
            <w:vAlign w:val="bottom"/>
            <w:gridSpan w:val="4"/>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Arial" w:cs="Arial" w:eastAsia="Arial" w:hAnsi="Arial"/>
                <w:sz w:val="12"/>
                <w:szCs w:val="12"/>
                <w:b w:val="1"/>
                <w:bCs w:val="1"/>
                <w:color w:val="auto"/>
                <w:w w:val="96"/>
              </w:rPr>
              <w:t>Price</w:t>
            </w:r>
            <w:r>
              <w:rPr>
                <w:rFonts w:ascii="Arial" w:cs="Arial" w:eastAsia="Arial" w:hAnsi="Arial"/>
                <w:sz w:val="19"/>
                <w:szCs w:val="19"/>
                <w:b w:val="1"/>
                <w:bCs w:val="1"/>
                <w:color w:val="auto"/>
                <w:w w:val="96"/>
                <w:vertAlign w:val="superscript"/>
              </w:rPr>
              <w:t>(2)</w:t>
            </w:r>
            <w:r>
              <w:rPr>
                <w:rFonts w:ascii="Arial" w:cs="Arial" w:eastAsia="Arial" w:hAnsi="Arial"/>
                <w:sz w:val="12"/>
                <w:szCs w:val="12"/>
                <w:b w:val="1"/>
                <w:bCs w:val="1"/>
                <w:color w:val="auto"/>
                <w:w w:val="96"/>
              </w:rPr>
              <w:t>($/sh)</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Karin Eastham</w:t>
            </w: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0"/>
                <w:szCs w:val="10"/>
                <w:color w:val="auto"/>
              </w:rPr>
              <w:t>12/06/12</w:t>
            </w:r>
            <w:r>
              <w:rPr>
                <w:rFonts w:ascii="Arial" w:cs="Arial" w:eastAsia="Arial" w:hAnsi="Arial"/>
                <w:sz w:val="15"/>
                <w:szCs w:val="15"/>
                <w:color w:val="auto"/>
                <w:vertAlign w:val="superscript"/>
              </w:rPr>
              <w:t>(3)</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25,000</w:t>
            </w:r>
          </w:p>
        </w:tc>
        <w:tc>
          <w:tcPr>
            <w:tcW w:w="2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12/05/22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3"/>
                <w:szCs w:val="13"/>
                <w:color w:val="auto"/>
              </w:rPr>
              <w:t>Evan Jones</w:t>
            </w:r>
          </w:p>
        </w:tc>
        <w:tc>
          <w:tcPr>
            <w:tcW w:w="94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07/08/08</w:t>
            </w:r>
            <w:r>
              <w:rPr>
                <w:rFonts w:ascii="Arial" w:cs="Arial" w:eastAsia="Arial" w:hAnsi="Arial"/>
                <w:sz w:val="21"/>
                <w:szCs w:val="21"/>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0.02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07/07/18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jc w:val="right"/>
              <w:ind w:right="20"/>
              <w:spacing w:after="0" w:line="210" w:lineRule="exact"/>
              <w:rPr>
                <w:sz w:val="20"/>
                <w:szCs w:val="20"/>
                <w:color w:val="auto"/>
              </w:rPr>
            </w:pPr>
            <w:r>
              <w:rPr>
                <w:rFonts w:ascii="Arial" w:cs="Arial" w:eastAsia="Arial" w:hAnsi="Arial"/>
                <w:sz w:val="13"/>
                <w:szCs w:val="13"/>
                <w:color w:val="auto"/>
              </w:rPr>
              <w:t>05/17/11</w:t>
            </w:r>
            <w:r>
              <w:rPr>
                <w:rFonts w:ascii="Arial" w:cs="Arial" w:eastAsia="Arial" w:hAnsi="Arial"/>
                <w:sz w:val="21"/>
                <w:szCs w:val="21"/>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0.59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05/16/21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12/06/12</w:t>
            </w:r>
            <w:r>
              <w:rPr>
                <w:rFonts w:ascii="Arial" w:cs="Arial" w:eastAsia="Arial" w:hAnsi="Arial"/>
                <w:sz w:val="21"/>
                <w:szCs w:val="21"/>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13,334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6,666</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12/05/22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hanging="523"/>
        <w:spacing w:after="0"/>
        <w:tabs>
          <w:tab w:leader="none" w:pos="2240" w:val="left"/>
        </w:tabs>
        <w:numPr>
          <w:ilvl w:val="1"/>
          <w:numId w:val="47"/>
        </w:numPr>
        <w:rPr>
          <w:rFonts w:ascii="Arial" w:cs="Arial" w:eastAsia="Arial" w:hAnsi="Arial"/>
          <w:sz w:val="13"/>
          <w:szCs w:val="13"/>
          <w:color w:val="auto"/>
        </w:rPr>
      </w:pPr>
      <w:r>
        <w:rPr>
          <w:rFonts w:ascii="Arial" w:cs="Arial" w:eastAsia="Arial" w:hAnsi="Arial"/>
          <w:sz w:val="13"/>
          <w:szCs w:val="13"/>
          <w:color w:val="auto"/>
        </w:rPr>
        <w:t>Messrs. Atwood, Byers and Colella and Drs. Cohen and Treu did not hold any outstanding options as of December 31, 2012.</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grant date fair value of the common stock underlying these option awards is equal to the option exercise price on the date of grant.</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grant date.</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This option vests as to 25% of the underlying shares on the one year anniversary of the grant date, and the remainder ratably over 36 months thereafter.</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vesting commencement date. The vesting commencement date is May 1, 2012.</w:t>
      </w:r>
    </w:p>
    <w:p>
      <w:pPr>
        <w:spacing w:after="0" w:line="191"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94"/>
        <w:spacing w:after="0" w:line="315" w:lineRule="auto"/>
        <w:rPr>
          <w:sz w:val="20"/>
          <w:szCs w:val="20"/>
          <w:color w:val="auto"/>
        </w:rPr>
      </w:pPr>
      <w:r>
        <w:rPr>
          <w:rFonts w:ascii="Arial" w:cs="Arial" w:eastAsia="Arial" w:hAnsi="Arial"/>
          <w:sz w:val="16"/>
          <w:szCs w:val="16"/>
          <w:color w:val="auto"/>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All Other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Name and Principal Position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Salary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Awards ($)</w:t>
            </w:r>
            <w:r>
              <w:rPr>
                <w:rFonts w:ascii="Arial" w:cs="Arial" w:eastAsia="Arial" w:hAnsi="Arial"/>
                <w:sz w:val="20"/>
                <w:szCs w:val="20"/>
                <w:b w:val="1"/>
                <w:bCs w:val="1"/>
                <w:color w:val="auto"/>
                <w:w w:val="86"/>
                <w:vertAlign w:val="superscript"/>
              </w:rPr>
              <w:t>(1)(2)</w:t>
            </w: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Plan Compensation ($)</w:t>
            </w:r>
            <w:r>
              <w:rPr>
                <w:rFonts w:ascii="Arial" w:cs="Arial" w:eastAsia="Arial" w:hAnsi="Arial"/>
                <w:sz w:val="20"/>
                <w:szCs w:val="20"/>
                <w:b w:val="1"/>
                <w:bCs w:val="1"/>
                <w:color w:val="auto"/>
                <w:w w:val="90"/>
                <w:vertAlign w:val="superscript"/>
              </w:rPr>
              <w:t>(3)</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Compensation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37"/>
        </w:trPr>
        <w:tc>
          <w:tcPr>
            <w:tcW w:w="244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Bonnie H. Anderson</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355,000</w:t>
            </w:r>
          </w:p>
        </w:tc>
        <w:tc>
          <w:tcPr>
            <w:tcW w:w="1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302,631</w:t>
            </w:r>
            <w:r>
              <w:rPr>
                <w:rFonts w:ascii="Arial" w:cs="Arial" w:eastAsia="Arial" w:hAnsi="Arial"/>
                <w:sz w:val="15"/>
                <w:szCs w:val="15"/>
                <w:color w:val="auto"/>
                <w:vertAlign w:val="superscript"/>
              </w:rPr>
              <w:t>(4)</w:t>
            </w:r>
          </w:p>
        </w:tc>
        <w:tc>
          <w:tcPr>
            <w:tcW w:w="1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62,500</w:t>
            </w:r>
          </w:p>
        </w:tc>
        <w:tc>
          <w:tcPr>
            <w:tcW w:w="12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720,131</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Executive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332"/>
        </w:trPr>
        <w:tc>
          <w:tcPr>
            <w:tcW w:w="2440" w:type="dxa"/>
            <w:vAlign w:val="bottom"/>
            <w:gridSpan w:val="3"/>
          </w:tcPr>
          <w:p>
            <w:pPr>
              <w:spacing w:after="0"/>
              <w:rPr>
                <w:sz w:val="20"/>
                <w:szCs w:val="20"/>
                <w:color w:val="auto"/>
              </w:rPr>
            </w:pPr>
            <w:r>
              <w:rPr>
                <w:rFonts w:ascii="Arial" w:cs="Arial" w:eastAsia="Arial" w:hAnsi="Arial"/>
                <w:sz w:val="13"/>
                <w:szCs w:val="13"/>
                <w:color w:val="auto"/>
              </w:rPr>
              <w:t>Mark E. Spring</w:t>
            </w:r>
            <w:r>
              <w:rPr>
                <w:rFonts w:ascii="Arial" w:cs="Arial" w:eastAsia="Arial" w:hAnsi="Arial"/>
                <w:sz w:val="21"/>
                <w:szCs w:val="21"/>
                <w:color w:val="auto"/>
                <w:vertAlign w:val="superscript"/>
              </w:rPr>
              <w:t>(5)</w:t>
            </w: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296,250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288,417</w:t>
            </w:r>
            <w:r>
              <w:rPr>
                <w:rFonts w:ascii="Arial" w:cs="Arial" w:eastAsia="Arial" w:hAnsi="Arial"/>
                <w:sz w:val="21"/>
                <w:szCs w:val="21"/>
                <w:color w:val="auto"/>
                <w:vertAlign w:val="superscript"/>
              </w:rPr>
              <w:t>(6)</w:t>
            </w:r>
          </w:p>
        </w:tc>
        <w:tc>
          <w:tcPr>
            <w:tcW w:w="1720" w:type="dxa"/>
            <w:vAlign w:val="bottom"/>
            <w:gridSpan w:val="2"/>
          </w:tcPr>
          <w:p>
            <w:pPr>
              <w:jc w:val="right"/>
              <w:ind w:right="140"/>
              <w:spacing w:after="0"/>
              <w:rPr>
                <w:sz w:val="20"/>
                <w:szCs w:val="20"/>
                <w:color w:val="auto"/>
              </w:rPr>
            </w:pPr>
            <w:r>
              <w:rPr>
                <w:rFonts w:ascii="Arial" w:cs="Arial" w:eastAsia="Arial" w:hAnsi="Arial"/>
                <w:sz w:val="13"/>
                <w:szCs w:val="13"/>
                <w:color w:val="auto"/>
              </w:rPr>
              <w:t>30,000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54,913</w:t>
            </w:r>
            <w:r>
              <w:rPr>
                <w:rFonts w:ascii="Arial" w:cs="Arial" w:eastAsia="Arial" w:hAnsi="Arial"/>
                <w:sz w:val="21"/>
                <w:szCs w:val="21"/>
                <w:color w:val="auto"/>
                <w:vertAlign w:val="superscript"/>
              </w:rPr>
              <w:t>(7)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669,580</w:t>
            </w:r>
          </w:p>
        </w:tc>
      </w:tr>
      <w:tr>
        <w:trPr>
          <w:trHeight w:val="153"/>
        </w:trPr>
        <w:tc>
          <w:tcPr>
            <w:tcW w:w="2440" w:type="dxa"/>
            <w:vAlign w:val="bottom"/>
            <w:gridSpan w:val="3"/>
          </w:tcPr>
          <w:p>
            <w:pPr>
              <w:ind w:left="140"/>
              <w:spacing w:after="0"/>
              <w:rPr>
                <w:sz w:val="20"/>
                <w:szCs w:val="20"/>
                <w:color w:val="auto"/>
              </w:rPr>
            </w:pPr>
            <w:r>
              <w:rPr>
                <w:rFonts w:ascii="Arial" w:cs="Arial" w:eastAsia="Arial" w:hAnsi="Arial"/>
                <w:sz w:val="13"/>
                <w:szCs w:val="13"/>
                <w:color w:val="auto"/>
              </w:rPr>
              <w:t>Former Chief Financial Officer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5"/>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Christopher M. Hall</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304,148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93,082</w:t>
            </w:r>
            <w:r>
              <w:rPr>
                <w:rFonts w:ascii="Arial" w:cs="Arial" w:eastAsia="Arial" w:hAnsi="Arial"/>
                <w:sz w:val="21"/>
                <w:szCs w:val="21"/>
                <w:color w:val="auto"/>
                <w:vertAlign w:val="superscript"/>
              </w:rPr>
              <w:t>(8)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30,500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427,730</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Commercial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jc w:val="both"/>
        <w:ind w:left="1680" w:hanging="533"/>
        <w:spacing w:after="0" w:line="243" w:lineRule="auto"/>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fully vested options granted in February 2013 for service in 2012 pursuant to our Executive Bonus Plan, under which our executive officers are eligible to receive annual cash and equity incentives if the company achieves certain annual corporate goals as determined for such year by our board of directors. Such bonuses may be paid partly in cash and partly in fully vested stock options or restricted stock at the discretion of our board of directors.</w:t>
      </w:r>
    </w:p>
    <w:p>
      <w:pPr>
        <w:spacing w:after="0" w:line="109"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Reflects the amount approved by our board of directors as cash incentive under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96,451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Mr. Spring's employment with us ended in February 2013. Shelly D. Guyer was appointed our Chief Financial Officer in April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46,296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Consisted of $36,765 for reimbursement of relocation expenses and a tax gross-up for such expenses of $18,148.</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47,068 shares of our common stock granted on February 5, 2013 pursuant to our Executive Bonus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certain information with respect to outstanding equity awards held by each of our named executive officers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center"/>
              <w:ind w:right="209"/>
              <w:spacing w:after="0" w:line="124" w:lineRule="exact"/>
              <w:rPr>
                <w:sz w:val="20"/>
                <w:szCs w:val="20"/>
                <w:color w:val="auto"/>
              </w:rPr>
            </w:pPr>
            <w:r>
              <w:rPr>
                <w:rFonts w:ascii="Arial" w:cs="Arial" w:eastAsia="Arial" w:hAnsi="Arial"/>
                <w:sz w:val="13"/>
                <w:szCs w:val="13"/>
                <w:b w:val="1"/>
                <w:bCs w:val="1"/>
                <w:color w:val="auto"/>
                <w:w w:val="91"/>
              </w:rPr>
              <w:t>Number of Securities</w:t>
            </w:r>
          </w:p>
        </w:tc>
        <w:tc>
          <w:tcPr>
            <w:tcW w:w="236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1"/>
              </w:rPr>
              <w:t>Number of Securities Underlying</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09"/>
              <w:spacing w:after="0"/>
              <w:rPr>
                <w:sz w:val="20"/>
                <w:szCs w:val="20"/>
                <w:color w:val="auto"/>
              </w:rPr>
            </w:pPr>
            <w:r>
              <w:rPr>
                <w:rFonts w:ascii="Arial" w:cs="Arial" w:eastAsia="Arial" w:hAnsi="Arial"/>
                <w:sz w:val="13"/>
                <w:szCs w:val="13"/>
                <w:b w:val="1"/>
                <w:bCs w:val="1"/>
                <w:color w:val="auto"/>
                <w:w w:val="91"/>
              </w:rPr>
              <w:t>Underlying Unexercised</w:t>
            </w:r>
          </w:p>
        </w:tc>
        <w:tc>
          <w:tcPr>
            <w:tcW w:w="2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Unexercised Options–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Exercise Price of</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Expiration</w:t>
            </w:r>
          </w:p>
        </w:tc>
      </w:tr>
      <w:tr>
        <w:trPr>
          <w:trHeight w:val="17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5"/>
              </w:rPr>
              <w:t>Options–Exercisable</w:t>
            </w:r>
            <w:r>
              <w:rPr>
                <w:rFonts w:ascii="Arial" w:cs="Arial" w:eastAsia="Arial" w:hAnsi="Arial"/>
                <w:sz w:val="19"/>
                <w:szCs w:val="19"/>
                <w:b w:val="1"/>
                <w:bCs w:val="1"/>
                <w:color w:val="auto"/>
                <w:w w:val="95"/>
                <w:vertAlign w:val="superscript"/>
              </w:rPr>
              <w:t>(1)</w:t>
            </w:r>
          </w:p>
        </w:tc>
        <w:tc>
          <w:tcPr>
            <w:tcW w:w="280" w:type="dxa"/>
            <w:vAlign w:val="bottom"/>
          </w:tcPr>
          <w:p>
            <w:pPr>
              <w:spacing w:after="0"/>
              <w:rPr>
                <w:sz w:val="14"/>
                <w:szCs w:val="14"/>
                <w:color w:val="auto"/>
              </w:rPr>
            </w:pPr>
          </w:p>
        </w:tc>
        <w:tc>
          <w:tcPr>
            <w:tcW w:w="20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2"/>
              </w:rPr>
              <w:t>Unexercisable</w:t>
            </w:r>
            <w:r>
              <w:rPr>
                <w:rFonts w:ascii="Arial" w:cs="Arial" w:eastAsia="Arial" w:hAnsi="Arial"/>
                <w:sz w:val="19"/>
                <w:szCs w:val="19"/>
                <w:b w:val="1"/>
                <w:bCs w:val="1"/>
                <w:color w:val="auto"/>
                <w:w w:val="92"/>
                <w:vertAlign w:val="superscript"/>
              </w:rPr>
              <w:t>(1)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9"/>
              </w:rPr>
              <w:t>Date of Options</w:t>
            </w:r>
          </w:p>
        </w:tc>
        <w:tc>
          <w:tcPr>
            <w:tcW w:w="140" w:type="dxa"/>
            <w:vAlign w:val="bottom"/>
          </w:tcPr>
          <w:p>
            <w:pPr>
              <w:spacing w:after="0"/>
              <w:rPr>
                <w:sz w:val="14"/>
                <w:szCs w:val="14"/>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Bonnie H. Anderson</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52,613</w:t>
            </w:r>
            <w:r>
              <w:rPr>
                <w:rFonts w:ascii="Arial" w:cs="Arial" w:eastAsia="Arial" w:hAnsi="Arial"/>
                <w:sz w:val="14"/>
                <w:szCs w:val="14"/>
                <w:color w:val="auto"/>
              </w:rPr>
              <w:t>(2)</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02/02/2020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400,000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72,500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131,131</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418"/>
        </w:trPr>
        <w:tc>
          <w:tcPr>
            <w:tcW w:w="2380" w:type="dxa"/>
            <w:vAlign w:val="bottom"/>
            <w:gridSpan w:val="3"/>
          </w:tcPr>
          <w:p>
            <w:pPr>
              <w:spacing w:after="0"/>
              <w:rPr>
                <w:sz w:val="20"/>
                <w:szCs w:val="20"/>
                <w:color w:val="auto"/>
              </w:rPr>
            </w:pPr>
            <w:r>
              <w:rPr>
                <w:rFonts w:ascii="Arial" w:cs="Arial" w:eastAsia="Arial" w:hAnsi="Arial"/>
                <w:sz w:val="17"/>
                <w:szCs w:val="17"/>
                <w:color w:val="auto"/>
              </w:rPr>
              <w:t>Mark E. Spring</w:t>
            </w:r>
          </w:p>
        </w:tc>
        <w:tc>
          <w:tcPr>
            <w:tcW w:w="2000" w:type="dxa"/>
            <w:vAlign w:val="bottom"/>
            <w:gridSpan w:val="3"/>
          </w:tcPr>
          <w:p>
            <w:pPr>
              <w:jc w:val="right"/>
              <w:ind w:right="49"/>
              <w:spacing w:after="0"/>
              <w:rPr>
                <w:sz w:val="20"/>
                <w:szCs w:val="20"/>
                <w:color w:val="auto"/>
              </w:rPr>
            </w:pPr>
            <w:r>
              <w:rPr>
                <w:rFonts w:ascii="Arial" w:cs="Arial" w:eastAsia="Arial" w:hAnsi="Arial"/>
                <w:sz w:val="17"/>
                <w:szCs w:val="17"/>
                <w:color w:val="auto"/>
              </w:rPr>
              <w:t>610,000</w:t>
            </w:r>
            <w:r>
              <w:rPr>
                <w:rFonts w:ascii="Arial" w:cs="Arial" w:eastAsia="Arial" w:hAnsi="Arial"/>
                <w:sz w:val="14"/>
                <w:szCs w:val="14"/>
                <w:color w:val="auto"/>
              </w:rPr>
              <w:t>(3)</w:t>
            </w:r>
          </w:p>
        </w:tc>
        <w:tc>
          <w:tcPr>
            <w:tcW w:w="2360" w:type="dxa"/>
            <w:vAlign w:val="bottom"/>
            <w:gridSpan w:val="2"/>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04/10/2022</w:t>
            </w:r>
          </w:p>
        </w:tc>
      </w:tr>
      <w:tr>
        <w:trPr>
          <w:trHeight w:val="418"/>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M. Hall</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450,000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03/29/2020</w:t>
            </w:r>
          </w:p>
        </w:tc>
      </w:tr>
      <w:tr>
        <w:trPr>
          <w:trHeight w:val="212"/>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44,000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67,708</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105"/>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Option award vests at a rate of 1/24th of the total number of shares subject to the option each month following the vesting commencement date. The vesting commencement date is January 1, 2010.</w:t>
      </w:r>
    </w:p>
    <w:p>
      <w:pPr>
        <w:spacing w:after="0" w:line="100" w:lineRule="exact"/>
        <w:rPr>
          <w:rFonts w:ascii="Arial" w:cs="Arial" w:eastAsia="Arial" w:hAnsi="Arial"/>
          <w:sz w:val="13"/>
          <w:szCs w:val="13"/>
          <w:color w:val="auto"/>
        </w:rPr>
      </w:pPr>
    </w:p>
    <w:p>
      <w:pPr>
        <w:jc w:val="both"/>
        <w:ind w:left="1680" w:hanging="533"/>
        <w:spacing w:after="0" w:line="274" w:lineRule="auto"/>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Options were fully vested on the date of grant.</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vesting commencement date is September 28, 2010.</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vesting commencement date is March 10,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vesting commencement date is January 5,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vesting commencement date is March 15, 2010.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Bonnie H. Anderson</w:t>
      </w:r>
    </w:p>
    <w:p>
      <w:pPr>
        <w:spacing w:after="0" w:line="224" w:lineRule="exact"/>
        <w:rPr>
          <w:sz w:val="20"/>
          <w:szCs w:val="20"/>
          <w:color w:val="auto"/>
        </w:rPr>
      </w:pPr>
    </w:p>
    <w:p>
      <w:pPr>
        <w:jc w:val="both"/>
        <w:ind w:firstLine="365"/>
        <w:spacing w:after="0" w:line="262" w:lineRule="auto"/>
        <w:rPr>
          <w:sz w:val="20"/>
          <w:szCs w:val="20"/>
          <w:color w:val="auto"/>
        </w:rPr>
      </w:pPr>
      <w:r>
        <w:rPr>
          <w:rFonts w:ascii="Arial" w:cs="Arial" w:eastAsia="Arial" w:hAnsi="Arial"/>
          <w:sz w:val="17"/>
          <w:szCs w:val="17"/>
          <w:color w:val="auto"/>
        </w:rPr>
        <w:t>On February 15, 2008, we entered into an employment agreement with Bonnie H. Anderson, our President and Chief Executive Officer. The agreement provided Ms. Anderson with an initial base salary at an annual rate of $300,000 and provided that Ms. Anderson was eligible to receive an annual bonus targeted at 20% of her base salary. Since entering into this agreement, our board of directors has adjusted Ms. Anderson's base salary to $350,000 and pursuant to an amendment to the employment agreement dated March 11, 2009, increased her target bonus percentage to 30% of her base salary.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535"/>
        <w:spacing w:after="0" w:line="260" w:lineRule="auto"/>
        <w:rPr>
          <w:sz w:val="20"/>
          <w:szCs w:val="20"/>
          <w:color w:val="auto"/>
        </w:rPr>
      </w:pPr>
      <w:r>
        <w:rPr>
          <w:rFonts w:ascii="Arial" w:cs="Arial" w:eastAsia="Arial" w:hAnsi="Arial"/>
          <w:sz w:val="17"/>
          <w:szCs w:val="17"/>
          <w:color w:val="auto"/>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2"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5"/>
          <w:szCs w:val="15"/>
          <w:color w:val="auto"/>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w:t>
      </w:r>
    </w:p>
    <w:p>
      <w:pPr>
        <w:spacing w:after="0" w:line="1" w:lineRule="exact"/>
        <w:rPr>
          <w:sz w:val="20"/>
          <w:szCs w:val="20"/>
          <w:color w:val="auto"/>
        </w:rPr>
      </w:pPr>
    </w:p>
    <w:p>
      <w:pPr>
        <w:ind w:firstLine="5"/>
        <w:spacing w:after="0" w:line="275" w:lineRule="auto"/>
        <w:tabs>
          <w:tab w:leader="none" w:pos="273"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5"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87"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Shelly D. Guyer</w:t>
      </w:r>
    </w:p>
    <w:p>
      <w:pPr>
        <w:spacing w:after="0" w:line="224" w:lineRule="exact"/>
        <w:rPr>
          <w:sz w:val="20"/>
          <w:szCs w:val="20"/>
          <w:color w:val="auto"/>
        </w:rPr>
      </w:pPr>
    </w:p>
    <w:p>
      <w:pPr>
        <w:jc w:val="both"/>
        <w:ind w:firstLine="406"/>
        <w:spacing w:after="0" w:line="303" w:lineRule="auto"/>
        <w:rPr>
          <w:sz w:val="20"/>
          <w:szCs w:val="20"/>
          <w:color w:val="auto"/>
        </w:rPr>
      </w:pPr>
      <w:r>
        <w:rPr>
          <w:rFonts w:ascii="Arial" w:cs="Arial" w:eastAsia="Arial" w:hAnsi="Arial"/>
          <w:sz w:val="15"/>
          <w:szCs w:val="15"/>
          <w:color w:val="auto"/>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62"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7"/>
          <w:szCs w:val="17"/>
          <w:color w:val="auto"/>
        </w:rPr>
        <w:t>Further, if Ms. Guyer is terminated by us without cause, or Ms. Guyer terminates her employment for good reason, each during the Change of Control Period, Ms. Guyer is entitled to (i) 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which the termination occurs and (iii) accelerated vesting equal to 100% of any outstanding equity awards along with the extension of the post-termination exercise period of such awards to 18 months after the termination date</w:t>
      </w:r>
    </w:p>
    <w:p>
      <w:pPr>
        <w:spacing w:after="0" w:line="170"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85" w:lineRule="exact"/>
        <w:rPr>
          <w:sz w:val="20"/>
          <w:szCs w:val="20"/>
          <w:color w:val="auto"/>
        </w:rPr>
      </w:pPr>
    </w:p>
    <w:p>
      <w:pPr>
        <w:jc w:val="both"/>
        <w:ind w:firstLine="369"/>
        <w:spacing w:after="0" w:line="282" w:lineRule="auto"/>
        <w:rPr>
          <w:sz w:val="20"/>
          <w:szCs w:val="20"/>
          <w:color w:val="auto"/>
        </w:rPr>
      </w:pPr>
      <w:r>
        <w:rPr>
          <w:rFonts w:ascii="Arial" w:cs="Arial" w:eastAsia="Arial" w:hAnsi="Arial"/>
          <w:sz w:val="17"/>
          <w:szCs w:val="17"/>
          <w:color w:val="auto"/>
        </w:rPr>
        <w:t>Pursuant to the Change of Control and Severance Agreement with Ms. Guyer, following her termination, she will maintain the confidentiality of our confidential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 Hall</w:t>
      </w:r>
    </w:p>
    <w:p>
      <w:pPr>
        <w:spacing w:after="0" w:line="224" w:lineRule="exact"/>
        <w:rPr>
          <w:sz w:val="20"/>
          <w:szCs w:val="20"/>
          <w:color w:val="auto"/>
        </w:rPr>
      </w:pPr>
    </w:p>
    <w:p>
      <w:pPr>
        <w:jc w:val="both"/>
        <w:ind w:firstLine="427"/>
        <w:spacing w:after="0" w:line="303" w:lineRule="auto"/>
        <w:rPr>
          <w:sz w:val="20"/>
          <w:szCs w:val="20"/>
          <w:color w:val="auto"/>
        </w:rPr>
      </w:pPr>
      <w:r>
        <w:rPr>
          <w:rFonts w:ascii="Arial" w:cs="Arial" w:eastAsia="Arial" w:hAnsi="Arial"/>
          <w:sz w:val="15"/>
          <w:szCs w:val="15"/>
          <w:color w:val="auto"/>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 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62" w:lineRule="exact"/>
        <w:rPr>
          <w:sz w:val="20"/>
          <w:szCs w:val="20"/>
          <w:color w:val="auto"/>
        </w:rPr>
      </w:pPr>
    </w:p>
    <w:p>
      <w:pPr>
        <w:jc w:val="both"/>
        <w:ind w:firstLine="341"/>
        <w:spacing w:after="0" w:line="296" w:lineRule="auto"/>
        <w:rPr>
          <w:sz w:val="20"/>
          <w:szCs w:val="20"/>
          <w:color w:val="auto"/>
        </w:rPr>
      </w:pPr>
      <w:r>
        <w:rPr>
          <w:rFonts w:ascii="Arial" w:cs="Arial" w:eastAsia="Arial" w:hAnsi="Arial"/>
          <w:sz w:val="15"/>
          <w:szCs w:val="15"/>
          <w:color w:val="auto"/>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w:t>
      </w:r>
    </w:p>
    <w:p>
      <w:pPr>
        <w:jc w:val="both"/>
        <w:ind w:firstLine="5"/>
        <w:spacing w:after="0" w:line="266" w:lineRule="auto"/>
        <w:tabs>
          <w:tab w:leader="none" w:pos="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83"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85"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Pursuant to the Change of Control and Severance Agreement with Mr. Hall, following his termination, he will maintain the confidentiality of our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2008 Stock Plan</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70" w:lineRule="exact"/>
        <w:rPr>
          <w:sz w:val="20"/>
          <w:szCs w:val="20"/>
          <w:color w:val="auto"/>
        </w:rPr>
      </w:pPr>
    </w:p>
    <w:p>
      <w:pPr>
        <w:jc w:val="both"/>
        <w:ind w:firstLine="422"/>
        <w:spacing w:after="0" w:line="263"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June 30, 2013, 11,800,873 shares of common stock have been authorized for issuance under the 2008 Stock Plan. As of June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purchase a total of 9,681,245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87"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5"/>
          <w:szCs w:val="15"/>
          <w:i w:val="1"/>
          <w:iCs w:val="1"/>
          <w:color w:val="auto"/>
        </w:rPr>
        <w:t>Administration.</w:t>
      </w:r>
      <w:r>
        <w:rPr>
          <w:sz w:val="20"/>
          <w:szCs w:val="20"/>
          <w:color w:val="auto"/>
        </w:rPr>
        <w:tab/>
      </w:r>
      <w:r>
        <w:rPr>
          <w:rFonts w:ascii="Arial" w:cs="Arial" w:eastAsia="Arial" w:hAnsi="Arial"/>
          <w:sz w:val="15"/>
          <w:szCs w:val="15"/>
          <w:color w:val="auto"/>
        </w:rPr>
        <w:t>Our board of directors administers the 2008 Stock Plan. The board of directors may delegate any of its administrative functions to a committee.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provisions of our 2008 Stock Plan, the administrator may take all actions it deems necessary or advisable for the administration of the 2008 Stock Plan.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actions of the administrator are final and binding on all persons.</w:t>
      </w:r>
    </w:p>
    <w:p>
      <w:pPr>
        <w:spacing w:after="0" w:line="218" w:lineRule="exact"/>
        <w:rPr>
          <w:sz w:val="20"/>
          <w:szCs w:val="20"/>
          <w:color w:val="auto"/>
        </w:rPr>
      </w:pPr>
    </w:p>
    <w:p>
      <w:pPr>
        <w:jc w:val="both"/>
        <w:ind w:firstLine="399"/>
        <w:spacing w:after="0" w:line="297"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The administrator may grant incentive or nonstatutory stock options under our 2008 Stock Plan; provided that incentive stock options are only</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to employees. 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 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Arial" w:cs="Arial" w:eastAsia="Arial" w:hAnsi="Arial"/>
          <w:sz w:val="15"/>
          <w:szCs w:val="15"/>
          <w:i w:val="1"/>
          <w:iCs w:val="1"/>
          <w:color w:val="auto"/>
        </w:rPr>
        <w:t>e.g.</w:t>
      </w:r>
      <w:r>
        <w:rPr>
          <w:rFonts w:ascii="Arial" w:cs="Arial" w:eastAsia="Arial" w:hAnsi="Arial"/>
          <w:sz w:val="15"/>
          <w:szCs w:val="15"/>
          <w:color w:val="auto"/>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69"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The administrator may award restricted shares or grant stock purchase rights under our 2008 Stock Plan. The terms of the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be set 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88"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Our 2008 Stock Plan generally does not allow for options to be transferred in any manner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Notwithstanding the foregoing, to the extent permitted by our board of directors, a nonstatutory stock option may be transferred to a family member or trust to the extent permitted by applicable laws.</w:t>
      </w:r>
    </w:p>
    <w:p>
      <w:pPr>
        <w:spacing w:after="0" w:line="179"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If any change is made in our common stock subject to the 2008 Stock Plan including a subdivision, stock dividend, dividend payable in a form</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stock that has a material effect on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7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Company is a party to a merger or other change of control event, outstanding awards under the 2008 Stock Plan will be treated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85"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7"/>
          <w:szCs w:val="17"/>
          <w:i w:val="1"/>
          <w:iCs w:val="1"/>
          <w:color w:val="auto"/>
        </w:rPr>
        <w:t>Plan amendments and termination.</w:t>
      </w:r>
      <w:r>
        <w:rPr>
          <w:sz w:val="20"/>
          <w:szCs w:val="20"/>
          <w:color w:val="auto"/>
        </w:rPr>
        <w:tab/>
      </w:r>
      <w:r>
        <w:rPr>
          <w:rFonts w:ascii="Arial" w:cs="Arial" w:eastAsia="Arial" w:hAnsi="Arial"/>
          <w:sz w:val="15"/>
          <w:szCs w:val="15"/>
          <w:color w:val="auto"/>
        </w:rPr>
        <w:t>Our board of directors may at any time amend, suspend or terminate the 2008 Stock Plan. Certain amendments which</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materially alter or impair the rights of existing option holders require an optionee's consent. Our 2008 Stock Plan will automatically terminate on , unless we terminate it sooner.</w:t>
      </w:r>
    </w:p>
    <w:p>
      <w:pPr>
        <w:spacing w:after="0" w:line="175"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Upon the completion of this offering, the 2008 Stock Plan will be terminated and no shares of our common stock will remain available for future issuance under the 2008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Stock Incentive Plan</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40" w:type="dxa"/>
            <w:vAlign w:val="bottom"/>
          </w:tcPr>
          <w:p>
            <w:pPr>
              <w:spacing w:after="0"/>
              <w:rPr>
                <w:sz w:val="20"/>
                <w:szCs w:val="20"/>
                <w:color w:val="auto"/>
              </w:rPr>
            </w:pPr>
            <w:r>
              <w:rPr>
                <w:rFonts w:ascii="Arial" w:cs="Arial" w:eastAsia="Arial" w:hAnsi="Arial"/>
                <w:sz w:val="17"/>
                <w:szCs w:val="17"/>
                <w:i w:val="1"/>
                <w:iCs w:val="1"/>
                <w:color w:val="auto"/>
                <w:w w:val="97"/>
              </w:rPr>
              <w:t xml:space="preserve">General.  </w:t>
            </w:r>
            <w:r>
              <w:rPr>
                <w:rFonts w:ascii="Arial" w:cs="Arial" w:eastAsia="Arial" w:hAnsi="Arial"/>
                <w:sz w:val="17"/>
                <w:szCs w:val="17"/>
                <w:color w:val="auto"/>
                <w:w w:val="97"/>
              </w:rPr>
              <w:t>Our 2013 Stock Incentive Plan was adopted by our board of directors and approved by our stockholders in</w:t>
            </w:r>
          </w:p>
        </w:tc>
        <w:tc>
          <w:tcPr>
            <w:tcW w:w="98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The 2013 Stock Incentive Plan provides for the granting of incentive stock options within the meaning of Section 422 of the Internal Revenue Code to employees and the granting of nonstatutory stock options to employees, non-employee directors, advisors and consultants. The 2013 Stock Incentive Plan also provides for the grants of restricted stock, stock appreciation rights and stock unit awards to employees, non-employee directors, advisors and consultants.</w:t>
      </w:r>
    </w:p>
    <w:p>
      <w:pPr>
        <w:spacing w:after="0" w:line="163" w:lineRule="exact"/>
        <w:rPr>
          <w:sz w:val="20"/>
          <w:szCs w:val="20"/>
          <w:color w:val="auto"/>
        </w:rPr>
      </w:pPr>
    </w:p>
    <w:p>
      <w:pPr>
        <w:jc w:val="both"/>
        <w:ind w:firstLine="482"/>
        <w:spacing w:after="0" w:line="270"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will administer the 2013 Stock Incentive Plan, including the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of an award, the number of shares subject to each award, whether an option is to be classified as an incentive stock option or nonstatutory option, and the terms and conditions of each award, including the exercise and purchase prices and the vesting or duration of the award.</w:t>
      </w:r>
    </w:p>
    <w:p>
      <w:pPr>
        <w:spacing w:after="0" w:line="179"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At the discretion of our board of directors, our compensation committee may consist solely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Securities Exchange Act of 1934, as amended, or the Exchange Act, to receive awards under our 2013 Stock Incentive Plan or determine the number of such awards to be received by such employees subject to limits specified by our board of directors.</w:t>
      </w:r>
    </w:p>
    <w:p>
      <w:pPr>
        <w:spacing w:after="0" w:line="175"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Under our 2013 Stock Incentive Plan, shares of our common stock have been authorized for issuance. In addition,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that have been authorized for issuance under the 2013 Stock Incentive Plan will be automatically increased on the first day of each year beginning in fiscal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20"/>
                <w:szCs w:val="20"/>
                <w:color w:val="auto"/>
              </w:rPr>
            </w:pPr>
            <w:r>
              <w:rPr>
                <w:rFonts w:ascii="Arial" w:cs="Arial" w:eastAsia="Arial" w:hAnsi="Arial"/>
                <w:sz w:val="17"/>
                <w:szCs w:val="17"/>
                <w:color w:val="auto"/>
              </w:rPr>
              <w:t>and ending in 2023, in an amount equal to the least of (i)</w:t>
            </w:r>
          </w:p>
        </w:tc>
        <w:tc>
          <w:tcPr>
            <w:tcW w:w="1140" w:type="dxa"/>
            <w:vAlign w:val="bottom"/>
          </w:tcPr>
          <w:p>
            <w:pPr>
              <w:ind w:left="380"/>
              <w:spacing w:after="0"/>
              <w:rPr>
                <w:sz w:val="20"/>
                <w:szCs w:val="20"/>
                <w:color w:val="auto"/>
              </w:rPr>
            </w:pPr>
            <w:r>
              <w:rPr>
                <w:rFonts w:ascii="Arial" w:cs="Arial" w:eastAsia="Arial" w:hAnsi="Arial"/>
                <w:sz w:val="17"/>
                <w:szCs w:val="17"/>
                <w:color w:val="auto"/>
                <w:w w:val="93"/>
              </w:rPr>
              <w:t>shares, (ii)</w:t>
            </w:r>
          </w:p>
        </w:tc>
        <w:tc>
          <w:tcPr>
            <w:tcW w:w="5820" w:type="dxa"/>
            <w:vAlign w:val="bottom"/>
          </w:tcPr>
          <w:p>
            <w:pPr>
              <w:jc w:val="right"/>
              <w:spacing w:after="0"/>
              <w:rPr>
                <w:sz w:val="20"/>
                <w:szCs w:val="20"/>
                <w:color w:val="auto"/>
              </w:rPr>
            </w:pPr>
            <w:r>
              <w:rPr>
                <w:rFonts w:ascii="Arial" w:cs="Arial" w:eastAsia="Arial" w:hAnsi="Arial"/>
                <w:sz w:val="17"/>
                <w:szCs w:val="17"/>
                <w:color w:val="auto"/>
              </w:rPr>
              <w:t>% of the outstanding shares of our common stock on the last day of the</w:t>
            </w:r>
          </w:p>
        </w:tc>
      </w:tr>
      <w:tr>
        <w:trPr>
          <w:trHeight w:val="216"/>
        </w:trPr>
        <w:tc>
          <w:tcPr>
            <w:tcW w:w="4460" w:type="dxa"/>
            <w:vAlign w:val="bottom"/>
          </w:tcPr>
          <w:p>
            <w:pPr>
              <w:spacing w:after="0"/>
              <w:rPr>
                <w:sz w:val="20"/>
                <w:szCs w:val="20"/>
                <w:color w:val="auto"/>
              </w:rPr>
            </w:pPr>
            <w:r>
              <w:rPr>
                <w:rFonts w:ascii="Arial" w:cs="Arial" w:eastAsia="Arial" w:hAnsi="Arial"/>
                <w:sz w:val="17"/>
                <w:szCs w:val="17"/>
                <w:color w:val="auto"/>
              </w:rPr>
              <w:t>immediately preceding year or (iii) another</w:t>
            </w:r>
          </w:p>
        </w:tc>
        <w:tc>
          <w:tcPr>
            <w:tcW w:w="114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9"/>
        </w:trPr>
        <w:tc>
          <w:tcPr>
            <w:tcW w:w="4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20" w:type="dxa"/>
            <w:vAlign w:val="bottom"/>
          </w:tcPr>
          <w:p>
            <w:pPr>
              <w:jc w:val="right"/>
              <w:ind w:right="5535"/>
              <w:spacing w:after="0"/>
              <w:rPr>
                <w:sz w:val="20"/>
                <w:szCs w:val="20"/>
                <w:color w:val="auto"/>
              </w:rPr>
            </w:pPr>
            <w:r>
              <w:rPr>
                <w:rFonts w:ascii="Arial" w:cs="Arial" w:eastAsia="Arial" w:hAnsi="Arial"/>
                <w:sz w:val="17"/>
                <w:szCs w:val="17"/>
                <w:color w:val="auto"/>
                <w:w w:val="94"/>
              </w:rPr>
              <w:t>98</w:t>
            </w:r>
          </w:p>
        </w:tc>
      </w:tr>
      <w:tr>
        <w:trPr>
          <w:trHeight w:val="222"/>
        </w:trPr>
        <w:tc>
          <w:tcPr>
            <w:tcW w:w="44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2013 Stock Incentive Plan. However, shares that have actually been issued shall not again become available unless forfeited. No more than shares may be delivered upon the exercise of incentive stock options granted under the 2013 Stock Incentive Plan plus, to the extent allowable under applicable law, any shares that again become available for issuance under the 2013 Stock Incentive Plan. In addition, shares originally reserved for issuance under our 2008 Stock Plan but which are not issued or subject to outstanding grants on the effective date of the 2013 Stock Incentive Plan, and shares subject to outstanding options under our 2008 Stock Plan on the effective date of the 2013 Stock Incentive Plan that are subsequently forfeited or terminated for any reason before being exercised, and shares subject to vesting</w:t>
      </w:r>
    </w:p>
    <w:p>
      <w:pPr>
        <w:spacing w:after="0" w:line="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restrictions under the 2008 Stock Plan that are subsequently forfeited, up to a number of additional shares not to exceed an aggregate of shares, will again become available for awards under our 2013 Stock Incentive Plan on the date the 2013 Stock Incentive Plan becomes effective.</w:t>
      </w:r>
    </w:p>
    <w:p>
      <w:pPr>
        <w:spacing w:after="0" w:line="175" w:lineRule="exact"/>
        <w:rPr>
          <w:sz w:val="20"/>
          <w:szCs w:val="20"/>
          <w:color w:val="auto"/>
        </w:rPr>
      </w:pPr>
    </w:p>
    <w:p>
      <w:pPr>
        <w:ind w:firstLine="513"/>
        <w:spacing w:after="0" w:line="265" w:lineRule="auto"/>
        <w:rPr>
          <w:sz w:val="20"/>
          <w:szCs w:val="20"/>
          <w:color w:val="auto"/>
        </w:rPr>
      </w:pPr>
      <w:r>
        <w:rPr>
          <w:rFonts w:ascii="Arial" w:cs="Arial" w:eastAsia="Arial" w:hAnsi="Arial"/>
          <w:sz w:val="17"/>
          <w:szCs w:val="17"/>
          <w:color w:val="auto"/>
        </w:rPr>
        <w:t>No participant in the 2013 Stock Incentive Plan can receive option grants, restricted shares, stock appreciation rights or stock units totaling more than an aggregate of shares in any calendar year, except in the participant's first year of employment in which the participant may receive equity awards totaling up to shares. No participant in the 2013 Stock Incentive Plan may be paid more than an aggregate of in cash during any calendar year with respect to equity awards that are payable in cash.</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37" w:lineRule="exact"/>
        <w:rPr>
          <w:sz w:val="20"/>
          <w:szCs w:val="20"/>
          <w:color w:val="auto"/>
        </w:rPr>
      </w:pPr>
    </w:p>
    <w:p>
      <w:pPr>
        <w:jc w:val="both"/>
        <w:ind w:left="1060" w:hanging="531"/>
        <w:spacing w:after="0" w:line="276"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A stock option is the right to purchase a certain number of shares of stock, at a certain exercise price, in the future. Under our 2013</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Incentive Plan, 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No incentive stock option can be granted to an employee if as a result of the grant, the employee would have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that 1/4th of the total number of shares subject to the options will vest and become exercisable 12 months after the vesting commencement date for options granted, and the remaining options will vest and become exercisable at a rate of 1/48th of the total number of shares subject to the options each month thereafter. Each stock option agreement sets forth the term of the options, which is prohibited from exceeding ten years (five years in the case of an incentive stock option granted to any holder of more than 10% of our voting shares), and the extent to which the optionee will have the right to exercise the option following termination of the optionee's service with the company. Payment of the exercise price may be made in cash or cash equivalents or, if provided for in the stock option agreement evidencing the award, (i)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301" w:lineRule="auto"/>
        <w:tabs>
          <w:tab w:leader="none" w:pos="106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Restricted stock is a share award that may be subject to vesting conditioned upon continued service, the achievement of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objectives or the satisfaction of any other condition as specified in a restricted stock agreement. Participants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 without payment by the recipient.</w:t>
      </w:r>
    </w:p>
    <w:p>
      <w:pPr>
        <w:spacing w:after="0" w:line="189" w:lineRule="exact"/>
        <w:rPr>
          <w:rFonts w:ascii="Arial" w:cs="Arial" w:eastAsia="Arial" w:hAnsi="Arial"/>
          <w:sz w:val="15"/>
          <w:szCs w:val="15"/>
          <w:color w:val="auto"/>
        </w:rPr>
      </w:pPr>
    </w:p>
    <w:p>
      <w:pPr>
        <w:jc w:val="both"/>
        <w:ind w:left="1060" w:hanging="531"/>
        <w:spacing w:after="0" w:line="261"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Stock units. </w:t>
      </w:r>
      <w:r>
        <w:rPr>
          <w:rFonts w:ascii="Arial" w:cs="Arial" w:eastAsia="Arial" w:hAnsi="Arial"/>
          <w:sz w:val="17"/>
          <w:szCs w:val="17"/>
          <w:color w:val="auto"/>
        </w:rPr>
        <w:t>Stock units give recipients the right to acquire a specified number of shares of stock at a future date upon the satisfaction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203"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typically will provide for payments to the recipient based upon increases in the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over the exercise price of the stock 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Plan Features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2013 Stock Incentive Plan:</w:t>
      </w:r>
    </w:p>
    <w:p>
      <w:pPr>
        <w:spacing w:after="0" w:line="237" w:lineRule="exact"/>
        <w:rPr>
          <w:sz w:val="20"/>
          <w:szCs w:val="20"/>
          <w:color w:val="auto"/>
        </w:rPr>
      </w:pPr>
    </w:p>
    <w:p>
      <w:pPr>
        <w:jc w:val="both"/>
        <w:ind w:left="1060" w:hanging="531"/>
        <w:spacing w:after="0" w:line="352" w:lineRule="auto"/>
        <w:tabs>
          <w:tab w:leader="none" w:pos="10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w:t>
      </w:r>
    </w:p>
    <w:p>
      <w:pPr>
        <w:spacing w:after="0" w:line="149" w:lineRule="exact"/>
        <w:rPr>
          <w:rFonts w:ascii="Arial" w:cs="Arial" w:eastAsia="Arial" w:hAnsi="Arial"/>
          <w:sz w:val="15"/>
          <w:szCs w:val="15"/>
          <w:color w:val="auto"/>
        </w:rPr>
      </w:pPr>
    </w:p>
    <w:p>
      <w:pPr>
        <w:jc w:val="both"/>
        <w:ind w:left="1060" w:hanging="531"/>
        <w:spacing w:after="0" w:line="296" w:lineRule="auto"/>
        <w:tabs>
          <w:tab w:leader="none" w:pos="10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Nondiscretionary, automatic grants of nonstatutory stock options will be made to outside directors. Any outside director who first joins our board of directors on or after the effective date, will be automatically granted an initial nonstatutory option to purchase shares of our common stock that have a</w:t>
      </w:r>
    </w:p>
    <w:p>
      <w:pPr>
        <w:jc w:val="both"/>
        <w:ind w:left="1060"/>
        <w:spacing w:after="0" w:line="291" w:lineRule="auto"/>
        <w:rPr>
          <w:rFonts w:ascii="Arial" w:cs="Arial" w:eastAsia="Arial" w:hAnsi="Arial"/>
          <w:sz w:val="15"/>
          <w:szCs w:val="15"/>
          <w:color w:val="auto"/>
        </w:rPr>
      </w:pPr>
      <w:r>
        <w:rPr>
          <w:rFonts w:ascii="Arial" w:cs="Arial" w:eastAsia="Arial" w:hAnsi="Arial"/>
          <w:sz w:val="15"/>
          <w:szCs w:val="15"/>
          <w:color w:val="auto"/>
        </w:rPr>
        <w:t>value of $ , calculated using the fair market value of our common stock on the date of grant, upon first becoming a member of our board of directors. The initial option will vest and become exercisable over four years in equal monthly installments. On the first business day after each of our regularly scheduled annual meetings of stockholders, each outside director will be automatically granted an option to purchase shares of our common</w:t>
      </w:r>
    </w:p>
    <w:p>
      <w:pPr>
        <w:spacing w:after="0" w:line="1" w:lineRule="exact"/>
        <w:rPr>
          <w:rFonts w:ascii="Arial" w:cs="Arial" w:eastAsia="Arial" w:hAnsi="Arial"/>
          <w:sz w:val="15"/>
          <w:szCs w:val="15"/>
          <w:color w:val="auto"/>
        </w:rPr>
      </w:pPr>
    </w:p>
    <w:p>
      <w:pPr>
        <w:jc w:val="both"/>
        <w:ind w:left="1060"/>
        <w:spacing w:after="0" w:line="261" w:lineRule="auto"/>
        <w:rPr>
          <w:rFonts w:ascii="Arial" w:cs="Arial" w:eastAsia="Arial" w:hAnsi="Arial"/>
          <w:sz w:val="15"/>
          <w:szCs w:val="15"/>
          <w:color w:val="auto"/>
        </w:rPr>
      </w:pPr>
      <w:r>
        <w:rPr>
          <w:rFonts w:ascii="Arial" w:cs="Arial" w:eastAsia="Arial" w:hAnsi="Arial"/>
          <w:sz w:val="17"/>
          <w:szCs w:val="17"/>
          <w:color w:val="auto"/>
        </w:rPr>
        <w:t>stock that have a value of $ , calculated using the fair market value of our common stock on the date of grant,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70" w:lineRule="auto"/>
        <w:rPr>
          <w:sz w:val="20"/>
          <w:szCs w:val="20"/>
          <w:color w:val="auto"/>
        </w:rPr>
      </w:pPr>
      <w:r>
        <w:rPr>
          <w:rFonts w:ascii="Arial" w:cs="Arial" w:eastAsia="Arial" w:hAnsi="Arial"/>
          <w:sz w:val="17"/>
          <w:szCs w:val="17"/>
          <w:color w:val="auto"/>
        </w:rPr>
        <w:t>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w:t>
      </w:r>
    </w:p>
    <w:p>
      <w:pPr>
        <w:spacing w:after="0" w:line="192" w:lineRule="exact"/>
        <w:rPr>
          <w:sz w:val="20"/>
          <w:szCs w:val="20"/>
          <w:color w:val="auto"/>
        </w:rPr>
      </w:pPr>
    </w:p>
    <w:p>
      <w:pPr>
        <w:jc w:val="both"/>
        <w:ind w:left="1060" w:hanging="531"/>
        <w:spacing w:after="0" w:line="263"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the event of a recapitalization, stock split or similar capital transaction, our compensation committee will make appropriate and equitable adjustments to the number of shares reserved for issuance under the 2008 Stock Plan, including the share number in the formula for automatic annual increases, the limitation regarding the total number of shares underlying awards given to an individual participant in any calendar year, the number of shares that can be issued as incentive stock options and other adjustments in order to preserve the benefits of outstanding awards under the 2013 Stock Incentive Plan.</w:t>
      </w:r>
    </w:p>
    <w:p>
      <w:pPr>
        <w:spacing w:after="0" w:line="213"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Generally, if we merge with or into another corporation, we will provide for full exercisability or vesting and accelerated expiration of outstanding awards or settlement of the intrinsic value of the outstanding awards in cash or cash equivalents followed by cancellation of such awards unless the awards are continued if we are the surviving entity, or assumed or substituted for by any surviving entity or a parent or subsidiary of the surviving entity.</w:t>
      </w:r>
    </w:p>
    <w:p>
      <w:pPr>
        <w:spacing w:after="0" w:line="198"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we are involved in an asset acquisition, stock acquisition, merger or similar transaction with another entity, our compensation committee may make awards under the 2013 Stock Incentive Plan by the assumption, substitution or replacement of awards granted by another entity. The terms of such assumed, substituted or replaced awards will be determined by our compensation committee in its discretion.</w:t>
      </w:r>
    </w:p>
    <w:p>
      <w:pPr>
        <w:spacing w:after="0" w:line="192"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Awards under our 2013 Stock Incentive Plan may be made subject to the attainment of performance criteria including cash flows, earnings per share, earnings before interest, taxes and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regulatory body approval for commercialization of a product or implementation or completion of critical projects.</w:t>
      </w:r>
    </w:p>
    <w:p>
      <w:pPr>
        <w:spacing w:after="0" w:line="213"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2013 Stock Incentive Plan terminates ten years after its initial adoption, unless terminated earlier by our board of directors. Our board of directors may amend or terminate the plan at any time, subject to stockholder approval where required by applicable law. Any amendment or termination may not materially impair the rights of holders of outstanding awards without their consent.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color w:val="auto"/>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Prior to the closing of the offering, we plan to enter into indemnification agreements with each of our officers and directors. With certain exceptions, these agreements will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87"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firstLine="485"/>
        <w:spacing w:after="0" w:line="287" w:lineRule="auto"/>
        <w:rPr>
          <w:sz w:val="20"/>
          <w:szCs w:val="20"/>
          <w:color w:val="auto"/>
        </w:rPr>
      </w:pPr>
      <w:r>
        <w:rPr>
          <w:rFonts w:ascii="Arial" w:cs="Arial" w:eastAsia="Arial" w:hAnsi="Arial"/>
          <w:sz w:val="16"/>
          <w:szCs w:val="16"/>
          <w:color w:val="auto"/>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Convertible Preferred Stock</w:t>
      </w:r>
    </w:p>
    <w:p>
      <w:pPr>
        <w:spacing w:after="0" w:line="228"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convertible into one share of our common stock upon the completion of this offering. As of August 15, 2013, all of our outstanding convertible preferred stock will convert into 59,989,268 shares of our common stock assuming the conversion immediately upon the closing of this offering.</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10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Shares of Preferred Stock</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1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Purchase Price</w:t>
            </w: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Purchaser</w:t>
            </w:r>
          </w:p>
        </w:tc>
        <w:tc>
          <w:tcPr>
            <w:tcW w:w="5200" w:type="dxa"/>
            <w:vAlign w:val="bottom"/>
            <w:gridSpan w:val="2"/>
          </w:tcPr>
          <w:p>
            <w:pPr>
              <w:spacing w:after="0"/>
              <w:rPr>
                <w:sz w:val="13"/>
                <w:szCs w:val="13"/>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Series B</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Series C</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8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2,744,101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17,186,351</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3,215,553</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11,097,395</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(4)</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jVen Capital, LLC</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443,629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1,528,459</w:t>
            </w:r>
          </w:p>
        </w:tc>
        <w:tc>
          <w:tcPr>
            <w:tcW w:w="0" w:type="dxa"/>
            <w:vAlign w:val="bottom"/>
          </w:tcPr>
          <w:p>
            <w:pPr>
              <w:spacing w:after="0"/>
              <w:rPr>
                <w:sz w:val="1"/>
                <w:szCs w:val="1"/>
                <w:color w:val="auto"/>
              </w:rPr>
            </w:pPr>
          </w:p>
        </w:tc>
      </w:tr>
      <w:tr>
        <w:trPr>
          <w:trHeight w:val="275"/>
        </w:trPr>
        <w:tc>
          <w:tcPr>
            <w:tcW w:w="5840" w:type="dxa"/>
            <w:vAlign w:val="bottom"/>
            <w:gridSpan w:val="3"/>
          </w:tcPr>
          <w:p>
            <w:pPr>
              <w:ind w:left="20"/>
              <w:spacing w:after="0" w:line="276" w:lineRule="exact"/>
              <w:rPr>
                <w:sz w:val="20"/>
                <w:szCs w:val="20"/>
                <w:color w:val="auto"/>
              </w:rPr>
            </w:pPr>
            <w:r>
              <w:rPr>
                <w:rFonts w:ascii="Arial" w:cs="Arial" w:eastAsia="Arial" w:hAnsi="Arial"/>
                <w:sz w:val="17"/>
                <w:szCs w:val="17"/>
                <w:color w:val="auto"/>
              </w:rPr>
              <w:t>Karin Eastham Defined Benefit Plan</w:t>
            </w:r>
            <w:r>
              <w:rPr>
                <w:rFonts w:ascii="Arial" w:cs="Arial" w:eastAsia="Arial" w:hAnsi="Arial"/>
                <w:sz w:val="28"/>
                <w:szCs w:val="28"/>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52,910</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22,200,000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12,772,963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51,890,901</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purchasers were Domain Partners VIII, L.P. and DP VIII Associates, L.P. Jesse I. Treu, a director of our company, is affiliated with these entities.</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purchasers were Versant Venture Capital III, L.P. and Versant Side Fund III, L.P. Brian G. Atwood and Samuel D. Colella, directors of our company, are affiliated with these entities.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Fred E. Cohen,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Brook H. Byers, a director of our company, is affiliated with this entity.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Evan Jones,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Karin Eastham, a director of our company, is affiliated with this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Rights Agreement</w:t>
      </w:r>
    </w:p>
    <w:p>
      <w:pPr>
        <w:spacing w:after="0" w:line="228" w:lineRule="exact"/>
        <w:rPr>
          <w:sz w:val="20"/>
          <w:szCs w:val="20"/>
          <w:color w:val="auto"/>
        </w:rPr>
      </w:pPr>
    </w:p>
    <w:p>
      <w:pPr>
        <w:jc w:val="both"/>
        <w:ind w:firstLine="419"/>
        <w:spacing w:after="0" w:line="282" w:lineRule="auto"/>
        <w:rPr>
          <w:sz w:val="20"/>
          <w:szCs w:val="20"/>
          <w:color w:val="auto"/>
        </w:rPr>
      </w:pPr>
      <w:r>
        <w:rPr>
          <w:rFonts w:ascii="Arial" w:cs="Arial" w:eastAsia="Arial" w:hAnsi="Arial"/>
          <w:sz w:val="17"/>
          <w:szCs w:val="17"/>
          <w:color w:val="auto"/>
        </w:rPr>
        <w:t>Holders of our convertible preferred stock are entitled to certain registration rights following this offering with respect to the common stock issued or issuable upon conversion of the convertible preferred stock. See "Description of Capital Stock–Investor Rights Agreement"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7"/>
          <w:szCs w:val="17"/>
          <w:color w:val="auto"/>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22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7"/>
          <w:szCs w:val="17"/>
          <w:color w:val="auto"/>
        </w:rPr>
        <w:t>We intend to adopt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our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such policy.</w:t>
      </w:r>
    </w:p>
    <w:p>
      <w:pPr>
        <w:spacing w:after="0" w:line="192" w:lineRule="exact"/>
        <w:rPr>
          <w:sz w:val="20"/>
          <w:szCs w:val="20"/>
          <w:color w:val="auto"/>
        </w:rPr>
      </w:pPr>
    </w:p>
    <w:p>
      <w:pPr>
        <w:jc w:val="both"/>
        <w:ind w:firstLine="337"/>
        <w:spacing w:after="0" w:line="262"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persons prior to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380"/>
        <w:spacing w:after="0" w:line="282" w:lineRule="auto"/>
        <w:rPr>
          <w:sz w:val="20"/>
          <w:szCs w:val="20"/>
          <w:color w:val="auto"/>
        </w:rPr>
      </w:pPr>
      <w:r>
        <w:rPr>
          <w:rFonts w:ascii="Arial" w:cs="Arial" w:eastAsia="Arial" w:hAnsi="Arial"/>
          <w:sz w:val="17"/>
          <w:szCs w:val="17"/>
          <w:color w:val="auto"/>
        </w:rPr>
        <w:t>The following table sets forth information regarding the number of shares of common stock beneficially owned on August 15, 2013, and immediately following consummation of this offering, by:</w:t>
      </w:r>
    </w:p>
    <w:p>
      <w:pPr>
        <w:spacing w:after="0" w:line="183" w:lineRule="exact"/>
        <w:rPr>
          <w:sz w:val="20"/>
          <w:szCs w:val="20"/>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person who is known by us to beneficially own 5% or more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Applicable percentage ownership is based on 63,712,607 shares of common stock outstanding at August 15, 2013 and assumes the conversion of all outstanding</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shares of our convertible preferred stock into shares of our common stock. For purposes of the table below, we have assumed that shares of common stock will be outstanding upon completion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August 15, 2013. We did not deem these shares outstanding, however, for the purpose of computing the percentage ownership of any other person.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Percentage of</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156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79"/>
        </w:trPr>
        <w:tc>
          <w:tcPr>
            <w:tcW w:w="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56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Shares</w:t>
            </w:r>
          </w:p>
        </w:tc>
        <w:tc>
          <w:tcPr>
            <w:tcW w:w="15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9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Beneficially</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Before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After</w:t>
            </w:r>
          </w:p>
        </w:tc>
        <w:tc>
          <w:tcPr>
            <w:tcW w:w="0" w:type="dxa"/>
            <w:vAlign w:val="bottom"/>
          </w:tcPr>
          <w:p>
            <w:pPr>
              <w:spacing w:after="0"/>
              <w:rPr>
                <w:sz w:val="1"/>
                <w:szCs w:val="1"/>
                <w:color w:val="auto"/>
              </w:rPr>
            </w:pPr>
          </w:p>
        </w:tc>
      </w:tr>
      <w:tr>
        <w:trPr>
          <w:trHeight w:val="170"/>
        </w:trPr>
        <w:tc>
          <w:tcPr>
            <w:tcW w:w="24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8"/>
              </w:rPr>
              <w:t>Name and Address of Beneficial Owner</w:t>
            </w:r>
          </w:p>
        </w:tc>
        <w:tc>
          <w:tcPr>
            <w:tcW w:w="406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3"/>
              </w:rPr>
              <w:t>Owned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5%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19.37%</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22.30%</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6500" w:type="dxa"/>
            <w:vAlign w:val="bottom"/>
            <w:gridSpan w:val="3"/>
          </w:tcPr>
          <w:p>
            <w:pPr>
              <w:ind w:left="20"/>
              <w:spacing w:after="0"/>
              <w:rPr>
                <w:sz w:val="20"/>
                <w:szCs w:val="20"/>
                <w:color w:val="auto"/>
              </w:rPr>
            </w:pPr>
            <w:r>
              <w:rPr>
                <w:rFonts w:ascii="Arial" w:cs="Arial" w:eastAsia="Arial" w:hAnsi="Arial"/>
                <w:sz w:val="17"/>
                <w:szCs w:val="17"/>
                <w:b w:val="1"/>
                <w:bCs w:val="1"/>
                <w:color w:val="auto"/>
              </w:rPr>
              <w:t>Directors and Executive Officers: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00" w:type="dxa"/>
            <w:vAlign w:val="bottom"/>
            <w:gridSpan w:val="3"/>
            <w:shd w:val="clear" w:color="auto" w:fill="CCEEFF"/>
          </w:tcPr>
          <w:p>
            <w:pPr>
              <w:ind w:left="180"/>
              <w:spacing w:after="0" w:line="250" w:lineRule="exact"/>
              <w:rPr>
                <w:sz w:val="20"/>
                <w:szCs w:val="20"/>
                <w:color w:val="auto"/>
              </w:rPr>
            </w:pPr>
            <w:r>
              <w:rPr>
                <w:rFonts w:ascii="Arial" w:cs="Arial" w:eastAsia="Arial" w:hAnsi="Arial"/>
                <w:sz w:val="17"/>
                <w:szCs w:val="17"/>
                <w:color w:val="auto"/>
              </w:rPr>
              <w:t>Bonnie H. Anderson</w:t>
            </w:r>
            <w:r>
              <w:rPr>
                <w:rFonts w:ascii="Arial" w:cs="Arial" w:eastAsia="Arial" w:hAnsi="Arial"/>
                <w:sz w:val="28"/>
                <w:szCs w:val="28"/>
                <w:color w:val="auto"/>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3,224,036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22.70%</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(7)</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77,910</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2,195,629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19.37%</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Shelly D. Guyer</w:t>
            </w:r>
            <w:r>
              <w:rPr>
                <w:rFonts w:ascii="Arial" w:cs="Arial" w:eastAsia="Arial" w:hAnsi="Arial"/>
                <w:sz w:val="28"/>
                <w:szCs w:val="28"/>
                <w:color w:val="auto"/>
                <w:vertAlign w:val="superscript"/>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Christopher M. Hall</w:t>
            </w:r>
            <w:r>
              <w:rPr>
                <w:rFonts w:ascii="Arial" w:cs="Arial" w:eastAsia="Arial" w:hAnsi="Arial"/>
                <w:sz w:val="28"/>
                <w:szCs w:val="28"/>
                <w:color w:val="auto"/>
                <w:vertAlign w:val="superscript"/>
              </w:rPr>
              <w:t>(11)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933,776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All directors and executive officers as a group (10 persons)</w:t>
            </w:r>
            <w:r>
              <w:rPr>
                <w:rFonts w:ascii="Arial" w:cs="Arial" w:eastAsia="Arial" w:hAnsi="Arial"/>
                <w:sz w:val="28"/>
                <w:szCs w:val="28"/>
                <w:color w:val="auto"/>
                <w:vertAlign w:val="superscript"/>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62,512,942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92.87%</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50" w:lineRule="exact"/>
        <w:rPr>
          <w:sz w:val="20"/>
          <w:szCs w:val="20"/>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Also includes options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spacing w:after="0" w:line="282" w:lineRule="auto"/>
        <w:rPr>
          <w:sz w:val="20"/>
          <w:szCs w:val="20"/>
          <w:color w:val="auto"/>
        </w:rPr>
      </w:pPr>
      <w:r>
        <w:rPr>
          <w:rFonts w:ascii="Arial" w:cs="Arial" w:eastAsia="Arial" w:hAnsi="Arial"/>
          <w:sz w:val="17"/>
          <w:szCs w:val="17"/>
          <w:color w:val="auto"/>
        </w:rPr>
        <w:t>purchase shares of common stock exercisable within 60 days of August 15, 2013. Unless otherwise indicated, shares are owned of record and beneficially by the named person.</w:t>
      </w:r>
    </w:p>
    <w:p>
      <w:pPr>
        <w:spacing w:after="0" w:line="183" w:lineRule="exact"/>
        <w:rPr>
          <w:sz w:val="20"/>
          <w:szCs w:val="20"/>
          <w:color w:val="auto"/>
        </w:rPr>
      </w:pPr>
    </w:p>
    <w:p>
      <w:pPr>
        <w:jc w:val="both"/>
        <w:ind w:left="1680" w:hanging="533"/>
        <w:spacing w:after="0" w:line="261"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Consists of 12,253,179 shares held by Domain Partners VIII, L.P. and 90,922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216" w:lineRule="exact"/>
        <w:rPr>
          <w:rFonts w:ascii="Arial" w:cs="Arial" w:eastAsia="Arial" w:hAnsi="Arial"/>
          <w:sz w:val="17"/>
          <w:szCs w:val="17"/>
          <w:color w:val="auto"/>
        </w:rPr>
      </w:pPr>
    </w:p>
    <w:p>
      <w:pPr>
        <w:jc w:val="both"/>
        <w:ind w:left="1680" w:hanging="533"/>
        <w:spacing w:after="0" w:line="299" w:lineRule="auto"/>
        <w:tabs>
          <w:tab w:leader="none" w:pos="16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12,697,935 shares of common stock beneficially owned by Kleiner Perkins Caufield &amp; Byers XII, LLC, or KPCB XII; 182,782 shares of common stock beneficially owned by KPCB XII Founders Fund, LLC, or KPCB XII FF; 245,741 shares of common stock beneficially owned by Brook H. Byers, a member of our board of directors; and 1,081,260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76" w:lineRule="exact"/>
        <w:rPr>
          <w:rFonts w:ascii="Arial" w:cs="Arial" w:eastAsia="Arial" w:hAnsi="Arial"/>
          <w:sz w:val="15"/>
          <w:szCs w:val="15"/>
          <w:color w:val="auto"/>
        </w:rPr>
      </w:pPr>
    </w:p>
    <w:p>
      <w:pPr>
        <w:jc w:val="both"/>
        <w:ind w:left="1680" w:hanging="533"/>
        <w:spacing w:after="0" w:line="299" w:lineRule="auto"/>
        <w:tabs>
          <w:tab w:leader="none" w:pos="16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Consists of 14,207,718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directors,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176" w:lineRule="exact"/>
        <w:rPr>
          <w:rFonts w:ascii="Arial" w:cs="Arial" w:eastAsia="Arial" w:hAnsi="Arial"/>
          <w:sz w:val="15"/>
          <w:szCs w:val="15"/>
          <w:color w:val="auto"/>
        </w:rPr>
      </w:pPr>
    </w:p>
    <w:p>
      <w:pPr>
        <w:jc w:val="both"/>
        <w:ind w:left="1680" w:hanging="533"/>
        <w:spacing w:after="0" w:line="301" w:lineRule="auto"/>
        <w:tabs>
          <w:tab w:leader="none" w:pos="16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Consists of 14,379,957 shares held by Versant Venture Capital III, L.P. and 84,929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Kirk G. Nielsen, Rebecca B. 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options to purchase 1,827,695 shares of our common stock which are immediately exercisable, 985,514 of which are subject to the company's right of repurchase on or prior to 60 days after August 15, 2013 and 50,000 of which are subject to the company's right of repurchase, which right lapses upon the closing of this offering if this offering closes in 2013.</w:t>
      </w:r>
    </w:p>
    <w:p>
      <w:pPr>
        <w:spacing w:after="0" w:line="205" w:lineRule="exact"/>
        <w:rPr>
          <w:rFonts w:ascii="Arial" w:cs="Arial" w:eastAsia="Arial" w:hAnsi="Arial"/>
          <w:sz w:val="17"/>
          <w:szCs w:val="17"/>
          <w:color w:val="auto"/>
        </w:rPr>
      </w:pPr>
    </w:p>
    <w:p>
      <w:pPr>
        <w:jc w:val="both"/>
        <w:ind w:left="1680" w:hanging="533"/>
        <w:spacing w:after="0" w:line="265"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Does not include 14,207,718 shares held by TPG Biotechnology Partners II, LP. Dr. Cohen is a partner at TPG Biotechnology Partners II, LP.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98"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options to purchase 25,000 shares of our common stock which are immediately exercisable, 4,167 of which are subject to the company's right of repurchase on or prior to 60 days after August 15, 2013, which right lapses over time. Also includes 52,910 shares held by Karin Eastham Defined Benefit Plan.</w:t>
      </w:r>
    </w:p>
    <w:p>
      <w:pPr>
        <w:spacing w:after="0" w:line="19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options to purchase 200,000 shares of our common stock which are immediately exercisable. Also includes 1,995,629 shares held by jVen Capital, LLC, of which Mr. Jones is Managing Member.</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options to purchase 600,000 shares of our common stock which are immediately exercisable, all of which are subject to the company's right of repurchase on or prior to 60 days after August 15, 2013, which right lapses over time.</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options to purchase 933,776 shares of our common stock which are immediately exercisable, 273,959 of which are subject to the company's right of repurchase on or prior to 60 days after August 15, 2013, which right lapses over time.</w:t>
      </w:r>
    </w:p>
    <w:p>
      <w:pPr>
        <w:spacing w:after="0" w:line="182"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options to purchase 3,586,471 shares of our common stock which are immediately exercisable, 1,863,640 of which are subject to the company's right of repurchase on or prior to 60 days after August 15, 2013, which right lapses over time and 50,000 of which are subject to the company's right of repurchase, which right lapses upon the closing of this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The following is a summary of the rights of our common stock and preferred stock and certain provisions of our restated certificate of incorporation and amended and restated bylaws, as they will be in effect upon the completion of this offering. For more detailed information, please see our restated certificate of incorporation and amended and restated bylaws, which are filed as exhibits to the registration statement of which this prospectus is part.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following the completion of this offering, our authorized capital stock will consist of shares, with a par value of $0.001 per share, of which:</w:t>
      </w:r>
    </w:p>
    <w:p>
      <w:pPr>
        <w:spacing w:after="0" w:line="249"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shares will be designated as common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shares will be designated as preferred stock.</w:t>
      </w:r>
    </w:p>
    <w:p>
      <w:pPr>
        <w:spacing w:after="0" w:line="224"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As of August 15, 2013, we had outstanding 63,712,607 shares of common stock held of record by 51 stockholders, assuming the automatic conversion of all outstanding shares of preferred stock into common stock immediately prior to the closing of this offering. Upon completion of this offering, no shares of preferred stock will be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Upon the closing of this offering, our board of directors will have the authority, without further action by our stockholders, to issue from time to time up</w:t>
      </w:r>
    </w:p>
    <w:p>
      <w:pPr>
        <w:spacing w:after="0" w:line="3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to shares of preferred stock in one or more series, and to establish the number of shares to be included in each series and fix the powers, preferences and rights of the shares of each wholly unissued series and any of its qualifications, limitations or restrictions. Our board of directors will also be able to increase or decrease the number of shares of any series, but not below the number of shares of that series then outstanding, without any further vote or action by the stockholders.</w:t>
      </w:r>
    </w:p>
    <w:p>
      <w:pPr>
        <w:spacing w:after="0" w:line="149"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8" w:lineRule="exact"/>
        <w:rPr>
          <w:sz w:val="20"/>
          <w:szCs w:val="20"/>
          <w:color w:val="auto"/>
        </w:rPr>
      </w:pPr>
    </w:p>
    <w:p>
      <w:pPr>
        <w:jc w:val="both"/>
        <w:ind w:firstLine="346"/>
        <w:spacing w:after="0" w:line="315" w:lineRule="auto"/>
        <w:rPr>
          <w:sz w:val="20"/>
          <w:szCs w:val="20"/>
          <w:color w:val="auto"/>
        </w:rPr>
      </w:pPr>
      <w:r>
        <w:rPr>
          <w:rFonts w:ascii="Arial" w:cs="Arial" w:eastAsia="Arial" w:hAnsi="Arial"/>
          <w:sz w:val="16"/>
          <w:szCs w:val="16"/>
          <w:color w:val="auto"/>
        </w:rPr>
        <w:t>As of August 15, 2013, we had a warrant outstanding to purchase 99,206 shares of our Series C preferred stock at an exercise price of $1.89 per share, which will become exercisable for the same number of shares of our common stock upon completion of this offering. This warrant has a net exercise provision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under 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After this offering, the holders of 59,989,268 shares of our common stock issued upon the conversion of our preferred stock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4" w:lineRule="exact"/>
        <w:rPr>
          <w:sz w:val="20"/>
          <w:szCs w:val="20"/>
          <w:color w:val="auto"/>
        </w:rPr>
      </w:pPr>
    </w:p>
    <w:p>
      <w:pPr>
        <w:jc w:val="both"/>
        <w:ind w:firstLine="375"/>
        <w:spacing w:after="0" w:line="294" w:lineRule="auto"/>
        <w:rPr>
          <w:sz w:val="20"/>
          <w:szCs w:val="20"/>
          <w:color w:val="auto"/>
        </w:rPr>
      </w:pPr>
      <w:r>
        <w:rPr>
          <w:rFonts w:ascii="Arial" w:cs="Arial" w:eastAsia="Arial" w:hAnsi="Arial"/>
          <w:sz w:val="16"/>
          <w:szCs w:val="16"/>
          <w:color w:val="auto"/>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4"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24" w:lineRule="exact"/>
        <w:rPr>
          <w:sz w:val="20"/>
          <w:szCs w:val="20"/>
          <w:color w:val="auto"/>
        </w:rPr>
      </w:pPr>
    </w:p>
    <w:p>
      <w:pPr>
        <w:jc w:val="both"/>
        <w:ind w:firstLine="344"/>
        <w:spacing w:after="0" w:line="322" w:lineRule="auto"/>
        <w:rPr>
          <w:sz w:val="20"/>
          <w:szCs w:val="20"/>
          <w:color w:val="auto"/>
        </w:rPr>
      </w:pPr>
      <w:r>
        <w:rPr>
          <w:rFonts w:ascii="Arial" w:cs="Arial" w:eastAsia="Arial" w:hAnsi="Arial"/>
          <w:sz w:val="15"/>
          <w:szCs w:val="15"/>
          <w:color w:val="auto"/>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Bylaws</w:t>
      </w:r>
    </w:p>
    <w:p>
      <w:pPr>
        <w:spacing w:after="0" w:line="228" w:lineRule="exact"/>
        <w:rPr>
          <w:sz w:val="20"/>
          <w:szCs w:val="20"/>
          <w:color w:val="auto"/>
        </w:rPr>
      </w:pPr>
    </w:p>
    <w:p>
      <w:pPr>
        <w:jc w:val="both"/>
        <w:ind w:firstLine="407"/>
        <w:spacing w:after="0" w:line="303" w:lineRule="auto"/>
        <w:rPr>
          <w:sz w:val="20"/>
          <w:szCs w:val="20"/>
          <w:color w:val="auto"/>
        </w:rPr>
      </w:pPr>
      <w:r>
        <w:rPr>
          <w:rFonts w:ascii="Arial" w:cs="Arial" w:eastAsia="Arial" w:hAnsi="Arial"/>
          <w:sz w:val="15"/>
          <w:szCs w:val="15"/>
          <w:color w:val="auto"/>
        </w:rPr>
        <w:t>Certain provisions of Delaware law, our restated certificate of incorporation and our amended and restated bylaws to become effective upon completion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and amended and restated bylaws to become effective upon completion of this offering include provisions that:</w:t>
      </w:r>
    </w:p>
    <w:p>
      <w:pPr>
        <w:spacing w:after="0" w:line="236"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Law</w:t>
      </w:r>
    </w:p>
    <w:p>
      <w:pPr>
        <w:spacing w:after="0" w:line="224"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(2) shares owned by employee stock plans in which employee participants do not have the right to determine confidentially whether shares held subject to the plan will be tendered in a tender or exchange offer; or</w:t>
      </w:r>
    </w:p>
    <w:p>
      <w:pPr>
        <w:spacing w:after="0" w:line="182" w:lineRule="exact"/>
        <w:rPr>
          <w:sz w:val="20"/>
          <w:szCs w:val="20"/>
          <w:color w:val="auto"/>
        </w:rPr>
      </w:pPr>
    </w:p>
    <w:p>
      <w:pPr>
        <w:ind w:left="1060" w:hanging="531"/>
        <w:spacing w:after="0" w:line="287"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203 defines "business combination" to include the following:</w:t>
      </w:r>
    </w:p>
    <w:p>
      <w:pPr>
        <w:spacing w:after="0" w:line="250"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tabs>
          <w:tab w:leader="none" w:pos="5200" w:val="left"/>
          <w:tab w:leader="none" w:pos="834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7"/>
          <w:szCs w:val="17"/>
          <w:color w:val="auto"/>
        </w:rPr>
        <w:t>. The transfer agent's address is</w:t>
      </w:r>
      <w:r>
        <w:rPr>
          <w:sz w:val="20"/>
          <w:szCs w:val="20"/>
          <w:color w:val="auto"/>
        </w:rPr>
        <w:tab/>
      </w:r>
      <w:r>
        <w:rPr>
          <w:rFonts w:ascii="Arial" w:cs="Arial" w:eastAsia="Arial" w:hAnsi="Arial"/>
          <w:sz w:val="17"/>
          <w:szCs w:val="17"/>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symbol "VCYT".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43"/>
        <w:spacing w:after="0" w:line="270"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79" w:lineRule="exact"/>
        <w:rPr>
          <w:sz w:val="20"/>
          <w:szCs w:val="20"/>
          <w:color w:val="auto"/>
        </w:rPr>
      </w:pPr>
    </w:p>
    <w:p>
      <w:pPr>
        <w:jc w:val="both"/>
        <w:ind w:firstLine="394"/>
        <w:spacing w:after="0" w:line="276" w:lineRule="auto"/>
        <w:rPr>
          <w:sz w:val="20"/>
          <w:szCs w:val="20"/>
          <w:color w:val="auto"/>
        </w:rPr>
      </w:pPr>
      <w:r>
        <w:rPr>
          <w:rFonts w:ascii="Arial" w:cs="Arial" w:eastAsia="Arial" w:hAnsi="Arial"/>
          <w:sz w:val="16"/>
          <w:szCs w:val="16"/>
          <w:color w:val="auto"/>
        </w:rPr>
        <w:t>Based on the number of shares outstanding as of , 2013, upon the completion of this offering a total of shares of common stock will be outstanding, assuming that there are no exercises of options or warrants after , 2013 and no exercise of the underwriters' over-allotment option. Of these shares, all shares of common stock sold in this offering, and any shares sold upon exercise of the underwriters' over-allotment option, will be freely tradable in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public market without restriction or further registration under the Securities Act of 1933, unless these shares are held by "affiliates," as that term is defined in Rule 144 under the Securities Act.</w:t>
      </w:r>
    </w:p>
    <w:p>
      <w:pPr>
        <w:spacing w:after="0" w:line="175"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The remaining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9"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Subject to the lock-up agreements described below and the provisions of Rules 144 and 701, these restricted securities will be available for sale in the public market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4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Number of 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On the date of this prospectus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tcPr>
          <w:p>
            <w:pPr>
              <w:ind w:left="20"/>
              <w:spacing w:after="0"/>
              <w:rPr>
                <w:sz w:val="20"/>
                <w:szCs w:val="20"/>
                <w:color w:val="auto"/>
              </w:rPr>
            </w:pPr>
            <w:r>
              <w:rPr>
                <w:rFonts w:ascii="Arial" w:cs="Arial" w:eastAsia="Arial" w:hAnsi="Arial"/>
                <w:sz w:val="17"/>
                <w:szCs w:val="17"/>
                <w:color w:val="auto"/>
              </w:rPr>
              <w:t>Between 90 and 180 days after the date of this prospectus</w:t>
            </w:r>
          </w:p>
        </w:tc>
        <w:tc>
          <w:tcPr>
            <w:tcW w:w="1400" w:type="dxa"/>
            <w:vAlign w:val="bottom"/>
          </w:tcPr>
          <w:p>
            <w:pPr>
              <w:spacing w:after="0"/>
              <w:rPr>
                <w:sz w:val="18"/>
                <w:szCs w:val="18"/>
                <w:color w:val="auto"/>
              </w:rPr>
            </w:pPr>
          </w:p>
        </w:tc>
        <w:tc>
          <w:tcPr>
            <w:tcW w:w="124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 various times beginning more than 180 days after the date of this prospectus</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411"/>
        </w:trPr>
        <w:tc>
          <w:tcPr>
            <w:tcW w:w="1880" w:type="dxa"/>
            <w:vAlign w:val="bottom"/>
            <w:gridSpan w:val="3"/>
          </w:tcPr>
          <w:p>
            <w:pPr>
              <w:ind w:left="360"/>
              <w:spacing w:after="0"/>
              <w:rPr>
                <w:sz w:val="20"/>
                <w:szCs w:val="20"/>
                <w:color w:val="auto"/>
              </w:rPr>
            </w:pPr>
            <w:r>
              <w:rPr>
                <w:rFonts w:ascii="Arial" w:cs="Arial" w:eastAsia="Arial" w:hAnsi="Arial"/>
                <w:sz w:val="17"/>
                <w:szCs w:val="17"/>
                <w:color w:val="auto"/>
              </w:rPr>
              <w:t>In addition, of the</w:t>
            </w:r>
          </w:p>
        </w:tc>
        <w:tc>
          <w:tcPr>
            <w:tcW w:w="5620" w:type="dxa"/>
            <w:vAlign w:val="bottom"/>
          </w:tcPr>
          <w:p>
            <w:pPr>
              <w:ind w:left="260"/>
              <w:spacing w:after="0"/>
              <w:rPr>
                <w:sz w:val="20"/>
                <w:szCs w:val="20"/>
                <w:color w:val="auto"/>
              </w:rPr>
            </w:pPr>
            <w:r>
              <w:rPr>
                <w:rFonts w:ascii="Arial" w:cs="Arial" w:eastAsia="Arial" w:hAnsi="Arial"/>
                <w:sz w:val="17"/>
                <w:szCs w:val="17"/>
                <w:color w:val="auto"/>
                <w:w w:val="95"/>
              </w:rPr>
              <w:t>shares of our common stock that were subject to options outstanding as of</w:t>
            </w:r>
          </w:p>
        </w:tc>
        <w:tc>
          <w:tcPr>
            <w:tcW w:w="2640" w:type="dxa"/>
            <w:vAlign w:val="bottom"/>
            <w:gridSpan w:val="3"/>
          </w:tcPr>
          <w:p>
            <w:pPr>
              <w:ind w:left="260"/>
              <w:spacing w:after="0"/>
              <w:rPr>
                <w:sz w:val="20"/>
                <w:szCs w:val="20"/>
                <w:color w:val="auto"/>
              </w:rPr>
            </w:pPr>
            <w:r>
              <w:rPr>
                <w:rFonts w:ascii="Arial" w:cs="Arial" w:eastAsia="Arial" w:hAnsi="Arial"/>
                <w:sz w:val="17"/>
                <w:szCs w:val="17"/>
                <w:color w:val="auto"/>
              </w:rPr>
              <w:t>, 2013, options to purchase</w:t>
            </w:r>
          </w:p>
        </w:tc>
        <w:tc>
          <w:tcPr>
            <w:tcW w:w="1280" w:type="dxa"/>
            <w:vAlign w:val="bottom"/>
            <w:gridSpan w:val="2"/>
          </w:tcPr>
          <w:p>
            <w:pPr>
              <w:ind w:left="20"/>
              <w:spacing w:after="0"/>
              <w:rPr>
                <w:sz w:val="20"/>
                <w:szCs w:val="20"/>
                <w:color w:val="auto"/>
              </w:rPr>
            </w:pPr>
            <w:r>
              <w:rPr>
                <w:rFonts w:ascii="Arial" w:cs="Arial" w:eastAsia="Arial" w:hAnsi="Arial"/>
                <w:sz w:val="17"/>
                <w:szCs w:val="17"/>
                <w:color w:val="auto"/>
                <w:w w:val="88"/>
              </w:rPr>
              <w:t>shares of common</w:t>
            </w:r>
          </w:p>
        </w:tc>
      </w:tr>
      <w:tr>
        <w:trPr>
          <w:trHeight w:val="216"/>
        </w:trPr>
        <w:tc>
          <w:tcPr>
            <w:tcW w:w="1880" w:type="dxa"/>
            <w:vAlign w:val="bottom"/>
            <w:gridSpan w:val="3"/>
          </w:tcPr>
          <w:p>
            <w:pPr>
              <w:spacing w:after="0"/>
              <w:rPr>
                <w:sz w:val="20"/>
                <w:szCs w:val="20"/>
                <w:color w:val="auto"/>
              </w:rPr>
            </w:pPr>
            <w:r>
              <w:rPr>
                <w:rFonts w:ascii="Arial" w:cs="Arial" w:eastAsia="Arial" w:hAnsi="Arial"/>
                <w:sz w:val="17"/>
                <w:szCs w:val="17"/>
                <w:color w:val="auto"/>
              </w:rPr>
              <w:t>stock were vested as of</w:t>
            </w:r>
          </w:p>
        </w:tc>
        <w:tc>
          <w:tcPr>
            <w:tcW w:w="9540" w:type="dxa"/>
            <w:vAlign w:val="bottom"/>
            <w:gridSpan w:val="6"/>
          </w:tcPr>
          <w:p>
            <w:pPr>
              <w:ind w:left="720"/>
              <w:spacing w:after="0"/>
              <w:rPr>
                <w:sz w:val="20"/>
                <w:szCs w:val="20"/>
                <w:color w:val="auto"/>
              </w:rPr>
            </w:pPr>
            <w:r>
              <w:rPr>
                <w:rFonts w:ascii="Arial" w:cs="Arial" w:eastAsia="Arial" w:hAnsi="Arial"/>
                <w:sz w:val="17"/>
                <w:szCs w:val="17"/>
                <w:color w:val="auto"/>
                <w:w w:val="94"/>
              </w:rPr>
              <w:t>, 2013 and will be eligible for sale at various times beginning more than 180 days following the effective date of this offering.</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jc w:val="both"/>
        <w:ind w:firstLine="354"/>
        <w:spacing w:after="0" w:line="283" w:lineRule="auto"/>
        <w:rPr>
          <w:sz w:val="20"/>
          <w:szCs w:val="20"/>
          <w:color w:val="auto"/>
        </w:rPr>
      </w:pPr>
      <w:r>
        <w:rPr>
          <w:rFonts w:ascii="Arial" w:cs="Arial" w:eastAsia="Arial" w:hAnsi="Arial"/>
          <w:sz w:val="16"/>
          <w:szCs w:val="16"/>
          <w:color w:val="auto"/>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7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three months;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79" w:lineRule="exact"/>
        <w:rPr>
          <w:sz w:val="20"/>
          <w:szCs w:val="20"/>
          <w:color w:val="auto"/>
        </w:rPr>
      </w:pPr>
    </w:p>
    <w:p>
      <w:pPr>
        <w:ind w:left="520"/>
        <w:spacing w:after="0"/>
        <w:tabs>
          <w:tab w:leader="none" w:pos="1040" w:val="left"/>
          <w:tab w:leader="none" w:pos="8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 of the number of shares of our common stock then-outstanding, which will equal approximately</w:t>
      </w:r>
      <w:r>
        <w:rPr>
          <w:sz w:val="20"/>
          <w:szCs w:val="20"/>
          <w:color w:val="auto"/>
        </w:rPr>
        <w:tab/>
      </w:r>
      <w:r>
        <w:rPr>
          <w:rFonts w:ascii="Arial" w:cs="Arial" w:eastAsia="Arial" w:hAnsi="Arial"/>
          <w:sz w:val="15"/>
          <w:szCs w:val="15"/>
          <w:color w:val="auto"/>
        </w:rPr>
        <w:t>shares immediately after this offering; and</w:t>
      </w:r>
    </w:p>
    <w:p>
      <w:pPr>
        <w:spacing w:after="0" w:line="263" w:lineRule="exact"/>
        <w:rPr>
          <w:sz w:val="20"/>
          <w:szCs w:val="20"/>
          <w:color w:val="auto"/>
        </w:rPr>
      </w:pPr>
    </w:p>
    <w:p>
      <w:pPr>
        <w:ind w:left="106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during the four calendar weeks preceding the date of filing of a notice on Form 144 with respect to the sale.</w:t>
      </w:r>
    </w:p>
    <w:p>
      <w:pPr>
        <w:spacing w:after="0" w:line="170"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firstLine="383"/>
        <w:spacing w:after="0" w:line="261" w:lineRule="auto"/>
        <w:rPr>
          <w:sz w:val="20"/>
          <w:szCs w:val="20"/>
          <w:color w:val="auto"/>
        </w:rPr>
      </w:pPr>
      <w:r>
        <w:rPr>
          <w:rFonts w:ascii="Arial" w:cs="Arial" w:eastAsia="Arial" w:hAnsi="Arial"/>
          <w:sz w:val="17"/>
          <w:szCs w:val="17"/>
          <w:color w:val="auto"/>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or such other securities,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After this offering, the holders of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Plans</w:t>
      </w:r>
    </w:p>
    <w:p>
      <w:pPr>
        <w:spacing w:after="0" w:line="22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UNITED STATES TAX CONSIDERATIONS TO NON-U.S. HOLDERS</w:t>
      </w:r>
    </w:p>
    <w:p>
      <w:pPr>
        <w:spacing w:after="0" w:line="228" w:lineRule="exact"/>
        <w:rPr>
          <w:sz w:val="20"/>
          <w:szCs w:val="20"/>
          <w:color w:val="auto"/>
        </w:rPr>
      </w:pPr>
    </w:p>
    <w:p>
      <w:pPr>
        <w:jc w:val="both"/>
        <w:ind w:firstLine="344"/>
        <w:spacing w:after="0" w:line="303" w:lineRule="auto"/>
        <w:rPr>
          <w:sz w:val="20"/>
          <w:szCs w:val="20"/>
          <w:color w:val="auto"/>
        </w:rPr>
      </w:pPr>
      <w:r>
        <w:rPr>
          <w:rFonts w:ascii="Arial" w:cs="Arial" w:eastAsia="Arial" w:hAnsi="Arial"/>
          <w:sz w:val="15"/>
          <w:szCs w:val="15"/>
          <w:color w:val="auto"/>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6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 each as defined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partnerships or entities classified as partnerships for U.S. federal income tax purposes, or any investors in such entities;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persons who acquire our common stock through the exercise of employee stock options or otherwise as compensation for services;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Internal Revenue Code.</w:t>
      </w:r>
    </w:p>
    <w:p>
      <w:pPr>
        <w:spacing w:after="0" w:line="224"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357"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 under the laws of any U.S. state or local or any non-U.S. or other taxing jurisdiction or under any applicable tax treaty.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firstLine="408"/>
        <w:spacing w:after="0" w:line="282"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(other than a partnership or entity classified as a partnership for U.S. federal income tax purposes) that for U.S. federal income tax purposes is not:</w:t>
      </w:r>
    </w:p>
    <w:p>
      <w:pPr>
        <w:spacing w:after="0" w:line="183"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U.S. or under the laws of the U.S. or any political subdivision thereof;</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70"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63"/>
        <w:spacing w:after="0" w:line="311" w:lineRule="auto"/>
        <w:rPr>
          <w:sz w:val="20"/>
          <w:szCs w:val="20"/>
          <w:color w:val="auto"/>
        </w:rPr>
      </w:pPr>
      <w:r>
        <w:rPr>
          <w:rFonts w:ascii="Arial" w:cs="Arial" w:eastAsia="Arial" w:hAnsi="Arial"/>
          <w:sz w:val="15"/>
          <w:szCs w:val="15"/>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55"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85"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7"/>
          <w:szCs w:val="17"/>
          <w:color w:val="auto"/>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91"/>
        <w:spacing w:after="0" w:line="28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timely file an appropriate claim for refund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firstLine="468"/>
        <w:spacing w:after="0" w:line="282" w:lineRule="auto"/>
        <w:rPr>
          <w:sz w:val="20"/>
          <w:szCs w:val="20"/>
          <w:color w:val="auto"/>
        </w:rPr>
      </w:pPr>
      <w:r>
        <w:rPr>
          <w:rFonts w:ascii="Arial" w:cs="Arial" w:eastAsia="Arial" w:hAnsi="Arial"/>
          <w:sz w:val="17"/>
          <w:szCs w:val="17"/>
          <w:color w:val="auto"/>
        </w:rPr>
        <w:t>Subject to the discussion below under "Backup Withholding and Information Reporting" and "Foreign Account Tax Compliance," you generally will not be required to pay U.S. federal income tax on any gain realized upon the sale or other disposition of our common stock unless:</w:t>
      </w:r>
    </w:p>
    <w:p>
      <w:pPr>
        <w:spacing w:after="0" w:line="183" w:lineRule="exact"/>
        <w:rPr>
          <w:sz w:val="20"/>
          <w:szCs w:val="20"/>
          <w:color w:val="auto"/>
        </w:rPr>
      </w:pPr>
    </w:p>
    <w:p>
      <w:pPr>
        <w:jc w:val="both"/>
        <w:ind w:left="1060" w:hanging="531"/>
        <w:spacing w:after="0" w:line="26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214"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or a USRPHC ,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87"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9"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5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w:t>
      </w:r>
    </w:p>
    <w:p>
      <w:pPr>
        <w:spacing w:after="0" w:line="22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23"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UNDERWRITERS</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75" w:lineRule="exact"/>
        <w:rPr>
          <w:sz w:val="20"/>
          <w:szCs w:val="20"/>
          <w:color w:val="auto"/>
        </w:rPr>
      </w:pPr>
    </w:p>
    <w:p>
      <w:pPr>
        <w:ind w:left="1160"/>
        <w:spacing w:after="0"/>
        <w:tabs>
          <w:tab w:leader="none" w:pos="918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u w:val="single" w:color="auto"/>
          <w:color w:val="auto"/>
        </w:rPr>
        <w:t>Number of Shares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-122555</wp:posOffset>
            </wp:positionV>
            <wp:extent cx="5793740" cy="133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27305</wp:posOffset>
            </wp:positionV>
            <wp:extent cx="7156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-118110</wp:posOffset>
            </wp:positionV>
            <wp:extent cx="5793740" cy="133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31115</wp:posOffset>
            </wp:positionV>
            <wp:extent cx="715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47625</wp:posOffset>
            </wp:positionV>
            <wp:extent cx="715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70"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9"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gridSpan w:val="5"/>
          </w:tcPr>
          <w:p>
            <w:pPr>
              <w:jc w:val="right"/>
              <w:ind w:right="180"/>
              <w:spacing w:after="0"/>
              <w:rPr>
                <w:sz w:val="20"/>
                <w:szCs w:val="20"/>
                <w:color w:val="auto"/>
              </w:rPr>
            </w:pPr>
            <w:r>
              <w:rPr>
                <w:rFonts w:ascii="Arial" w:cs="Arial" w:eastAsia="Arial" w:hAnsi="Arial"/>
                <w:sz w:val="17"/>
                <w:szCs w:val="17"/>
                <w:color w:val="auto"/>
                <w:w w:val="90"/>
              </w:rPr>
              <w:t>amounts are shown assuming both no exercise and full exercise of the underwriters' option to purchase up to an additional</w:t>
            </w:r>
          </w:p>
        </w:tc>
        <w:tc>
          <w:tcPr>
            <w:tcW w:w="1940" w:type="dxa"/>
            <w:vAlign w:val="bottom"/>
            <w:gridSpan w:val="6"/>
          </w:tcPr>
          <w:p>
            <w:pPr>
              <w:ind w:left="260"/>
              <w:spacing w:after="0"/>
              <w:rPr>
                <w:sz w:val="20"/>
                <w:szCs w:val="20"/>
                <w:color w:val="auto"/>
              </w:rPr>
            </w:pPr>
            <w:r>
              <w:rPr>
                <w:rFonts w:ascii="Arial" w:cs="Arial" w:eastAsia="Arial" w:hAnsi="Arial"/>
                <w:sz w:val="17"/>
                <w:szCs w:val="17"/>
                <w:color w:val="auto"/>
                <w:w w:val="87"/>
              </w:rPr>
              <w:t>shares of common stock.</w:t>
            </w: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Per Share</w:t>
            </w:r>
          </w:p>
        </w:tc>
        <w:tc>
          <w:tcPr>
            <w:tcW w:w="16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5"/>
          </w:tcPr>
          <w:p>
            <w:pPr>
              <w:jc w:val="right"/>
              <w:ind w:right="1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w w:val="91"/>
              </w:rPr>
              <w:t>No Exercise</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99"/>
              </w:rPr>
              <w:t>Full Exercise</w:t>
            </w:r>
          </w:p>
        </w:tc>
        <w:tc>
          <w:tcPr>
            <w:tcW w:w="4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7"/>
                <w:szCs w:val="17"/>
                <w:color w:val="auto"/>
              </w:rPr>
              <w:t>Underwriting discounts and commissions to be paid by us</w:t>
            </w:r>
          </w:p>
        </w:tc>
        <w:tc>
          <w:tcPr>
            <w:tcW w:w="700" w:type="dxa"/>
            <w:vAlign w:val="bottom"/>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tcPr>
          <w:p>
            <w:pPr>
              <w:spacing w:after="0"/>
              <w:rPr>
                <w:sz w:val="18"/>
                <w:szCs w:val="18"/>
                <w:color w:val="auto"/>
              </w:rPr>
            </w:pPr>
          </w:p>
        </w:tc>
        <w:tc>
          <w:tcPr>
            <w:tcW w:w="1100" w:type="dxa"/>
            <w:vAlign w:val="bottom"/>
            <w:gridSpan w:val="3"/>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gridSpan w:val="2"/>
          </w:tcPr>
          <w:p>
            <w:pPr>
              <w:jc w:val="right"/>
              <w:ind w:right="275"/>
              <w:spacing w:after="0"/>
              <w:rPr>
                <w:sz w:val="20"/>
                <w:szCs w:val="20"/>
                <w:color w:val="auto"/>
              </w:rPr>
            </w:pPr>
            <w:r>
              <w:rPr>
                <w:rFonts w:ascii="Arial" w:cs="Arial" w:eastAsia="Arial" w:hAnsi="Arial"/>
                <w:sz w:val="17"/>
                <w:szCs w:val="17"/>
                <w:color w:val="auto"/>
                <w:w w:val="97"/>
              </w:rPr>
              <w:t>The estimated offering expenses payable by us, exclusive of the underwriting discounts and commissions, are approximately $</w:t>
            </w:r>
          </w:p>
        </w:tc>
        <w:tc>
          <w:tcPr>
            <w:tcW w:w="1740" w:type="dxa"/>
            <w:vAlign w:val="bottom"/>
          </w:tcPr>
          <w:p>
            <w:pPr>
              <w:ind w:left="340"/>
              <w:spacing w:after="0"/>
              <w:rPr>
                <w:sz w:val="20"/>
                <w:szCs w:val="20"/>
                <w:color w:val="auto"/>
              </w:rPr>
            </w:pPr>
            <w:r>
              <w:rPr>
                <w:rFonts w:ascii="Arial" w:cs="Arial" w:eastAsia="Arial" w:hAnsi="Arial"/>
                <w:sz w:val="17"/>
                <w:szCs w:val="17"/>
                <w:color w:val="auto"/>
                <w:w w:val="90"/>
              </w:rPr>
              <w:t>. We have agreed to</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w w:val="95"/>
              </w:rPr>
              <w:t>reimburse the underwriters for certain expenses in an amount up to $</w:t>
            </w:r>
          </w:p>
        </w:tc>
        <w:tc>
          <w:tcPr>
            <w:tcW w:w="4720" w:type="dxa"/>
            <w:vAlign w:val="bottom"/>
          </w:tcPr>
          <w:p>
            <w:pPr>
              <w:jc w:val="right"/>
              <w:ind w:right="4355"/>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18"/>
                <w:szCs w:val="18"/>
                <w:color w:val="auto"/>
              </w:rPr>
            </w:pPr>
          </w:p>
        </w:tc>
      </w:tr>
      <w:tr>
        <w:trPr>
          <w:trHeight w:val="419"/>
        </w:trPr>
        <w:tc>
          <w:tcPr>
            <w:tcW w:w="4960" w:type="dxa"/>
            <w:vAlign w:val="bottom"/>
          </w:tcPr>
          <w:p>
            <w:pPr>
              <w:spacing w:after="0"/>
              <w:rPr>
                <w:sz w:val="24"/>
                <w:szCs w:val="24"/>
                <w:color w:val="auto"/>
              </w:rPr>
            </w:pPr>
          </w:p>
        </w:tc>
        <w:tc>
          <w:tcPr>
            <w:tcW w:w="4720" w:type="dxa"/>
            <w:vAlign w:val="bottom"/>
          </w:tcPr>
          <w:p>
            <w:pPr>
              <w:jc w:val="right"/>
              <w:ind w:right="3755"/>
              <w:spacing w:after="0"/>
              <w:rPr>
                <w:sz w:val="20"/>
                <w:szCs w:val="20"/>
                <w:color w:val="auto"/>
              </w:rPr>
            </w:pPr>
            <w:r>
              <w:rPr>
                <w:rFonts w:ascii="Arial" w:cs="Arial" w:eastAsia="Arial" w:hAnsi="Arial"/>
                <w:sz w:val="17"/>
                <w:szCs w:val="17"/>
                <w:color w:val="auto"/>
              </w:rPr>
              <w:t>118</w:t>
            </w:r>
          </w:p>
        </w:tc>
        <w:tc>
          <w:tcPr>
            <w:tcW w:w="1740" w:type="dxa"/>
            <w:vAlign w:val="bottom"/>
          </w:tcPr>
          <w:p>
            <w:pPr>
              <w:spacing w:after="0"/>
              <w:rPr>
                <w:sz w:val="24"/>
                <w:szCs w:val="24"/>
                <w:color w:val="auto"/>
              </w:rPr>
            </w:pPr>
          </w:p>
        </w:tc>
      </w:tr>
      <w:tr>
        <w:trPr>
          <w:trHeight w:val="222"/>
        </w:trPr>
        <w:tc>
          <w:tcPr>
            <w:tcW w:w="4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trading symbol "VCYT".</w:t>
      </w:r>
    </w:p>
    <w:p>
      <w:pPr>
        <w:spacing w:after="0" w:line="224"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We and all directors and officers and the holders of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92" w:lineRule="exact"/>
        <w:rPr>
          <w:sz w:val="20"/>
          <w:szCs w:val="20"/>
          <w:color w:val="auto"/>
        </w:rPr>
      </w:pPr>
    </w:p>
    <w:p>
      <w:pPr>
        <w:jc w:val="both"/>
        <w:ind w:left="1060" w:hanging="531"/>
        <w:spacing w:after="0" w:line="270"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common stock.</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are subject to certain customary exceptions.</w:t>
      </w:r>
    </w:p>
    <w:p>
      <w:pPr>
        <w:spacing w:after="0" w:line="224" w:lineRule="exact"/>
        <w:rPr>
          <w:sz w:val="20"/>
          <w:szCs w:val="20"/>
          <w:color w:val="auto"/>
        </w:rPr>
      </w:pPr>
    </w:p>
    <w:p>
      <w:pPr>
        <w:jc w:val="both"/>
        <w:ind w:firstLine="528"/>
        <w:spacing w:after="0" w:line="282" w:lineRule="auto"/>
        <w:rPr>
          <w:sz w:val="20"/>
          <w:szCs w:val="20"/>
          <w:color w:val="auto"/>
        </w:rPr>
      </w:pPr>
      <w:r>
        <w:rPr>
          <w:rFonts w:ascii="Arial" w:cs="Arial" w:eastAsia="Arial" w:hAnsi="Arial"/>
          <w:sz w:val="17"/>
          <w:szCs w:val="17"/>
          <w:color w:val="auto"/>
        </w:rPr>
        <w:t>Morgan Stanley &amp; Co. LLC and Leerink Swann LLC,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jc w:val="both"/>
        <w:ind w:firstLine="420"/>
        <w:spacing w:after="0" w:line="297"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24"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85" w:lineRule="exact"/>
        <w:rPr>
          <w:sz w:val="20"/>
          <w:szCs w:val="20"/>
          <w:color w:val="auto"/>
        </w:rPr>
      </w:pPr>
    </w:p>
    <w:p>
      <w:pPr>
        <w:jc w:val="both"/>
        <w:ind w:firstLine="452"/>
        <w:spacing w:after="0" w:line="26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9"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37" w:lineRule="exact"/>
        <w:rPr>
          <w:sz w:val="20"/>
          <w:szCs w:val="20"/>
          <w:color w:val="auto"/>
        </w:rPr>
      </w:pPr>
    </w:p>
    <w:p>
      <w:pPr>
        <w:jc w:val="both"/>
        <w:ind w:left="1060" w:hanging="531"/>
        <w:spacing w:after="0" w:line="322" w:lineRule="auto"/>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7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Pillsbury Winthrop Shaw Pittman LLP, San Francisco and Palo Alto, California. Simpson Thacher &amp; Bartlett LLP, Palo Alto, California is representing the underwriters in this offering.</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The financial statements as of December 31, 2011 and 2012 and for each of the two years in the period ended December 31, 2012 included in this prospectus have been so included in reliance on the report (which contains an explanatory paragraph relating to the Company's experience of recurring operating losses and negative cash flows from operations as described in Note 2 to the financial statements) of PricewaterhouseCoopers LLP, an independent registered public accounting firm, given on the authority of said firm as experts in auditing and accounting.</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jc w:val="both"/>
        <w:ind w:firstLine="363"/>
        <w:spacing w:after="0" w:line="27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1"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Upon completion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95"/>
        </w:trPr>
        <w:tc>
          <w:tcPr>
            <w:tcW w:w="8620" w:type="dxa"/>
            <w:vAlign w:val="bottom"/>
            <w:gridSpan w:val="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gridSpan w:val="3"/>
          </w:tcPr>
          <w:p>
            <w:pPr>
              <w:jc w:val="center"/>
              <w:ind w:right="1820"/>
              <w:spacing w:after="0"/>
              <w:rPr>
                <w:sz w:val="20"/>
                <w:szCs w:val="20"/>
                <w:color w:val="auto"/>
              </w:rPr>
            </w:pPr>
            <w:r>
              <w:rPr>
                <w:rFonts w:ascii="Arial" w:cs="Arial" w:eastAsia="Arial" w:hAnsi="Arial"/>
                <w:sz w:val="17"/>
                <w:szCs w:val="17"/>
                <w:b w:val="1"/>
                <w:bCs w:val="1"/>
                <w:color w:val="auto"/>
              </w:rPr>
              <w:t>VERACYTE, INC.</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w w:val="90"/>
              </w:rPr>
              <w:t>Index to Audited Financial Statements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4"/>
          </w:tcPr>
          <w:p>
            <w:pPr>
              <w:jc w:val="center"/>
              <w:ind w:right="1020"/>
              <w:spacing w:after="0"/>
              <w:rPr>
                <w:sz w:val="20"/>
                <w:szCs w:val="20"/>
                <w:color w:val="auto"/>
              </w:rPr>
            </w:pPr>
            <w:r>
              <w:rPr>
                <w:rFonts w:ascii="Arial" w:cs="Arial" w:eastAsia="Arial" w:hAnsi="Arial"/>
                <w:sz w:val="17"/>
                <w:szCs w:val="17"/>
                <w:b w:val="1"/>
                <w:bCs w:val="1"/>
                <w:color w:val="auto"/>
                <w:w w:val="89"/>
              </w:rPr>
              <w:t>Years Ended December 31, 2011 and 2012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60" w:type="dxa"/>
            <w:vAlign w:val="bottom"/>
            <w:gridSpan w:val="8"/>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Report of Independent Registered Public Accounting Firm</w:t>
              </w:r>
            </w:hyperlink>
          </w:p>
        </w:tc>
        <w:tc>
          <w:tcPr>
            <w:tcW w:w="2800" w:type="dxa"/>
            <w:vAlign w:val="bottom"/>
            <w:gridSpan w:val="3"/>
          </w:tcPr>
          <w:p>
            <w:pPr>
              <w:ind w:left="1420"/>
              <w:spacing w:after="0"/>
              <w:rPr>
                <w:rFonts w:ascii="Arial" w:cs="Arial" w:eastAsia="Arial" w:hAnsi="Arial"/>
                <w:sz w:val="17"/>
                <w:szCs w:val="17"/>
                <w:color w:val="0000EE"/>
              </w:rPr>
            </w:pPr>
            <w:hyperlink w:anchor="page129">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80" w:type="dxa"/>
            <w:vAlign w:val="bottom"/>
            <w:gridSpan w:val="6"/>
          </w:tcPr>
          <w:p>
            <w:pPr>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Balance Sheets</w:t>
              </w:r>
            </w:hyperlink>
          </w:p>
        </w:tc>
        <w:tc>
          <w:tcPr>
            <w:tcW w:w="3480" w:type="dxa"/>
            <w:vAlign w:val="bottom"/>
            <w:gridSpan w:val="2"/>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Statements of Operations and Comprehensive Loss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Statements of Convertible Preferred Stock and Stockholders' Deficit</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640" w:type="dxa"/>
            <w:vAlign w:val="bottom"/>
            <w:gridSpan w:val="7"/>
          </w:tcPr>
          <w:p>
            <w:pPr>
              <w:spacing w:after="0" w:line="189" w:lineRule="exact"/>
              <w:rPr>
                <w:rFonts w:ascii="Arial" w:cs="Arial" w:eastAsia="Arial" w:hAnsi="Arial"/>
                <w:sz w:val="17"/>
                <w:szCs w:val="17"/>
                <w:color w:val="0000EE"/>
              </w:rPr>
            </w:pPr>
            <w:hyperlink w:anchor="page133">
              <w:r>
                <w:rPr>
                  <w:rFonts w:ascii="Arial" w:cs="Arial" w:eastAsia="Arial" w:hAnsi="Arial"/>
                  <w:sz w:val="17"/>
                  <w:szCs w:val="17"/>
                  <w:color w:val="0000EE"/>
                </w:rPr>
                <w:t>Statements of Cash Flows</w:t>
              </w:r>
            </w:hyperlink>
          </w:p>
        </w:tc>
        <w:tc>
          <w:tcPr>
            <w:tcW w:w="2820" w:type="dxa"/>
            <w:vAlign w:val="bottom"/>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3">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Notes to Audited Financial Statements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F-7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gridSpan w:val="2"/>
          </w:tcPr>
          <w:p>
            <w:pPr>
              <w:jc w:val="center"/>
              <w:ind w:right="2320"/>
              <w:spacing w:after="0"/>
              <w:rPr>
                <w:sz w:val="20"/>
                <w:szCs w:val="20"/>
                <w:color w:val="auto"/>
              </w:rPr>
            </w:pPr>
            <w:r>
              <w:rPr>
                <w:rFonts w:ascii="Arial" w:cs="Arial" w:eastAsia="Arial" w:hAnsi="Arial"/>
                <w:sz w:val="17"/>
                <w:szCs w:val="17"/>
                <w:color w:val="auto"/>
                <w:w w:val="93"/>
              </w:rPr>
              <w:t>F-1</w:t>
            </w:r>
          </w:p>
        </w:tc>
        <w:tc>
          <w:tcPr>
            <w:tcW w:w="14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18"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discussed in Note 2 to the financial statements, the Company has experienced recurring operating losses and negative cash flows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Management's plans with regard to its liquidity are also discussed in Note 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12,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99"/>
              </w:rPr>
              <w:t>As of 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14,002</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 net of allowance of $235 and $222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Preferred stock liability</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5,114</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320" w:type="dxa"/>
            <w:vAlign w:val="bottom"/>
          </w:tcPr>
          <w:p>
            <w:pPr>
              <w:ind w:left="20"/>
              <w:spacing w:after="0"/>
              <w:rPr>
                <w:sz w:val="20"/>
                <w:szCs w:val="20"/>
                <w:color w:val="auto"/>
              </w:rPr>
            </w:pPr>
            <w:r>
              <w:rPr>
                <w:rFonts w:ascii="Arial" w:cs="Arial" w:eastAsia="Arial" w:hAnsi="Arial"/>
                <w:sz w:val="17"/>
                <w:szCs w:val="17"/>
                <w:color w:val="auto"/>
                <w:w w:val="91"/>
              </w:rPr>
              <w:t>Convertible preferred stock, $0.001 par value; 45,147,999 and 59,147,999 shares authorized, 45,147,999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w w:val="96"/>
              </w:rPr>
              <w:t>and 53,084,507 shares issued and outstanding as of December 31, 2011 and December 31, 2012;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aggregate liquidation value of $50,835 and $65,835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49,296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63,372</w:t>
            </w:r>
          </w:p>
        </w:tc>
        <w:tc>
          <w:tcPr>
            <w:tcW w:w="0" w:type="dxa"/>
            <w:vAlign w:val="bottom"/>
          </w:tcPr>
          <w:p>
            <w:pPr>
              <w:spacing w:after="0"/>
              <w:rPr>
                <w:sz w:val="1"/>
                <w:szCs w:val="1"/>
                <w:color w:val="auto"/>
              </w:rPr>
            </w:pPr>
          </w:p>
        </w:tc>
      </w:tr>
      <w:tr>
        <w:trPr>
          <w:trHeight w:val="42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20" w:type="dxa"/>
            <w:vAlign w:val="bottom"/>
          </w:tcPr>
          <w:p>
            <w:pPr>
              <w:ind w:left="180"/>
              <w:spacing w:after="0"/>
              <w:rPr>
                <w:sz w:val="20"/>
                <w:szCs w:val="20"/>
                <w:color w:val="auto"/>
              </w:rPr>
            </w:pPr>
            <w:r>
              <w:rPr>
                <w:rFonts w:ascii="Arial" w:cs="Arial" w:eastAsia="Arial" w:hAnsi="Arial"/>
                <w:sz w:val="17"/>
                <w:szCs w:val="17"/>
                <w:color w:val="auto"/>
                <w:w w:val="98"/>
              </w:rPr>
              <w:t>Common stock, $0.001 par value; 60,000,000 and 77,000,000 shares authorized, 2,379,782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360"/>
              <w:spacing w:after="0"/>
              <w:rPr>
                <w:sz w:val="20"/>
                <w:szCs w:val="20"/>
                <w:color w:val="auto"/>
              </w:rPr>
            </w:pPr>
            <w:r>
              <w:rPr>
                <w:rFonts w:ascii="Arial" w:cs="Arial" w:eastAsia="Arial" w:hAnsi="Arial"/>
                <w:sz w:val="17"/>
                <w:szCs w:val="17"/>
                <w:color w:val="auto"/>
              </w:rPr>
              <w:t>2,670,767 shares issued and outstanding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(40,766)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Year Ended December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11,628</w:t>
            </w:r>
          </w:p>
        </w:tc>
        <w:tc>
          <w:tcPr>
            <w:tcW w:w="0" w:type="dxa"/>
            <w:vAlign w:val="bottom"/>
          </w:tcPr>
          <w:p>
            <w:pPr>
              <w:spacing w:after="0"/>
              <w:rPr>
                <w:sz w:val="1"/>
                <w:szCs w:val="1"/>
                <w:color w:val="auto"/>
              </w:rPr>
            </w:pPr>
          </w:p>
        </w:tc>
      </w:tr>
      <w:tr>
        <w:trPr>
          <w:trHeight w:val="418"/>
        </w:trPr>
        <w:tc>
          <w:tcPr>
            <w:tcW w:w="6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6,680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6,608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5,372</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30,557</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(15,266)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2,601,352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 (unaudited)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Shares used to compute pro forma net loss per common share, basic and diluted (unaudited)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48,961,439</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VERACYTE, INC.</w:t>
      </w:r>
    </w:p>
    <w:p>
      <w:pPr>
        <w:spacing w:after="0" w:line="2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Convertible</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92"/>
        </w:trPr>
        <w:tc>
          <w:tcPr>
            <w:tcW w:w="2760" w:type="dxa"/>
            <w:vAlign w:val="bottom"/>
          </w:tcPr>
          <w:p>
            <w:pPr>
              <w:spacing w:after="0"/>
              <w:rPr>
                <w:sz w:val="7"/>
                <w:szCs w:val="7"/>
                <w:color w:val="auto"/>
              </w:rPr>
            </w:pPr>
          </w:p>
        </w:tc>
        <w:tc>
          <w:tcPr>
            <w:tcW w:w="18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0"/>
              </w:rPr>
              <w:t>Preferred Stock</w:t>
            </w:r>
          </w:p>
        </w:tc>
        <w:tc>
          <w:tcPr>
            <w:tcW w:w="130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76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30,249,334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$ 30,674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2,227,387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(26,975)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(26,811)</w:t>
            </w:r>
          </w:p>
        </w:tc>
        <w:tc>
          <w:tcPr>
            <w:tcW w:w="0" w:type="dxa"/>
            <w:vAlign w:val="bottom"/>
          </w:tcPr>
          <w:p>
            <w:pPr>
              <w:spacing w:after="0"/>
              <w:rPr>
                <w:sz w:val="1"/>
                <w:szCs w:val="1"/>
                <w:color w:val="auto"/>
              </w:rPr>
            </w:pPr>
          </w:p>
        </w:tc>
      </w:tr>
      <w:tr>
        <w:trPr>
          <w:trHeight w:val="398"/>
        </w:trPr>
        <w:tc>
          <w:tcPr>
            <w:tcW w:w="2760" w:type="dxa"/>
            <w:vAlign w:val="bottom"/>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preferred stock in February 2011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for cash at $1.25 per share, net of</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7,449,335</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July 2011 for</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at $1.25 per share, net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7,449,330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152,395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0" w:type="dxa"/>
            <w:vAlign w:val="bottom"/>
          </w:tcPr>
          <w:p>
            <w:pPr>
              <w:spacing w:after="0"/>
              <w:rPr>
                <w:sz w:val="1"/>
                <w:szCs w:val="1"/>
                <w:color w:val="auto"/>
              </w:rPr>
            </w:pPr>
          </w:p>
        </w:tc>
      </w:tr>
      <w:tr>
        <w:trPr>
          <w:trHeight w:val="26"/>
        </w:trPr>
        <w:tc>
          <w:tcPr>
            <w:tcW w:w="2760" w:type="dxa"/>
            <w:vAlign w:val="bottom"/>
            <w:vMerge w:val="restart"/>
          </w:tcPr>
          <w:p>
            <w:pPr>
              <w:spacing w:after="0"/>
              <w:rPr>
                <w:sz w:val="20"/>
                <w:szCs w:val="20"/>
                <w:color w:val="auto"/>
              </w:rPr>
            </w:pPr>
            <w:r>
              <w:rPr>
                <w:rFonts w:ascii="Arial" w:cs="Arial" w:eastAsia="Arial" w:hAnsi="Arial"/>
                <w:sz w:val="17"/>
                <w:szCs w:val="17"/>
                <w:color w:val="auto"/>
              </w:rPr>
              <w:t>Balance–December 31, 2011</w:t>
            </w:r>
          </w:p>
        </w:tc>
        <w:tc>
          <w:tcPr>
            <w:tcW w:w="10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60" w:type="dxa"/>
            <w:vAlign w:val="bottom"/>
            <w:vMerge w:val="continue"/>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45,147,999</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49,296</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2,379,782</w:t>
            </w: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November and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2012 for cash at $1.89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per share, net of issuance costs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$63 and $861 preferred 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7,936,508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14,076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290,985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53,084,507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$ 63,372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2,670,767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Loss on write-off of property and equipment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(719)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Supplementary cash flow information of non-cash investing and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Purchases of property and equipment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Convertible preferred stock issuance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of equity-based compensation from liabilities to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Audited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28" w:lineRule="exact"/>
        <w:rPr>
          <w:sz w:val="20"/>
          <w:szCs w:val="20"/>
          <w:color w:val="auto"/>
        </w:rPr>
      </w:pPr>
    </w:p>
    <w:p>
      <w:pPr>
        <w:jc w:val="both"/>
        <w:ind w:firstLine="367"/>
        <w:spacing w:after="0" w:line="300" w:lineRule="auto"/>
        <w:rPr>
          <w:sz w:val="20"/>
          <w:szCs w:val="20"/>
          <w:color w:val="auto"/>
        </w:rPr>
      </w:pPr>
      <w:r>
        <w:rPr>
          <w:rFonts w:ascii="Arial" w:cs="Arial" w:eastAsia="Arial" w:hAnsi="Arial"/>
          <w:sz w:val="15"/>
          <w:szCs w:val="15"/>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59" w:lineRule="exact"/>
        <w:rPr>
          <w:sz w:val="20"/>
          <w:szCs w:val="20"/>
          <w:color w:val="auto"/>
        </w:rPr>
      </w:pPr>
    </w:p>
    <w:p>
      <w:pPr>
        <w:ind w:left="520" w:right="8040" w:hanging="515"/>
        <w:spacing w:after="0" w:line="517" w:lineRule="auto"/>
        <w:tabs>
          <w:tab w:leader="none" w:pos="166"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606"/>
        <w:spacing w:after="0" w:line="282" w:lineRule="auto"/>
        <w:rPr>
          <w:sz w:val="20"/>
          <w:szCs w:val="20"/>
          <w:color w:val="auto"/>
        </w:rPr>
      </w:pPr>
      <w:r>
        <w:rPr>
          <w:rFonts w:ascii="Arial" w:cs="Arial" w:eastAsia="Arial" w:hAnsi="Arial"/>
          <w:sz w:val="17"/>
          <w:szCs w:val="17"/>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both"/>
        <w:ind w:firstLine="370"/>
        <w:spacing w:after="0" w:line="300"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carrying 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color w:val="auto"/>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24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732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7320" w:type="dxa"/>
            <w:vAlign w:val="bottom"/>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38%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34%</w:t>
            </w:r>
          </w:p>
        </w:tc>
        <w:tc>
          <w:tcPr>
            <w:tcW w:w="16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7"/>
                <w:szCs w:val="17"/>
                <w:color w:val="auto"/>
              </w:rPr>
              <w:t>Aetna</w:t>
            </w:r>
          </w:p>
        </w:tc>
        <w:tc>
          <w:tcPr>
            <w:tcW w:w="460" w:type="dxa"/>
            <w:vAlign w:val="bottom"/>
          </w:tcPr>
          <w:p>
            <w:pPr>
              <w:ind w:left="120"/>
              <w:spacing w:after="0"/>
              <w:rPr>
                <w:sz w:val="20"/>
                <w:szCs w:val="20"/>
                <w:color w:val="auto"/>
              </w:rPr>
            </w:pPr>
            <w:r>
              <w:rPr>
                <w:rFonts w:ascii="Arial" w:cs="Arial" w:eastAsia="Arial" w:hAnsi="Arial"/>
                <w:sz w:val="17"/>
                <w:szCs w:val="17"/>
                <w:color w:val="auto"/>
                <w:w w:val="93"/>
              </w:rPr>
              <w:t>14%</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w w:val="93"/>
              </w:rPr>
              <w:t>13%</w:t>
            </w:r>
          </w:p>
        </w:tc>
        <w:tc>
          <w:tcPr>
            <w:tcW w:w="16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UnitedHealthcare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13%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12%</w:t>
            </w:r>
          </w:p>
        </w:tc>
        <w:tc>
          <w:tcPr>
            <w:tcW w:w="160" w:type="dxa"/>
            <w:vAlign w:val="bottom"/>
            <w:shd w:val="clear" w:color="auto" w:fill="CCEEFF"/>
          </w:tcPr>
          <w:p>
            <w:pPr>
              <w:spacing w:after="0"/>
              <w:rPr>
                <w:sz w:val="18"/>
                <w:szCs w:val="18"/>
                <w:color w:val="auto"/>
              </w:rPr>
            </w:pPr>
          </w:p>
        </w:tc>
      </w:tr>
      <w:tr>
        <w:trPr>
          <w:trHeight w:val="26"/>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65%</w:t>
            </w:r>
          </w:p>
        </w:tc>
        <w:tc>
          <w:tcPr>
            <w:tcW w:w="16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59%</w:t>
            </w:r>
          </w:p>
        </w:tc>
        <w:tc>
          <w:tcPr>
            <w:tcW w:w="16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24" w:lineRule="exact"/>
        <w:rPr>
          <w:sz w:val="20"/>
          <w:szCs w:val="20"/>
          <w:color w:val="auto"/>
        </w:rPr>
      </w:pPr>
    </w:p>
    <w:p>
      <w:pPr>
        <w:ind w:firstLine="442"/>
        <w:spacing w:after="0" w:line="282"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Company's credit cards and a letter of credit totaling $118,000 which is related to security for the lease of the Company's office space.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45"/>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99"/>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Arial" w:cs="Arial" w:eastAsia="Arial" w:hAnsi="Arial"/>
                <w:sz w:val="17"/>
                <w:szCs w:val="17"/>
                <w:color w:val="auto"/>
              </w:rPr>
              <w:t>Charged to expense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Write-offs, net of recoveries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firstLine="476"/>
        <w:spacing w:after="0" w:line="28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46" w:lineRule="exact"/>
        <w:rPr>
          <w:sz w:val="20"/>
          <w:szCs w:val="20"/>
          <w:color w:val="auto"/>
        </w:rPr>
      </w:pPr>
    </w:p>
    <w:p>
      <w:pPr>
        <w:jc w:val="both"/>
        <w:ind w:firstLine="523"/>
        <w:spacing w:after="0" w:line="270" w:lineRule="auto"/>
        <w:rPr>
          <w:sz w:val="20"/>
          <w:szCs w:val="20"/>
          <w:color w:val="auto"/>
        </w:rPr>
      </w:pPr>
      <w:r>
        <w:rPr>
          <w:rFonts w:ascii="Arial" w:cs="Arial" w:eastAsia="Arial" w:hAnsi="Arial"/>
          <w:sz w:val="17"/>
          <w:szCs w:val="17"/>
          <w:color w:val="auto"/>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software is included in property and equipment, and had a net book value of $58,000 and $184,000 and as of December 31, 2011 and 2012, respectively.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jc w:val="both"/>
        <w:ind w:firstLine="505"/>
        <w:spacing w:after="0" w:line="282"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3"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recognition and measurement of tax benefits requires significant judgment. Judgments concerning the recognition and measurement of a tax benefit may change as new information becomes available.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29"/>
        <w:spacing w:after="0" w:line="263" w:lineRule="auto"/>
        <w:rPr>
          <w:sz w:val="20"/>
          <w:szCs w:val="20"/>
          <w:color w:val="auto"/>
        </w:rPr>
      </w:pPr>
      <w:r>
        <w:rPr>
          <w:rFonts w:ascii="Arial" w:cs="Arial" w:eastAsia="Arial" w:hAnsi="Arial"/>
          <w:sz w:val="17"/>
          <w:szCs w:val="17"/>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7"/>
          <w:szCs w:val="17"/>
          <w:color w:val="auto"/>
        </w:rPr>
        <w:t>Equity instruments issued to non-employees are valued using the Black-Scholes option-pricing valuation model and are subject to remeasurement as the underlying equity instruments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Net Loss and Unaudited Pro Forma Net Loss per Common Share</w:t>
      </w:r>
    </w:p>
    <w:p>
      <w:pPr>
        <w:spacing w:after="0" w:line="224" w:lineRule="exact"/>
        <w:rPr>
          <w:sz w:val="20"/>
          <w:szCs w:val="20"/>
          <w:color w:val="auto"/>
        </w:rPr>
      </w:pPr>
    </w:p>
    <w:p>
      <w:pPr>
        <w:jc w:val="both"/>
        <w:ind w:firstLine="460"/>
        <w:spacing w:after="0" w:line="261"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69"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228"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years ended December 31, 2011 and 2012 (in thousands, except share and per share amounts):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460" w:type="dxa"/>
            <w:vAlign w:val="bottom"/>
            <w:vMerge w:val="restart"/>
          </w:tcPr>
          <w:p>
            <w:pPr>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2,601,352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6"/>
        </w:trPr>
        <w:tc>
          <w:tcPr>
            <w:tcW w:w="6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The following outstanding shares of common stock equivalents have been excluded from diluted net loss per common share for the years ended December 31, 2011 and 2012 because their inclusion would be anti-dilutive:</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37"/>
        </w:trPr>
        <w:tc>
          <w:tcPr>
            <w:tcW w:w="64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Shares of common stock subject to 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Shares of common stock subject to conversion from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53,084,507</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 shares of common stock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50,866,951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61,995,213</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38" w:lineRule="exact"/>
              <w:rPr>
                <w:sz w:val="20"/>
                <w:szCs w:val="20"/>
                <w:color w:val="auto"/>
              </w:rPr>
            </w:pPr>
            <w:r>
              <w:rPr>
                <w:rFonts w:ascii="Arial" w:cs="Arial" w:eastAsia="Arial" w:hAnsi="Arial"/>
                <w:sz w:val="13"/>
                <w:szCs w:val="13"/>
                <w:b w:val="1"/>
                <w:bCs w:val="1"/>
                <w:color w:val="auto"/>
                <w:w w:val="94"/>
              </w:rPr>
              <w:t>(Unaudited)</w:t>
            </w:r>
          </w:p>
        </w:tc>
        <w:tc>
          <w:tcPr>
            <w:tcW w:w="1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2,601,352</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46,360,087</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48,961,439</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(0.38)</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420" w:type="dxa"/>
            <w:vAlign w:val="bottom"/>
            <w:vMerge w:val="restart"/>
          </w:tcPr>
          <w:p>
            <w:pPr>
              <w:ind w:left="4180"/>
              <w:spacing w:after="0"/>
              <w:rPr>
                <w:sz w:val="20"/>
                <w:szCs w:val="20"/>
                <w:color w:val="auto"/>
              </w:rPr>
            </w:pPr>
            <w:r>
              <w:rPr>
                <w:rFonts w:ascii="Arial" w:cs="Arial" w:eastAsia="Arial" w:hAnsi="Arial"/>
                <w:sz w:val="17"/>
                <w:szCs w:val="17"/>
                <w:color w:val="auto"/>
              </w:rPr>
              <w:t>F-13</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Balance Sheet Components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right"/>
              <w:ind w:right="5"/>
              <w:spacing w:after="0"/>
              <w:rPr>
                <w:sz w:val="20"/>
                <w:szCs w:val="20"/>
                <w:color w:val="auto"/>
              </w:rPr>
            </w:pPr>
            <w:r>
              <w:rPr>
                <w:rFonts w:ascii="Arial" w:cs="Arial" w:eastAsia="Arial" w:hAnsi="Arial"/>
                <w:sz w:val="13"/>
                <w:szCs w:val="13"/>
                <w:b w:val="1"/>
                <w:bCs w:val="1"/>
                <w:color w:val="auto"/>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9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Laboratory equipment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2,061</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Software, including software developed for internal use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Construction-in-process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699</w:t>
            </w:r>
          </w:p>
        </w:tc>
        <w:tc>
          <w:tcPr>
            <w:tcW w:w="1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7"/>
                <w:szCs w:val="17"/>
                <w:color w:val="auto"/>
              </w:rPr>
              <w:t>Accumulated 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(1,110)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46"/>
        <w:spacing w:after="0" w:line="282" w:lineRule="auto"/>
        <w:rPr>
          <w:sz w:val="20"/>
          <w:szCs w:val="20"/>
          <w:color w:val="auto"/>
        </w:rPr>
      </w:pPr>
      <w:r>
        <w:rPr>
          <w:rFonts w:ascii="Arial" w:cs="Arial" w:eastAsia="Arial" w:hAnsi="Arial"/>
          <w:sz w:val="17"/>
          <w:szCs w:val="17"/>
          <w:color w:val="auto"/>
        </w:rPr>
        <w:t>Depreciation and amortization expense was $611,000 and $706,000 for the years ended December 31, 2011 and 2012, and was recorded in the statements of operations and comprehensive loss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6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depreciation and amortization expense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520"/>
              <w:spacing w:after="0"/>
              <w:rPr>
                <w:sz w:val="20"/>
                <w:szCs w:val="20"/>
                <w:color w:val="auto"/>
              </w:rPr>
            </w:pPr>
            <w:r>
              <w:rPr>
                <w:rFonts w:ascii="Arial" w:cs="Arial" w:eastAsia="Arial" w:hAnsi="Arial"/>
                <w:sz w:val="17"/>
                <w:szCs w:val="17"/>
                <w:b w:val="1"/>
                <w:bCs w:val="1"/>
                <w:i w:val="1"/>
                <w:iCs w:val="1"/>
                <w:color w:val="auto"/>
              </w:rPr>
              <w:t>Accrued Liabilities</w:t>
            </w: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gridSpan w:val="2"/>
          </w:tcPr>
          <w:p>
            <w:pPr>
              <w:ind w:left="340"/>
              <w:spacing w:after="0"/>
              <w:rPr>
                <w:sz w:val="20"/>
                <w:szCs w:val="20"/>
                <w:color w:val="auto"/>
              </w:rPr>
            </w:pPr>
            <w:r>
              <w:rPr>
                <w:rFonts w:ascii="Arial" w:cs="Arial" w:eastAsia="Arial" w:hAnsi="Arial"/>
                <w:sz w:val="17"/>
                <w:szCs w:val="17"/>
                <w:color w:val="auto"/>
              </w:rPr>
              <w:t>Accrued liabilities consisted of the following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9"/>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auto"/>
              <w:bottom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9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36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1,360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other</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Genzyme co-promotion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Deferred rent–short-term</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accrued liabilities</w:t>
            </w:r>
          </w:p>
        </w:tc>
        <w:tc>
          <w:tcPr>
            <w:tcW w:w="3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1,336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4,020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3"/>
          </w:tcPr>
          <w:p>
            <w:pPr>
              <w:ind w:left="500"/>
              <w:spacing w:after="0"/>
              <w:rPr>
                <w:sz w:val="20"/>
                <w:szCs w:val="20"/>
                <w:color w:val="auto"/>
              </w:rPr>
            </w:pPr>
            <w:r>
              <w:rPr>
                <w:rFonts w:ascii="Arial" w:cs="Arial" w:eastAsia="Arial" w:hAnsi="Arial"/>
                <w:sz w:val="17"/>
                <w:szCs w:val="17"/>
                <w:color w:val="auto"/>
              </w:rPr>
              <w:t>F-14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1"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53"/>
        <w:spacing w:after="0" w:line="282" w:lineRule="auto"/>
        <w:rPr>
          <w:sz w:val="20"/>
          <w:szCs w:val="20"/>
          <w:color w:val="auto"/>
        </w:rPr>
      </w:pPr>
      <w:r>
        <w:rPr>
          <w:rFonts w:ascii="Arial" w:cs="Arial" w:eastAsia="Arial" w:hAnsi="Arial"/>
          <w:sz w:val="17"/>
          <w:szCs w:val="17"/>
          <w:color w:val="auto"/>
        </w:rPr>
        <w:t>The following table sets forth the fair value of the Company's financial assets and liabilities measured on a recurring basis, as of December 31, 2011 and 2012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2011</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21"/>
              <w:spacing w:after="0" w:line="138"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7,344</w:t>
            </w: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7,344</w:t>
            </w:r>
          </w:p>
        </w:tc>
      </w:tr>
      <w:tr>
        <w:trPr>
          <w:trHeight w:val="26"/>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Financial Liabilities:</w:t>
            </w:r>
          </w:p>
        </w:tc>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Total financial liabilities</w:t>
            </w:r>
          </w:p>
        </w:tc>
        <w:tc>
          <w:tcPr>
            <w:tcW w:w="28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01"/>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2"/>
          </w:tcPr>
          <w:p>
            <w:pPr>
              <w:jc w:val="right"/>
              <w:ind w:right="1075"/>
              <w:spacing w:after="0"/>
              <w:rPr>
                <w:sz w:val="20"/>
                <w:szCs w:val="20"/>
                <w:color w:val="auto"/>
              </w:rPr>
            </w:pPr>
            <w:r>
              <w:rPr>
                <w:rFonts w:ascii="Arial" w:cs="Arial" w:eastAsia="Arial" w:hAnsi="Arial"/>
                <w:sz w:val="17"/>
                <w:szCs w:val="17"/>
                <w:color w:val="auto"/>
              </w:rPr>
              <w:t>F-15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3"/>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80" w:type="dxa"/>
            <w:vAlign w:val="bottom"/>
          </w:tcPr>
          <w:p>
            <w:pPr>
              <w:ind w:left="180"/>
              <w:spacing w:after="0"/>
              <w:rPr>
                <w:sz w:val="20"/>
                <w:szCs w:val="20"/>
                <w:color w:val="auto"/>
              </w:rPr>
            </w:pPr>
            <w:r>
              <w:rPr>
                <w:rFonts w:ascii="Arial" w:cs="Arial" w:eastAsia="Arial" w:hAnsi="Arial"/>
                <w:sz w:val="17"/>
                <w:szCs w:val="17"/>
                <w:color w:val="auto"/>
              </w:rPr>
              <w:t>Fair value of preferred stock liability</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71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Genzyme Co-promotion Agreement</w:t>
      </w:r>
    </w:p>
    <w:p>
      <w:pPr>
        <w:spacing w:after="0" w:line="228"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7"/>
          <w:szCs w:val="17"/>
          <w:color w:val="auto"/>
        </w:rPr>
        <w:t>In May 2011, the Company received $100,000 from Genzyme Corporation ("Genzyme") in connection with an extension of an exclusive right to negotiate a co-promotion agreement.</w:t>
      </w:r>
    </w:p>
    <w:p>
      <w:pPr>
        <w:spacing w:after="0" w:line="170" w:lineRule="exact"/>
        <w:rPr>
          <w:sz w:val="20"/>
          <w:szCs w:val="20"/>
          <w:color w:val="auto"/>
        </w:rPr>
      </w:pPr>
    </w:p>
    <w:p>
      <w:pPr>
        <w:jc w:val="both"/>
        <w:ind w:firstLine="400"/>
        <w:spacing w:after="0" w:line="277" w:lineRule="auto"/>
        <w:rPr>
          <w:sz w:val="20"/>
          <w:szCs w:val="20"/>
          <w:color w:val="auto"/>
        </w:rPr>
      </w:pPr>
      <w:r>
        <w:rPr>
          <w:rFonts w:ascii="Arial" w:cs="Arial" w:eastAsia="Arial" w:hAnsi="Arial"/>
          <w:sz w:val="16"/>
          <w:szCs w:val="16"/>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w:t>
      </w:r>
    </w:p>
    <w:p>
      <w:pPr>
        <w:spacing w:after="0" w:line="228"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color w:val="auto"/>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leased facility. The Company does not have an ownership interest in or provide any form of financial or other support to TCP.</w:t>
      </w:r>
    </w:p>
    <w:p>
      <w:pPr>
        <w:spacing w:after="0" w:line="224" w:lineRule="exact"/>
        <w:rPr>
          <w:sz w:val="20"/>
          <w:szCs w:val="20"/>
          <w:color w:val="auto"/>
        </w:rPr>
      </w:pPr>
    </w:p>
    <w:p>
      <w:pPr>
        <w:jc w:val="both"/>
        <w:ind w:firstLine="386"/>
        <w:spacing w:after="0" w:line="265" w:lineRule="auto"/>
        <w:rPr>
          <w:sz w:val="20"/>
          <w:szCs w:val="20"/>
          <w:color w:val="auto"/>
        </w:rPr>
      </w:pPr>
      <w:r>
        <w:rPr>
          <w:rFonts w:ascii="Arial" w:cs="Arial" w:eastAsia="Arial" w:hAnsi="Arial"/>
          <w:sz w:val="17"/>
          <w:szCs w:val="17"/>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8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83" w:lineRule="exact"/>
        <w:rPr>
          <w:sz w:val="20"/>
          <w:szCs w:val="20"/>
          <w:color w:val="auto"/>
        </w:rPr>
      </w:pPr>
    </w:p>
    <w:p>
      <w:pPr>
        <w:ind w:left="520" w:right="8840" w:hanging="515"/>
        <w:spacing w:after="0" w:line="586" w:lineRule="auto"/>
        <w:tabs>
          <w:tab w:leader="none" w:pos="166"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5"/>
          <w:szCs w:val="15"/>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under non-cancellable operating leases as of December 31, 2012 are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80" w:type="dxa"/>
            <w:vAlign w:val="bottom"/>
            <w:gridSpan w:val="3"/>
          </w:tcPr>
          <w:p>
            <w:pPr>
              <w:spacing w:after="0"/>
              <w:rPr>
                <w:sz w:val="20"/>
                <w:szCs w:val="20"/>
                <w:color w:val="auto"/>
              </w:rPr>
            </w:pPr>
            <w:r>
              <w:rPr>
                <w:rFonts w:ascii="Arial" w:cs="Arial" w:eastAsia="Arial" w:hAnsi="Arial"/>
                <w:sz w:val="13"/>
                <w:szCs w:val="13"/>
                <w:b w:val="1"/>
                <w:bCs w:val="1"/>
                <w:color w:val="auto"/>
              </w:rPr>
              <w:t>Year Ending December 31,</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Amounts</w:t>
            </w: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5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2014</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Company recognizes rent expense on a straight-line basis over the non-cancellable lease period. Facilities rent expense was $570,000 and $711,000 and for the years ended December 31, 2011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4"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Convertible preferred stock as of December 31, 2011 and 2012 consists of the following (in thousands, except for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Proceeds Net of</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Issuance Costs</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Original Issue</w:t>
            </w:r>
          </w:p>
        </w:tc>
        <w:tc>
          <w:tcPr>
            <w:tcW w:w="13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Shares Issued and</w:t>
            </w:r>
          </w:p>
        </w:tc>
        <w:tc>
          <w:tcPr>
            <w:tcW w:w="16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Aggregate Liquidation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and Preferred</w:t>
            </w:r>
          </w:p>
        </w:tc>
      </w:tr>
      <w:tr>
        <w:trPr>
          <w:trHeight w:val="157"/>
        </w:trPr>
        <w:tc>
          <w:tcPr>
            <w:tcW w:w="2540" w:type="dxa"/>
            <w:vAlign w:val="bottom"/>
          </w:tcPr>
          <w:p>
            <w:pPr>
              <w:spacing w:after="0"/>
              <w:rPr>
                <w:sz w:val="13"/>
                <w:szCs w:val="13"/>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5"/>
              </w:rPr>
              <w:t>Shares Authorized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Stock Liability</w:t>
            </w:r>
          </w:p>
        </w:tc>
        <w:tc>
          <w:tcPr>
            <w:tcW w:w="14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22,328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26,968</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50,835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49,296</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2540" w:type="dxa"/>
            <w:vAlign w:val="bottom"/>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22,328</w:t>
            </w:r>
          </w:p>
        </w:tc>
      </w:tr>
      <w:tr>
        <w:trPr>
          <w:trHeight w:val="211"/>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C</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14,000,000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7,936,508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14,076</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53,084,507</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65,835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6"/>
          <w:szCs w:val="16"/>
          <w:color w:val="auto"/>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79" w:lineRule="exact"/>
        <w:rPr>
          <w:sz w:val="20"/>
          <w:szCs w:val="20"/>
          <w:color w:val="auto"/>
        </w:rPr>
      </w:pPr>
    </w:p>
    <w:p>
      <w:pPr>
        <w:jc w:val="both"/>
        <w:ind w:firstLine="405"/>
        <w:spacing w:after="0" w:line="352" w:lineRule="auto"/>
        <w:rPr>
          <w:sz w:val="20"/>
          <w:szCs w:val="20"/>
          <w:color w:val="auto"/>
        </w:rPr>
      </w:pPr>
      <w:r>
        <w:rPr>
          <w:rFonts w:ascii="Arial" w:cs="Arial" w:eastAsia="Arial" w:hAnsi="Arial"/>
          <w:sz w:val="15"/>
          <w:szCs w:val="15"/>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closings: 7,910,053 shares in the initial purchase (the "Initial Closing"), 5,291,005 shares in the second closing ("the Second Closing"), and 26,455 shares in an additional closing (the "First Additional Closing").</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80" w:lineRule="exact"/>
        <w:rPr>
          <w:sz w:val="20"/>
          <w:szCs w:val="20"/>
          <w:color w:val="auto"/>
        </w:rPr>
      </w:pPr>
    </w:p>
    <w:p>
      <w:pPr>
        <w:jc w:val="both"/>
        <w:ind w:firstLine="401"/>
        <w:spacing w:after="0" w:line="265" w:lineRule="auto"/>
        <w:rPr>
          <w:sz w:val="20"/>
          <w:szCs w:val="20"/>
          <w:color w:val="auto"/>
        </w:rPr>
      </w:pPr>
      <w:r>
        <w:rPr>
          <w:rFonts w:ascii="Arial" w:cs="Arial" w:eastAsia="Arial" w:hAnsi="Arial"/>
          <w:sz w:val="16"/>
          <w:szCs w:val="16"/>
          <w:color w:val="auto"/>
        </w:rPr>
        <w:t>Following the written confirmation from the Company and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2013, the Company completed the second tranche, see Note 14–Subsequent Events.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rights, preferences and privileges of the Series A, Series B and Series C convertible preferred stock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224"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color w:val="auto"/>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69"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Each share of convertible preferred stock will be automatically be converted into shares of common stock based on the then effective conversion price (i) upon the affirmative election of the holders of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holder is entitled to the number of votes equal to the number of shares of common stock into which the shares of preferred stock could be converted.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24" w:lineRule="exact"/>
        <w:rPr>
          <w:sz w:val="20"/>
          <w:szCs w:val="20"/>
          <w:color w:val="auto"/>
        </w:rPr>
      </w:pPr>
    </w:p>
    <w:p>
      <w:pPr>
        <w:jc w:val="both"/>
        <w:ind w:firstLine="361"/>
        <w:spacing w:after="0" w:line="303" w:lineRule="auto"/>
        <w:rPr>
          <w:sz w:val="20"/>
          <w:szCs w:val="20"/>
          <w:color w:val="auto"/>
        </w:rPr>
      </w:pPr>
      <w:r>
        <w:rPr>
          <w:rFonts w:ascii="Arial" w:cs="Arial" w:eastAsia="Arial" w:hAnsi="Arial"/>
          <w:sz w:val="15"/>
          <w:szCs w:val="15"/>
          <w:color w:val="auto"/>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2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7"/>
          <w:szCs w:val="17"/>
          <w:color w:val="auto"/>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and 2012, the Company had reserved shares of common stock, on an as-if converted basis, for issuance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2100" w:type="dxa"/>
            <w:vAlign w:val="bottom"/>
            <w:gridSpan w:val="4"/>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A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B convertible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22,748,000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22,748,000</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C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7,936,508</w:t>
            </w:r>
          </w:p>
        </w:tc>
        <w:tc>
          <w:tcPr>
            <w:tcW w:w="1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C convertible preferred stock reserved for issuance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5,291,005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Options available for grant under stock option plan</w:t>
            </w:r>
          </w:p>
        </w:tc>
        <w:tc>
          <w:tcPr>
            <w:tcW w:w="900" w:type="dxa"/>
            <w:vAlign w:val="bottom"/>
          </w:tcPr>
          <w:p>
            <w:pPr>
              <w:jc w:val="right"/>
              <w:spacing w:after="0"/>
              <w:rPr>
                <w:sz w:val="20"/>
                <w:szCs w:val="20"/>
                <w:color w:val="auto"/>
              </w:rPr>
            </w:pPr>
            <w:r>
              <w:rPr>
                <w:rFonts w:ascii="Arial" w:cs="Arial" w:eastAsia="Arial" w:hAnsi="Arial"/>
                <w:sz w:val="17"/>
                <w:szCs w:val="17"/>
                <w:color w:val="auto"/>
              </w:rPr>
              <w:t>1,899,834</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52,766,785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68,675,713</w:t>
            </w:r>
          </w:p>
        </w:tc>
        <w:tc>
          <w:tcPr>
            <w:tcW w:w="160" w:type="dxa"/>
            <w:vAlign w:val="bottom"/>
            <w:shd w:val="clear" w:color="auto" w:fill="CCEEFF"/>
          </w:tcPr>
          <w:p>
            <w:pPr>
              <w:spacing w:after="0"/>
              <w:rPr>
                <w:sz w:val="17"/>
                <w:szCs w:val="17"/>
                <w:color w:val="auto"/>
              </w:rPr>
            </w:pPr>
          </w:p>
        </w:tc>
      </w:tr>
      <w:tr>
        <w:trPr>
          <w:trHeight w:val="26"/>
        </w:trPr>
        <w:tc>
          <w:tcPr>
            <w:tcW w:w="5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224"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85"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Activity under the Company's 2008 Plan is set forth below:</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18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90"/>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Available</w:t>
            </w:r>
          </w:p>
        </w:tc>
        <w:tc>
          <w:tcPr>
            <w:tcW w:w="1020" w:type="dxa"/>
            <w:vAlign w:val="bottom"/>
            <w:gridSpan w:val="5"/>
          </w:tcPr>
          <w:p>
            <w:pPr>
              <w:jc w:val="right"/>
              <w:ind w:right="140"/>
              <w:spacing w:after="0" w:line="144" w:lineRule="exact"/>
              <w:rPr>
                <w:sz w:val="20"/>
                <w:szCs w:val="20"/>
                <w:color w:val="auto"/>
              </w:rPr>
            </w:pPr>
            <w:r>
              <w:rPr>
                <w:rFonts w:ascii="Arial" w:cs="Arial" w:eastAsia="Arial" w:hAnsi="Arial"/>
                <w:sz w:val="13"/>
                <w:szCs w:val="13"/>
                <w:b w:val="1"/>
                <w:bCs w:val="1"/>
                <w:color w:val="auto"/>
                <w:w w:val="97"/>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180" w:type="dxa"/>
            <w:vAlign w:val="bottom"/>
            <w:gridSpan w:val="4"/>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55"/>
              <w:spacing w:after="0" w:line="144" w:lineRule="exact"/>
              <w:rPr>
                <w:sz w:val="20"/>
                <w:szCs w:val="20"/>
                <w:color w:val="auto"/>
              </w:rPr>
            </w:pPr>
            <w:r>
              <w:rPr>
                <w:rFonts w:ascii="Arial" w:cs="Arial" w:eastAsia="Arial" w:hAnsi="Arial"/>
                <w:sz w:val="13"/>
                <w:szCs w:val="13"/>
                <w:b w:val="1"/>
                <w:bCs w:val="1"/>
                <w:color w:val="auto"/>
                <w:w w:val="94"/>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7"/>
              </w:rPr>
              <w:t>for Grant</w:t>
            </w:r>
          </w:p>
        </w:tc>
        <w:tc>
          <w:tcPr>
            <w:tcW w:w="10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3"/>
                <w:szCs w:val="13"/>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2,824,999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4,946,182</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0.31</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7"/>
                <w:szCs w:val="17"/>
                <w:color w:val="auto"/>
              </w:rPr>
              <w:t>(1,474,500)</w:t>
            </w: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1,474,500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549,335</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(549,335)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(152,395)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Balance–December 31,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1,899,834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5,718,952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2640" w:type="dxa"/>
            <w:vAlign w:val="bottom"/>
            <w:gridSpan w:val="4"/>
          </w:tcPr>
          <w:p>
            <w:pPr>
              <w:ind w:left="160"/>
              <w:spacing w:after="0"/>
              <w:rPr>
                <w:sz w:val="20"/>
                <w:szCs w:val="20"/>
                <w:color w:val="auto"/>
              </w:rPr>
            </w:pPr>
            <w:r>
              <w:rPr>
                <w:rFonts w:ascii="Arial" w:cs="Arial" w:eastAsia="Arial" w:hAnsi="Arial"/>
                <w:sz w:val="17"/>
                <w:szCs w:val="17"/>
                <w:color w:val="auto"/>
              </w:rPr>
              <w:t>Additional options authorized</w:t>
            </w: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2,972,400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(3,727,795)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3,727,795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245,056</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(245,056)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(290,985)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rPr>
              <w:t>Balance–December 31, 2012</w:t>
            </w:r>
          </w:p>
        </w:tc>
        <w:tc>
          <w:tcPr>
            <w:tcW w:w="1080" w:type="dxa"/>
            <w:vAlign w:val="bottom"/>
            <w:gridSpan w:val="2"/>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0.52</w:t>
            </w:r>
          </w:p>
        </w:tc>
        <w:tc>
          <w:tcPr>
            <w:tcW w:w="1280" w:type="dxa"/>
            <w:vAlign w:val="bottom"/>
            <w:gridSpan w:val="5"/>
            <w:vMerge w:val="restart"/>
          </w:tcPr>
          <w:p>
            <w:pPr>
              <w:jc w:val="right"/>
              <w:ind w:right="20"/>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right"/>
              <w:ind w:right="75"/>
              <w:spacing w:after="0"/>
              <w:rPr>
                <w:sz w:val="20"/>
                <w:szCs w:val="20"/>
                <w:color w:val="auto"/>
              </w:rPr>
            </w:pPr>
            <w:r>
              <w:rPr>
                <w:rFonts w:ascii="Arial" w:cs="Arial" w:eastAsia="Arial" w:hAnsi="Arial"/>
                <w:sz w:val="17"/>
                <w:szCs w:val="17"/>
                <w:color w:val="auto"/>
              </w:rPr>
              <w:t>4,311</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8,910,706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388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auto"/>
              </w:rPr>
              <w:t>Options exercisable–December 31, 2012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4,166,004</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0.37</w:t>
            </w:r>
          </w:p>
        </w:tc>
        <w:tc>
          <w:tcPr>
            <w:tcW w:w="12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w w:val="92"/>
              </w:rPr>
              <w:t>Options vested and expected to vest–</w:t>
            </w: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w w:val="97"/>
              </w:rPr>
              <w:t>December 31, 2012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8,472,770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0.51</w:t>
            </w:r>
          </w:p>
        </w:tc>
        <w:tc>
          <w:tcPr>
            <w:tcW w:w="1280" w:type="dxa"/>
            <w:vAlign w:val="bottom"/>
            <w:gridSpan w:val="5"/>
          </w:tcPr>
          <w:p>
            <w:pPr>
              <w:jc w:val="right"/>
              <w:ind w:right="20"/>
              <w:spacing w:after="0"/>
              <w:rPr>
                <w:sz w:val="20"/>
                <w:szCs w:val="20"/>
                <w:color w:val="auto"/>
              </w:rPr>
            </w:pPr>
            <w:r>
              <w:rPr>
                <w:rFonts w:ascii="Arial" w:cs="Arial" w:eastAsia="Arial" w:hAnsi="Arial"/>
                <w:sz w:val="17"/>
                <w:szCs w:val="17"/>
                <w:color w:val="auto"/>
              </w:rPr>
              <w:t>8.13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40" w:type="dxa"/>
            <w:vAlign w:val="bottom"/>
            <w:gridSpan w:val="20"/>
          </w:tcPr>
          <w:p>
            <w:pPr>
              <w:jc w:val="right"/>
              <w:ind w:right="800"/>
              <w:spacing w:after="0"/>
              <w:rPr>
                <w:sz w:val="20"/>
                <w:szCs w:val="20"/>
                <w:color w:val="auto"/>
              </w:rPr>
            </w:pPr>
            <w:r>
              <w:rPr>
                <w:rFonts w:ascii="Arial" w:cs="Arial" w:eastAsia="Arial" w:hAnsi="Arial"/>
                <w:sz w:val="17"/>
                <w:szCs w:val="17"/>
                <w:color w:val="auto"/>
                <w:w w:val="89"/>
              </w:rPr>
              <w:t>Outstanding and exercisable stock options as of December 31, 2012 are summarized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Options Outstanding</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left="418"/>
              <w:spacing w:after="0"/>
              <w:rPr>
                <w:sz w:val="20"/>
                <w:szCs w:val="20"/>
                <w:color w:val="auto"/>
              </w:rPr>
            </w:pPr>
            <w:r>
              <w:rPr>
                <w:rFonts w:ascii="Arial" w:cs="Arial" w:eastAsia="Arial" w:hAnsi="Arial"/>
                <w:sz w:val="13"/>
                <w:szCs w:val="13"/>
                <w:b w:val="1"/>
                <w:bCs w:val="1"/>
                <w:color w:val="auto"/>
                <w:w w:val="88"/>
              </w:rPr>
              <w:t>Options Vested and Exercisable</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2"/>
              </w:rPr>
              <w:t>Weighted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Average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c>
          <w:tcPr>
            <w:tcW w:w="1440" w:type="dxa"/>
            <w:vAlign w:val="bottom"/>
            <w:gridSpan w:val="8"/>
          </w:tcPr>
          <w:p>
            <w:pPr>
              <w:jc w:val="right"/>
              <w:ind w:right="260"/>
              <w:spacing w:after="0" w:line="144" w:lineRule="exact"/>
              <w:rPr>
                <w:sz w:val="20"/>
                <w:szCs w:val="20"/>
                <w:color w:val="auto"/>
              </w:rPr>
            </w:pPr>
            <w:r>
              <w:rPr>
                <w:rFonts w:ascii="Arial" w:cs="Arial" w:eastAsia="Arial" w:hAnsi="Arial"/>
                <w:sz w:val="13"/>
                <w:szCs w:val="13"/>
                <w:b w:val="1"/>
                <w:bCs w:val="1"/>
                <w:color w:val="auto"/>
                <w:w w:val="98"/>
              </w:rPr>
              <w:t>Number of Options</w:t>
            </w:r>
          </w:p>
        </w:tc>
        <w:tc>
          <w:tcPr>
            <w:tcW w:w="128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Contractual Life</w:t>
            </w:r>
          </w:p>
        </w:tc>
        <w:tc>
          <w:tcPr>
            <w:tcW w:w="13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Aggregate 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Exercise Prices</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12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(Years)</w:t>
            </w:r>
          </w:p>
        </w:tc>
        <w:tc>
          <w:tcPr>
            <w:tcW w:w="1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Intrinsic Value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11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$0.02</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1,183,500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1,176,312</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$0.20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973,557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778,711</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2,091,479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1,313,971</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$0.60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934,375</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428,382</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3,458,628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9.27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438,628</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$1.00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269,167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30,000</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8,910,706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8.17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4,166,004</w:t>
            </w: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79"/>
        <w:spacing w:after="0" w:line="282"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stock options and the fair value of the Company's common stock for stock options that were in-the-money.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fair value of options to purchase common stock granted was $0.42 and $0.49 in the years ended December 31, 2011 and 2012, respectively.</w:t>
      </w:r>
    </w:p>
    <w:p>
      <w:pPr>
        <w:spacing w:after="0" w:line="247"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The weighted average fair value of options to purchase common stock vested was $0.25 and $0.35 per share in the years ended December 31, 2011 and 2012. The total estimated grant date fair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 options to purchase common stock vested during the years ended December 31, 2011 and 2012 was $466,000 and $583,000 respectively.</w:t>
      </w:r>
    </w:p>
    <w:p>
      <w:pPr>
        <w:spacing w:after="0" w:line="22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The weighted average fair value of options to purchase common stock exercised was $0.16 and $0.22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$0.60 and $1.00 per share, respectively.</w:t>
      </w:r>
    </w:p>
    <w:p>
      <w:pPr>
        <w:spacing w:after="0" w:line="163"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color w:val="auto"/>
        </w:rPr>
        <w:t>In February 2008, the Company entered into a restricted stock purchase agreement with a founder. The Company issued 1,396,341 shares of restricted common stock at $0.005 per share, of which 62,060 shares were unvested as of January 1, 2011. These shares had a grant date fair value of $0.015 per share and became fully vested in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348"/>
        <w:spacing w:after="0" w:line="315"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 of Stock Options</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color w:val="auto"/>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6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79"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5"/>
          <w:szCs w:val="15"/>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Assumptions</w:t>
      </w:r>
    </w:p>
    <w:p>
      <w:pPr>
        <w:spacing w:after="0" w:line="22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240" w:type="dxa"/>
            <w:vAlign w:val="bottom"/>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39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5.00 - 6.08</w:t>
            </w:r>
          </w:p>
        </w:tc>
        <w:tc>
          <w:tcPr>
            <w:tcW w:w="1360" w:type="dxa"/>
            <w:vAlign w:val="bottom"/>
            <w:gridSpan w:val="3"/>
            <w:shd w:val="clear" w:color="auto" w:fill="CCEEFF"/>
          </w:tcPr>
          <w:p>
            <w:pPr>
              <w:jc w:val="right"/>
              <w:ind w:right="95"/>
              <w:spacing w:after="0"/>
              <w:rPr>
                <w:sz w:val="20"/>
                <w:szCs w:val="20"/>
                <w:color w:val="auto"/>
              </w:rPr>
            </w:pPr>
            <w:r>
              <w:rPr>
                <w:rFonts w:ascii="Arial" w:cs="Arial" w:eastAsia="Arial" w:hAnsi="Arial"/>
                <w:sz w:val="17"/>
                <w:szCs w:val="17"/>
                <w:color w:val="auto"/>
              </w:rPr>
              <w:t>5.00 - 6.08</w:t>
            </w:r>
          </w:p>
        </w:tc>
        <w:tc>
          <w:tcPr>
            <w:tcW w:w="160" w:type="dxa"/>
            <w:vAlign w:val="bottom"/>
            <w:shd w:val="clear" w:color="auto" w:fill="CCEEFF"/>
          </w:tcPr>
          <w:p>
            <w:pPr>
              <w:spacing w:after="0"/>
              <w:rPr>
                <w:sz w:val="17"/>
                <w:szCs w:val="17"/>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Expected volatility</w:t>
            </w:r>
          </w:p>
        </w:tc>
        <w:tc>
          <w:tcPr>
            <w:tcW w:w="520" w:type="dxa"/>
            <w:vAlign w:val="bottom"/>
          </w:tcPr>
          <w:p>
            <w:pPr>
              <w:jc w:val="right"/>
              <w:spacing w:after="0"/>
              <w:rPr>
                <w:sz w:val="20"/>
                <w:szCs w:val="20"/>
                <w:color w:val="auto"/>
              </w:rPr>
            </w:pPr>
            <w:r>
              <w:rPr>
                <w:rFonts w:ascii="Arial" w:cs="Arial" w:eastAsia="Arial" w:hAnsi="Arial"/>
                <w:sz w:val="17"/>
                <w:szCs w:val="17"/>
                <w:color w:val="auto"/>
              </w:rPr>
              <w:t>70.78</w:t>
            </w:r>
          </w:p>
        </w:tc>
        <w:tc>
          <w:tcPr>
            <w:tcW w:w="700" w:type="dxa"/>
            <w:vAlign w:val="bottom"/>
          </w:tcPr>
          <w:p>
            <w:pPr>
              <w:ind w:left="20"/>
              <w:spacing w:after="0"/>
              <w:rPr>
                <w:sz w:val="20"/>
                <w:szCs w:val="20"/>
                <w:color w:val="auto"/>
              </w:rPr>
            </w:pPr>
            <w:r>
              <w:rPr>
                <w:rFonts w:ascii="Arial" w:cs="Arial" w:eastAsia="Arial" w:hAnsi="Arial"/>
                <w:sz w:val="17"/>
                <w:szCs w:val="17"/>
                <w:color w:val="auto"/>
                <w:w w:val="96"/>
              </w:rPr>
              <w:t>- 80.92%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82.07</w:t>
            </w:r>
          </w:p>
        </w:tc>
        <w:tc>
          <w:tcPr>
            <w:tcW w:w="680" w:type="dxa"/>
            <w:vAlign w:val="bottom"/>
          </w:tcPr>
          <w:p>
            <w:pPr>
              <w:ind w:left="20"/>
              <w:spacing w:after="0"/>
              <w:rPr>
                <w:sz w:val="20"/>
                <w:szCs w:val="20"/>
                <w:color w:val="auto"/>
              </w:rPr>
            </w:pPr>
            <w:r>
              <w:rPr>
                <w:rFonts w:ascii="Arial" w:cs="Arial" w:eastAsia="Arial" w:hAnsi="Arial"/>
                <w:sz w:val="17"/>
                <w:szCs w:val="17"/>
                <w:color w:val="auto"/>
                <w:w w:val="93"/>
              </w:rPr>
              <w:t>- 84.33%</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Dividend yield</w:t>
            </w:r>
          </w:p>
        </w:tc>
        <w:tc>
          <w:tcPr>
            <w:tcW w:w="520" w:type="dxa"/>
            <w:vAlign w:val="bottom"/>
          </w:tcPr>
          <w:p>
            <w:pPr>
              <w:spacing w:after="0"/>
              <w:rPr>
                <w:sz w:val="18"/>
                <w:szCs w:val="18"/>
                <w:color w:val="auto"/>
              </w:rPr>
            </w:pPr>
          </w:p>
        </w:tc>
        <w:tc>
          <w:tcPr>
            <w:tcW w:w="700" w:type="dxa"/>
            <w:vAlign w:val="bottom"/>
          </w:tcPr>
          <w:p>
            <w:pPr>
              <w:jc w:val="center"/>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center"/>
              <w:ind w:right="600"/>
              <w:spacing w:after="0"/>
              <w:rPr>
                <w:sz w:val="20"/>
                <w:szCs w:val="20"/>
                <w:color w:val="auto"/>
              </w:rPr>
            </w:pPr>
            <w:r>
              <w:rPr>
                <w:rFonts w:ascii="Arial" w:cs="Arial" w:eastAsia="Arial" w:hAnsi="Arial"/>
                <w:sz w:val="17"/>
                <w:szCs w:val="17"/>
                <w:color w:val="auto"/>
                <w:w w:val="84"/>
              </w:rPr>
              <w:t>–</w:t>
            </w:r>
          </w:p>
        </w:tc>
      </w:tr>
    </w:tbl>
    <w:p>
      <w:pPr>
        <w:spacing w:after="0" w:line="195"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7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summarizes stock-based compensation expense related to stock options for the years ended December 31, 2011 and 2012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72"/>
        <w:spacing w:after="0" w:line="352" w:lineRule="auto"/>
        <w:rPr>
          <w:sz w:val="20"/>
          <w:szCs w:val="20"/>
          <w:color w:val="auto"/>
        </w:rPr>
      </w:pPr>
      <w:r>
        <w:rPr>
          <w:rFonts w:ascii="Arial" w:cs="Arial" w:eastAsia="Arial" w:hAnsi="Arial"/>
          <w:sz w:val="15"/>
          <w:szCs w:val="15"/>
          <w:color w:val="auto"/>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$259,000 in the years ended December 31, 2011 and 2012, respectively, and are included in accrued liabilities in the balance sheets. The expenses were determined as follows:</w:t>
      </w:r>
    </w:p>
    <w:p>
      <w:pPr>
        <w:spacing w:after="0" w:line="183" w:lineRule="exact"/>
        <w:rPr>
          <w:sz w:val="20"/>
          <w:szCs w:val="20"/>
          <w:color w:val="auto"/>
        </w:rPr>
      </w:pPr>
    </w:p>
    <w:p>
      <w:pPr>
        <w:jc w:val="both"/>
        <w:ind w:left="1060" w:hanging="531"/>
        <w:spacing w:after="0" w:line="263"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March 2012, the Company's Board of Directors authorized the grant of 438,628 fully vested stock options at a fair value of $0.44 resulting in $193,000 in expense in the year ended December 31, 2011. The option fair value was determined using the Black-Scholes option-pricing valuation model. The option exercise price was $0.67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213"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February 2013, the Company's Board of Directors authorized the grant of 402,007 fully vested stock options at a fair value of $0.65 resulting in $259,000 in expense in the year ended December 31, 2012. The fair value of the options was determined using the Black-Scholes option-pricing valuation model with the following assumptions: fair market value of common stock of $1.00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87"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auto"/>
        </w:rPr>
        <w:t>The following table summarizes equity-based compensation expense for the years ended December 31, 2011 and 2012, which were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equity-based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2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6"/>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U.S. federal taxes at statutory rate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Tax credits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34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245"/>
              <w:spacing w:after="0"/>
              <w:rPr>
                <w:sz w:val="20"/>
                <w:szCs w:val="20"/>
                <w:color w:val="auto"/>
              </w:rPr>
            </w:pPr>
            <w:r>
              <w:rPr>
                <w:rFonts w:ascii="Arial" w:cs="Arial" w:eastAsia="Arial" w:hAnsi="Arial"/>
                <w:sz w:val="17"/>
                <w:szCs w:val="17"/>
                <w:color w:val="auto"/>
              </w:rPr>
              <w:t>F-25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Accruals, depreciation and deferred rent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(17,469)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(24,767)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Gross deferred tax liabilities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70" w:lineRule="exact"/>
        <w:rPr>
          <w:sz w:val="20"/>
          <w:szCs w:val="20"/>
          <w:color w:val="auto"/>
        </w:rPr>
      </w:pPr>
    </w:p>
    <w:p>
      <w:pPr>
        <w:jc w:val="both"/>
        <w:ind w:firstLine="491"/>
        <w:spacing w:after="0" w:line="265" w:lineRule="auto"/>
        <w:rPr>
          <w:sz w:val="20"/>
          <w:szCs w:val="20"/>
          <w:color w:val="auto"/>
        </w:rPr>
      </w:pPr>
      <w:r>
        <w:rPr>
          <w:rFonts w:ascii="Arial" w:cs="Arial" w:eastAsia="Arial" w:hAnsi="Arial"/>
          <w:sz w:val="17"/>
          <w:szCs w:val="17"/>
          <w:color w:val="auto"/>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are ultimately realized, additional paid in capital would be increased and taxes payable would be reduced.</w:t>
      </w:r>
    </w:p>
    <w:p>
      <w:pPr>
        <w:spacing w:after="0" w:line="185"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As of December 31, 2012, the Company had credit carryforwards of approximately $0.9 million and $0.7 million available to reduce future taxable income, if any, for Federal and California state income tax purposes, respectively. The Federal credit carryforwards begin to expire in 2028. California credits have no expiration date.</w:t>
      </w:r>
    </w:p>
    <w:p>
      <w:pPr>
        <w:spacing w:after="0" w:line="179" w:lineRule="exact"/>
        <w:rPr>
          <w:sz w:val="20"/>
          <w:szCs w:val="20"/>
          <w:color w:val="auto"/>
        </w:rPr>
      </w:pPr>
    </w:p>
    <w:p>
      <w:pPr>
        <w:jc w:val="both"/>
        <w:ind w:firstLine="446"/>
        <w:spacing w:after="0" w:line="265" w:lineRule="auto"/>
        <w:rPr>
          <w:sz w:val="20"/>
          <w:szCs w:val="20"/>
          <w:color w:val="auto"/>
        </w:rPr>
      </w:pPr>
      <w:r>
        <w:rPr>
          <w:rFonts w:ascii="Arial" w:cs="Arial" w:eastAsia="Arial" w:hAnsi="Arial"/>
          <w:sz w:val="17"/>
          <w:szCs w:val="17"/>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8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increases–tax position in prior period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Gross decrease–tax position in prior period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increases–current period tax positions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7"/>
                <w:szCs w:val="17"/>
                <w:color w:val="auto"/>
              </w:rPr>
              <w:t>Unrecognized tax benefits, end of period</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315"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4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Plan</w:t>
      </w:r>
    </w:p>
    <w:p>
      <w:pPr>
        <w:spacing w:after="0" w:line="228" w:lineRule="exact"/>
        <w:rPr>
          <w:sz w:val="20"/>
          <w:szCs w:val="20"/>
          <w:color w:val="auto"/>
        </w:rPr>
      </w:pPr>
    </w:p>
    <w:p>
      <w:pPr>
        <w:jc w:val="both"/>
        <w:ind w:firstLine="530"/>
        <w:spacing w:after="0" w:line="282" w:lineRule="auto"/>
        <w:rPr>
          <w:sz w:val="20"/>
          <w:szCs w:val="20"/>
          <w:color w:val="auto"/>
        </w:rPr>
      </w:pPr>
      <w:r>
        <w:rPr>
          <w:rFonts w:ascii="Arial" w:cs="Arial" w:eastAsia="Arial" w:hAnsi="Arial"/>
          <w:sz w:val="17"/>
          <w:szCs w:val="17"/>
          <w:color w:val="auto"/>
        </w:rPr>
        <w:t>The Company sponsors a 401(k) defined contribution plan covering all employees. There were no employer contributions to the plan in the years ended December 31,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In February 2013, the Company granted its Chief Executive Officer an incentive stock option to purchase 50,000 shares of its common stock with an exercise price of $1.00 per share and a contractual term of 10 years. This option will only vest if an initial public offering or merger occurs in 2013.</w:t>
      </w:r>
    </w:p>
    <w:p>
      <w:pPr>
        <w:spacing w:after="0" w:line="170" w:lineRule="exact"/>
        <w:rPr>
          <w:sz w:val="20"/>
          <w:szCs w:val="20"/>
          <w:color w:val="auto"/>
        </w:rPr>
      </w:pPr>
    </w:p>
    <w:p>
      <w:pPr>
        <w:jc w:val="both"/>
        <w:ind w:firstLine="385"/>
        <w:spacing w:after="0" w:line="282" w:lineRule="auto"/>
        <w:rPr>
          <w:sz w:val="20"/>
          <w:szCs w:val="20"/>
          <w:color w:val="auto"/>
        </w:rPr>
      </w:pPr>
      <w:r>
        <w:rPr>
          <w:rFonts w:ascii="Arial" w:cs="Arial" w:eastAsia="Arial" w:hAnsi="Arial"/>
          <w:sz w:val="17"/>
          <w:szCs w:val="17"/>
          <w:color w:val="auto"/>
        </w:rPr>
        <w:t>In June 2013, the Company amended its Amended and Restated Certificate of Incorporation to increase the number of authorized shares of Series C convertible preferred stock from 14,000,000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7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5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subsequent events through August 12, 2013, the date the audited financial statements were issued.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95"/>
        </w:trPr>
        <w:tc>
          <w:tcPr>
            <w:tcW w:w="9800" w:type="dxa"/>
            <w:vAlign w:val="bottom"/>
            <w:gridSpan w:val="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275"/>
              <w:spacing w:after="0"/>
              <w:rPr>
                <w:sz w:val="20"/>
                <w:szCs w:val="20"/>
                <w:color w:val="auto"/>
              </w:rPr>
            </w:pPr>
            <w:r>
              <w:rPr>
                <w:rFonts w:ascii="Arial" w:cs="Arial" w:eastAsia="Arial" w:hAnsi="Arial"/>
                <w:sz w:val="17"/>
                <w:szCs w:val="17"/>
                <w:b w:val="1"/>
                <w:bCs w:val="1"/>
                <w:color w:val="auto"/>
              </w:rPr>
              <w:t>VERACYTE, INC.</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20" w:type="dxa"/>
            <w:vAlign w:val="bottom"/>
            <w:gridSpan w:val="4"/>
          </w:tcPr>
          <w:p>
            <w:pPr>
              <w:jc w:val="center"/>
              <w:ind w:right="1315"/>
              <w:spacing w:after="0"/>
              <w:rPr>
                <w:sz w:val="20"/>
                <w:szCs w:val="20"/>
                <w:color w:val="auto"/>
              </w:rPr>
            </w:pPr>
            <w:r>
              <w:rPr>
                <w:rFonts w:ascii="Arial" w:cs="Arial" w:eastAsia="Arial" w:hAnsi="Arial"/>
                <w:sz w:val="17"/>
                <w:szCs w:val="17"/>
                <w:b w:val="1"/>
                <w:bCs w:val="1"/>
                <w:color w:val="auto"/>
                <w:w w:val="90"/>
              </w:rPr>
              <w:t>Index to Unaudited Interim Condensed Financial Statements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62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315"/>
              <w:spacing w:after="0"/>
              <w:rPr>
                <w:sz w:val="20"/>
                <w:szCs w:val="20"/>
                <w:color w:val="auto"/>
              </w:rPr>
            </w:pPr>
            <w:r>
              <w:rPr>
                <w:rFonts w:ascii="Arial" w:cs="Arial" w:eastAsia="Arial" w:hAnsi="Arial"/>
                <w:sz w:val="17"/>
                <w:szCs w:val="17"/>
                <w:b w:val="1"/>
                <w:bCs w:val="1"/>
                <w:color w:val="auto"/>
                <w:w w:val="90"/>
              </w:rPr>
              <w:t>Six Months Ended June 30, 2012 and 2013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7"/>
                <w:szCs w:val="17"/>
                <w:color w:val="0000EE"/>
              </w:rPr>
            </w:pPr>
            <w:hyperlink w:anchor="page157">
              <w:r>
                <w:rPr>
                  <w:rFonts w:ascii="Arial" w:cs="Arial" w:eastAsia="Arial" w:hAnsi="Arial"/>
                  <w:sz w:val="17"/>
                  <w:szCs w:val="17"/>
                  <w:color w:val="0000EE"/>
                </w:rPr>
                <w:t>Condensed Balance Sheets</w:t>
              </w:r>
            </w:hyperlink>
          </w:p>
        </w:tc>
        <w:tc>
          <w:tcPr>
            <w:tcW w:w="1620" w:type="dxa"/>
            <w:vAlign w:val="bottom"/>
            <w:gridSpan w:val="2"/>
          </w:tcPr>
          <w:p>
            <w:pPr>
              <w:spacing w:after="0"/>
              <w:rPr>
                <w:rFonts w:ascii="Arial" w:cs="Arial" w:eastAsia="Arial" w:hAnsi="Arial"/>
                <w:sz w:val="17"/>
                <w:szCs w:val="17"/>
                <w:color w:val="0000EE"/>
              </w:rPr>
            </w:pPr>
            <w:hyperlink w:anchor="page157">
              <w:r>
                <w:rPr>
                  <w:rFonts w:ascii="Arial" w:cs="Arial" w:eastAsia="Arial" w:hAnsi="Arial"/>
                  <w:sz w:val="17"/>
                  <w:szCs w:val="17"/>
                  <w:color w:val="0000EE"/>
                </w:rPr>
                <w:t>F-30</w:t>
              </w:r>
            </w:hyperlink>
          </w:p>
        </w:tc>
      </w:tr>
      <w:tr>
        <w:trPr>
          <w:trHeight w:val="20"/>
        </w:trPr>
        <w:tc>
          <w:tcPr>
            <w:tcW w:w="116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Condensed Statements of Operations and Comprehensive Loss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F-31</w:t>
              </w:r>
            </w:hyperlink>
          </w:p>
        </w:tc>
      </w:tr>
      <w:tr>
        <w:trPr>
          <w:trHeight w:val="190"/>
        </w:trPr>
        <w:tc>
          <w:tcPr>
            <w:tcW w:w="1160" w:type="dxa"/>
            <w:vAlign w:val="bottom"/>
          </w:tcPr>
          <w:p>
            <w:pPr>
              <w:spacing w:after="0"/>
              <w:rPr>
                <w:sz w:val="16"/>
                <w:szCs w:val="16"/>
                <w:color w:val="auto"/>
              </w:rPr>
            </w:pPr>
          </w:p>
        </w:tc>
        <w:tc>
          <w:tcPr>
            <w:tcW w:w="428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59">
              <w:r>
                <w:rPr>
                  <w:rFonts w:ascii="Arial" w:cs="Arial" w:eastAsia="Arial" w:hAnsi="Arial"/>
                  <w:sz w:val="17"/>
                  <w:szCs w:val="17"/>
                  <w:color w:val="0000EE"/>
                </w:rPr>
                <w:t>Condensed Statements of Cash Flows</w:t>
              </w:r>
            </w:hyperlink>
          </w:p>
        </w:tc>
        <w:tc>
          <w:tcPr>
            <w:tcW w:w="4360" w:type="dxa"/>
            <w:vAlign w:val="bottom"/>
          </w:tcPr>
          <w:p>
            <w:pPr>
              <w:spacing w:after="0"/>
              <w:rPr>
                <w:sz w:val="16"/>
                <w:szCs w:val="16"/>
                <w:color w:val="auto"/>
              </w:rPr>
            </w:pPr>
          </w:p>
        </w:tc>
        <w:tc>
          <w:tcPr>
            <w:tcW w:w="320" w:type="dxa"/>
            <w:vAlign w:val="bottom"/>
            <w:tcBorders>
              <w:top w:val="single" w:sz="8" w:color="0000EE"/>
            </w:tcBorders>
          </w:tcPr>
          <w:p>
            <w:pPr>
              <w:spacing w:after="0" w:line="189" w:lineRule="exact"/>
              <w:rPr>
                <w:rFonts w:ascii="Arial" w:cs="Arial" w:eastAsia="Arial" w:hAnsi="Arial"/>
                <w:sz w:val="17"/>
                <w:szCs w:val="17"/>
                <w:color w:val="0000EE"/>
                <w:w w:val="85"/>
              </w:rPr>
            </w:pPr>
            <w:hyperlink w:anchor="page159">
              <w:r>
                <w:rPr>
                  <w:rFonts w:ascii="Arial" w:cs="Arial" w:eastAsia="Arial" w:hAnsi="Arial"/>
                  <w:sz w:val="17"/>
                  <w:szCs w:val="17"/>
                  <w:color w:val="0000EE"/>
                  <w:w w:val="85"/>
                </w:rPr>
                <w:t>F-32</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60">
              <w:r>
                <w:rPr>
                  <w:rFonts w:ascii="Arial" w:cs="Arial" w:eastAsia="Arial" w:hAnsi="Arial"/>
                  <w:sz w:val="17"/>
                  <w:szCs w:val="17"/>
                  <w:color w:val="0000EE"/>
                </w:rPr>
                <w:t>Notes to Condensed Financial Statements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60">
              <w:r>
                <w:rPr>
                  <w:rFonts w:ascii="Arial" w:cs="Arial" w:eastAsia="Arial" w:hAnsi="Arial"/>
                  <w:sz w:val="17"/>
                  <w:szCs w:val="17"/>
                  <w:color w:val="0000EE"/>
                </w:rPr>
                <w:t>F-33</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tcPr>
          <w:p>
            <w:pPr>
              <w:jc w:val="center"/>
              <w:ind w:right="3715"/>
              <w:spacing w:after="0"/>
              <w:rPr>
                <w:sz w:val="20"/>
                <w:szCs w:val="20"/>
                <w:color w:val="auto"/>
              </w:rPr>
            </w:pPr>
            <w:r>
              <w:rPr>
                <w:rFonts w:ascii="Arial" w:cs="Arial" w:eastAsia="Arial" w:hAnsi="Arial"/>
                <w:sz w:val="17"/>
                <w:szCs w:val="17"/>
                <w:color w:val="auto"/>
                <w:w w:val="91"/>
              </w:rPr>
              <w:t>F-29</w:t>
            </w:r>
          </w:p>
        </w:tc>
        <w:tc>
          <w:tcPr>
            <w:tcW w:w="3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Balance Sheets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gridSpan w:val="4"/>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2"/>
                <w:szCs w:val="12"/>
                <w:color w:val="auto"/>
              </w:rPr>
            </w:pPr>
          </w:p>
        </w:tc>
        <w:tc>
          <w:tcPr>
            <w:tcW w:w="2120" w:type="dxa"/>
            <w:vAlign w:val="bottom"/>
            <w:gridSpan w:val="3"/>
          </w:tcPr>
          <w:p>
            <w:pPr>
              <w:jc w:val="center"/>
              <w:ind w:right="1400"/>
              <w:spacing w:after="0" w:line="144" w:lineRule="exact"/>
              <w:rPr>
                <w:sz w:val="20"/>
                <w:szCs w:val="20"/>
                <w:color w:val="auto"/>
              </w:rPr>
            </w:pPr>
            <w:r>
              <w:rPr>
                <w:rFonts w:ascii="Arial" w:cs="Arial" w:eastAsia="Arial" w:hAnsi="Arial"/>
                <w:sz w:val="13"/>
                <w:szCs w:val="13"/>
                <w:b w:val="1"/>
                <w:bCs w:val="1"/>
                <w:color w:val="auto"/>
                <w:w w:val="92"/>
              </w:rPr>
              <w:t>Equity as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22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(Unaudited)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4"/>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4"/>
              </w:rPr>
              <w:t>Accounts receivable, net of allowance of $222 and $318 as of December 31, 2012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7"/>
                <w:szCs w:val="17"/>
                <w:color w:val="auto"/>
              </w:rPr>
              <w:t>and June 30, 2013</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Supplies inventory</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23,842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480"/>
              <w:spacing w:after="0"/>
              <w:rPr>
                <w:sz w:val="20"/>
                <w:szCs w:val="20"/>
                <w:color w:val="auto"/>
              </w:rPr>
            </w:pPr>
            <w:r>
              <w:rPr>
                <w:rFonts w:ascii="Arial" w:cs="Arial" w:eastAsia="Arial" w:hAnsi="Arial"/>
                <w:sz w:val="17"/>
                <w:szCs w:val="17"/>
                <w:color w:val="auto"/>
              </w:rPr>
              <w:t>Total assets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0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 Equity</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5,387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Deferred Genzyme co-promotion fee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Preferred stock liability</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8,991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9,793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w w:val="99"/>
              </w:rPr>
              <w:t>Long-term debt, net of discount</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4,826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rent,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Preferred stock warrant liability</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Commitments and Contingencies</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w w:val="97"/>
              </w:rPr>
              <w:t>Convertible preferred stock; $0.001 par value, 59,147,999 and 60,187,700 shares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authorized at December 31, 2012 and June 30, 2013 (unaudited), respectively;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4"/>
              </w:rPr>
              <w:t>53,084,507 and 59,989,268 shares issued and outstanding at December 31, 2012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and June 30, 2013 (unaudited), respectively; no shares authorized, issued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outstanding, pro forma (unaudited); aggregate liquidation value of $65,835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$78,885 at December 31, 2012 and June 30, 2013 (unaudited), respectively</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63,372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79,025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1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1"/>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w w:val="99"/>
              </w:rPr>
              <w:t>Common stock, $0.001 par value; 77,000,000 shares authorized; 2,670,767 and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2"/>
              </w:rPr>
              <w:t>3,714,902 shares issued and outstanding at December 31, 2012 and June 30, 2013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(unaudited), respectively;</w:t>
            </w:r>
          </w:p>
        </w:tc>
        <w:tc>
          <w:tcPr>
            <w:tcW w:w="3620" w:type="dxa"/>
            <w:vAlign w:val="bottom"/>
          </w:tcPr>
          <w:p>
            <w:pPr>
              <w:ind w:left="40"/>
              <w:spacing w:after="0"/>
              <w:rPr>
                <w:sz w:val="20"/>
                <w:szCs w:val="20"/>
                <w:color w:val="auto"/>
              </w:rPr>
            </w:pPr>
            <w:r>
              <w:rPr>
                <w:rFonts w:ascii="Arial" w:cs="Arial" w:eastAsia="Arial" w:hAnsi="Arial"/>
                <w:sz w:val="17"/>
                <w:szCs w:val="17"/>
                <w:color w:val="auto"/>
                <w:w w:val="96"/>
              </w:rPr>
              <w:t>shares authorized and 63,704,170 shares issued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and outstanding, pro forma (unaudited)</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2,663</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81,803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(60,069)</w:t>
            </w: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Total stockholders' (deficit) equity</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27,159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8060" w:type="dxa"/>
            <w:vAlign w:val="bottom"/>
            <w:gridSpan w:val="9"/>
          </w:tcPr>
          <w:p>
            <w:pPr>
              <w:jc w:val="center"/>
              <w:ind w:left="995"/>
              <w:spacing w:after="0"/>
              <w:rPr>
                <w:sz w:val="20"/>
                <w:szCs w:val="20"/>
                <w:color w:val="auto"/>
              </w:rPr>
            </w:pPr>
            <w:r>
              <w:rPr>
                <w:rFonts w:ascii="Arial" w:cs="Arial" w:eastAsia="Arial" w:hAnsi="Arial"/>
                <w:sz w:val="17"/>
                <w:szCs w:val="17"/>
                <w:color w:val="auto"/>
                <w:w w:val="89"/>
              </w:rPr>
              <w:t>The accompanying notes are an integral part of these condensed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20" w:type="dxa"/>
            <w:vAlign w:val="bottom"/>
          </w:tcPr>
          <w:p>
            <w:pPr>
              <w:jc w:val="center"/>
              <w:ind w:left="695"/>
              <w:spacing w:after="0"/>
              <w:rPr>
                <w:sz w:val="20"/>
                <w:szCs w:val="20"/>
                <w:color w:val="auto"/>
              </w:rPr>
            </w:pPr>
            <w:r>
              <w:rPr>
                <w:rFonts w:ascii="Arial" w:cs="Arial" w:eastAsia="Arial" w:hAnsi="Arial"/>
                <w:sz w:val="17"/>
                <w:szCs w:val="17"/>
                <w:color w:val="auto"/>
                <w:w w:val="91"/>
              </w:rPr>
              <w:t>F-30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5"/>
              </w:rPr>
              <w:t>Six Months Ended June 30,</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3,158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3,618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12,821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(8,874)</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2,553,287</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3,250,863</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pro forma net loss per common share, basic and diluted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56,781,744</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(8,874)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(13,385)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(1,136)</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debt discount and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receivables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(437)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753</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10,000</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(10,623)</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issuance of long-term debt, net of debt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12,998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738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18,195</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6,681</w:t>
            </w:r>
          </w:p>
        </w:tc>
        <w:tc>
          <w:tcPr>
            <w:tcW w:w="0" w:type="dxa"/>
            <w:vAlign w:val="bottom"/>
          </w:tcPr>
          <w:p>
            <w:pPr>
              <w:spacing w:after="0"/>
              <w:rPr>
                <w:sz w:val="1"/>
                <w:szCs w:val="1"/>
                <w:color w:val="auto"/>
              </w:rPr>
            </w:pPr>
          </w:p>
        </w:tc>
      </w:tr>
      <w:tr>
        <w:trPr>
          <w:trHeight w:val="417"/>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14,002</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8,975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20,683</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89"/>
        <w:spacing w:after="0" w:line="280" w:lineRule="auto"/>
        <w:rPr>
          <w:sz w:val="20"/>
          <w:szCs w:val="20"/>
          <w:color w:val="auto"/>
        </w:rPr>
      </w:pPr>
      <w:r>
        <w:rPr>
          <w:rFonts w:ascii="Arial" w:cs="Arial" w:eastAsia="Arial" w:hAnsi="Arial"/>
          <w:sz w:val="16"/>
          <w:szCs w:val="16"/>
          <w:color w:val="auto"/>
        </w:rPr>
        <w:t>The interim balance sheet as of June 30, 2013, and the statements of operations and comprehensive loss and cash flows for the six months ended June 30,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June 30, 2013 and its results of operations and cash flows for the six months ended June 30, 2012 and 2013. The financial data and the other financial information contained in these notes to the financial statements related to the three month periods are also unaudited. The results of operations for the six months ended June 30,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224"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5"/>
          <w:szCs w:val="15"/>
          <w:color w:val="auto"/>
        </w:rPr>
        <w:t>The pro forma stockholders' equity as of June 30, 2013 presents the Company's stockholders' equity as though all of the Company's convertible preferred stock outstanding had automatically converted into 59,989,268 shares of common stock upon the completion of a qualifying initial public offering ("IPO") of the Company's common stock. In addition, the pro forma stockholders' equity assumes the reclassification of the preferred stock warrant liability to additional paid-in capital upon a qualifying initial public offering of the Company's common stock, as the warrants upon an initial public offering become common stock warrants that are not subject to remeasurement. The shares of common stock issuable and the proceeds expected to be received in the IPO are excluded from such pro forma 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 source suppliers. If these single source suppliers fail to satisfy the Company's requirements on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timely basis, it could suffer delays in being able to deliver Afirma, a possible loss of revenue, or incur higher costs, any of which could adversely affect its operating results.</w:t>
      </w:r>
    </w:p>
    <w:p>
      <w:pPr>
        <w:spacing w:after="0" w:line="170"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71"/>
        <w:spacing w:after="0" w:line="315" w:lineRule="auto"/>
        <w:rPr>
          <w:sz w:val="20"/>
          <w:szCs w:val="20"/>
          <w:color w:val="auto"/>
        </w:rPr>
      </w:pPr>
      <w:r>
        <w:rPr>
          <w:rFonts w:ascii="Arial" w:cs="Arial" w:eastAsia="Arial" w:hAnsi="Arial"/>
          <w:sz w:val="16"/>
          <w:szCs w:val="16"/>
          <w:color w:val="auto"/>
        </w:rPr>
        <w:t>As of December 31, 2012 and June 30,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9"/>
              </w:rPr>
              <w:t>Six Months</w:t>
            </w:r>
          </w:p>
        </w:tc>
      </w:tr>
      <w:tr>
        <w:trPr>
          <w:trHeight w:val="144"/>
        </w:trPr>
        <w:tc>
          <w:tcPr>
            <w:tcW w:w="6760" w:type="dxa"/>
            <w:vAlign w:val="bottom"/>
          </w:tcPr>
          <w:p>
            <w:pPr>
              <w:spacing w:after="0"/>
              <w:rPr>
                <w:sz w:val="12"/>
                <w:szCs w:val="12"/>
                <w:color w:val="auto"/>
              </w:rPr>
            </w:pPr>
          </w:p>
        </w:tc>
        <w:tc>
          <w:tcPr>
            <w:tcW w:w="720" w:type="dxa"/>
            <w:vAlign w:val="bottom"/>
            <w:gridSpan w:val="3"/>
          </w:tcPr>
          <w:p>
            <w:pPr>
              <w:jc w:val="center"/>
              <w:ind w:left="265"/>
              <w:spacing w:after="0" w:line="144" w:lineRule="exact"/>
              <w:rPr>
                <w:sz w:val="20"/>
                <w:szCs w:val="20"/>
                <w:color w:val="auto"/>
              </w:rPr>
            </w:pPr>
            <w:r>
              <w:rPr>
                <w:rFonts w:ascii="Arial" w:cs="Arial" w:eastAsia="Arial" w:hAnsi="Arial"/>
                <w:sz w:val="13"/>
                <w:szCs w:val="13"/>
                <w:b w:val="1"/>
                <w:bCs w:val="1"/>
                <w:color w:val="auto"/>
                <w:w w:val="95"/>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Aetna</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United Healthcare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0"/>
        <w:spacing w:after="0" w:line="282" w:lineRule="auto"/>
        <w:rPr>
          <w:sz w:val="20"/>
          <w:szCs w:val="20"/>
          <w:color w:val="auto"/>
        </w:rPr>
      </w:pPr>
      <w:r>
        <w:rPr>
          <w:rFonts w:ascii="Arial" w:cs="Arial" w:eastAsia="Arial" w:hAnsi="Arial"/>
          <w:sz w:val="17"/>
          <w:szCs w:val="17"/>
          <w:color w:val="auto"/>
        </w:rPr>
        <w:t>Accounts receivable from Medicare amounted to 87% and 86% of gross receivables as of December 31, 2012 and June 30, 2013, respectively. No other third-party payer represented more than 10% of the Company's service revenues or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Cash and cash equivalents consist of all highly liquid investments with original maturities of three months or less at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388"/>
        <w:spacing w:after="0" w:line="265" w:lineRule="auto"/>
        <w:rPr>
          <w:sz w:val="20"/>
          <w:szCs w:val="20"/>
          <w:color w:val="auto"/>
        </w:rPr>
      </w:pPr>
      <w:r>
        <w:rPr>
          <w:rFonts w:ascii="Arial" w:cs="Arial" w:eastAsia="Arial" w:hAnsi="Arial"/>
          <w:sz w:val="17"/>
          <w:szCs w:val="17"/>
          <w:color w:val="auto"/>
        </w:rPr>
        <w:t>At December 31, 2012 and June 30, 2013, deposits of $168,000 and $118,000 were restricted from withdrawal and held by a bank in the form of certificates of deposit and collateral for letters of credit. The balance at December 31, 2012 and June 30, 2013 consists of a certificate of deposit of $50,000 and $0, respectively, held as collateral for payment of the Company's credit cards and a letter of credit totaling $118,000 and $118,000, respectively, which is related to security for the lease of office space.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payment experience. Bad debt expense is included in general and 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June 30, 2013 was $222,000 and $318,000, respectively. The provision for bad debt expense was $85,000 and $117,000 for the six months ended June 30, 2012 and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respectively. There were no write-offs and $21,000 in write-offs for doubtful accounts against the allowance during the six months ended June 30, 2012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six months ended June 30, 2012 and 2013, the Company capitalized $0 and $166,000 of software development costs, respectively. Capitalized software is classified as part of property and equipment, and had a net book value of $184,000 and $311,000 as of December 31, 2012 and June 30,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June 30, 2013, the Company accrued $671,000 and $410,000, respectively, for liabilities associated with these employee and executive bonus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224"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Common Share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Pro forma basic and diluted net loss per common share has been computed to give effect to the conversion of all of the outstanding shares of convertible preferred stock into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December 31,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June 30, 2013</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Accrued Genzyme co-promotion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3,668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20" w:type="dxa"/>
            <w:vAlign w:val="bottom"/>
            <w:gridSpan w:val="2"/>
            <w:vMerge w:val="restart"/>
          </w:tcPr>
          <w:p>
            <w:pPr>
              <w:ind w:left="1720"/>
              <w:spacing w:after="0"/>
              <w:rPr>
                <w:sz w:val="20"/>
                <w:szCs w:val="20"/>
                <w:color w:val="auto"/>
              </w:rPr>
            </w:pPr>
            <w:r>
              <w:rPr>
                <w:rFonts w:ascii="Arial" w:cs="Arial" w:eastAsia="Arial" w:hAnsi="Arial"/>
                <w:sz w:val="17"/>
                <w:szCs w:val="17"/>
                <w:color w:val="auto"/>
              </w:rPr>
              <w:t>Accrued liabilities</w:t>
            </w:r>
          </w:p>
        </w:tc>
        <w:tc>
          <w:tcPr>
            <w:tcW w:w="23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80" w:type="dxa"/>
            <w:vAlign w:val="bottom"/>
            <w:gridSpan w:val="2"/>
          </w:tcPr>
          <w:p>
            <w:pPr>
              <w:jc w:val="right"/>
              <w:ind w:right="1335"/>
              <w:spacing w:after="0"/>
              <w:rPr>
                <w:sz w:val="20"/>
                <w:szCs w:val="20"/>
                <w:color w:val="auto"/>
              </w:rPr>
            </w:pPr>
            <w:r>
              <w:rPr>
                <w:rFonts w:ascii="Arial" w:cs="Arial" w:eastAsia="Arial" w:hAnsi="Arial"/>
                <w:sz w:val="17"/>
                <w:szCs w:val="17"/>
                <w:color w:val="auto"/>
              </w:rPr>
              <w:t>F-36</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28"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3"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76"/>
        <w:spacing w:after="0" w:line="282" w:lineRule="auto"/>
        <w:rPr>
          <w:sz w:val="20"/>
          <w:szCs w:val="20"/>
          <w:color w:val="auto"/>
        </w:rPr>
      </w:pPr>
      <w:r>
        <w:rPr>
          <w:rFonts w:ascii="Arial" w:cs="Arial" w:eastAsia="Arial" w:hAnsi="Arial"/>
          <w:sz w:val="17"/>
          <w:szCs w:val="17"/>
          <w:color w:val="auto"/>
        </w:rPr>
        <w:t>The Company's financial assets and liabilities subject to fair value measurements on a recurring basis and the level of inputs used in such measurements were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w w:val="92"/>
              </w:rPr>
              <w:t>December 31, 2012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Financial Liabilities: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Total financial liabilities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2"/>
              </w:rPr>
              <w:t>June 30, 2013</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11,896</w:t>
            </w:r>
          </w:p>
        </w:tc>
        <w:tc>
          <w:tcPr>
            <w:tcW w:w="3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11,896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3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financial assets</w:t>
            </w:r>
          </w:p>
        </w:tc>
        <w:tc>
          <w:tcPr>
            <w:tcW w:w="1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11,896</w:t>
            </w:r>
          </w:p>
        </w:tc>
        <w:tc>
          <w:tcPr>
            <w:tcW w:w="38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11,896</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720"/>
              <w:spacing w:after="0"/>
              <w:rPr>
                <w:sz w:val="20"/>
                <w:szCs w:val="20"/>
                <w:color w:val="auto"/>
              </w:rPr>
            </w:pPr>
            <w:r>
              <w:rPr>
                <w:rFonts w:ascii="Arial" w:cs="Arial" w:eastAsia="Arial" w:hAnsi="Arial"/>
                <w:sz w:val="17"/>
                <w:szCs w:val="17"/>
                <w:color w:val="auto"/>
              </w:rPr>
              <w:t>Financial Liabilities:</w:t>
            </w:r>
          </w:p>
        </w:tc>
        <w:tc>
          <w:tcPr>
            <w:tcW w:w="1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warrant liability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financial liabilities</w:t>
            </w:r>
          </w:p>
        </w:tc>
        <w:tc>
          <w:tcPr>
            <w:tcW w:w="17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5"/>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175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60" w:type="dxa"/>
            <w:vAlign w:val="bottom"/>
            <w:gridSpan w:val="2"/>
          </w:tcPr>
          <w:p>
            <w:pPr>
              <w:jc w:val="right"/>
              <w:ind w:right="615"/>
              <w:spacing w:after="0"/>
              <w:rPr>
                <w:sz w:val="20"/>
                <w:szCs w:val="20"/>
                <w:color w:val="auto"/>
              </w:rPr>
            </w:pPr>
            <w:r>
              <w:rPr>
                <w:rFonts w:ascii="Arial" w:cs="Arial" w:eastAsia="Arial" w:hAnsi="Arial"/>
                <w:sz w:val="17"/>
                <w:szCs w:val="17"/>
                <w:color w:val="auto"/>
              </w:rPr>
              <w:t>F-37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28" w:lineRule="exact"/>
        <w:rPr>
          <w:sz w:val="20"/>
          <w:szCs w:val="20"/>
          <w:color w:val="auto"/>
        </w:rPr>
      </w:pPr>
    </w:p>
    <w:p>
      <w:pPr>
        <w:jc w:val="both"/>
        <w:ind w:firstLine="465"/>
        <w:spacing w:after="0" w:line="282" w:lineRule="auto"/>
        <w:rPr>
          <w:sz w:val="20"/>
          <w:szCs w:val="20"/>
          <w:color w:val="auto"/>
        </w:rPr>
      </w:pPr>
      <w:r>
        <w:rPr>
          <w:rFonts w:ascii="Arial" w:cs="Arial" w:eastAsia="Arial" w:hAnsi="Arial"/>
          <w:sz w:val="17"/>
          <w:szCs w:val="17"/>
          <w:color w:val="auto"/>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2,070</w:t>
            </w:r>
          </w:p>
        </w:tc>
        <w:tc>
          <w:tcPr>
            <w:tcW w:w="160" w:type="dxa"/>
            <w:vAlign w:val="bottom"/>
          </w:tcPr>
          <w:p>
            <w:pPr>
              <w:spacing w:after="0"/>
              <w:rPr>
                <w:sz w:val="18"/>
                <w:szCs w:val="18"/>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Settlement of preferred stock liability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(2,653)</w:t>
            </w: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Fair value of preferred stock warrant liability</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7"/>
                <w:szCs w:val="17"/>
                <w:color w:val="auto"/>
              </w:rPr>
            </w:pPr>
          </w:p>
        </w:tc>
      </w:tr>
      <w:tr>
        <w:trPr>
          <w:trHeight w:val="26"/>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net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28"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7"/>
          <w:szCs w:val="17"/>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87"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The Company's interest expense related to the amortization of the debt discount and accretion of the end of term payment was not material for the six months ended June 30, 2013.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 (Continued)</w:t>
      </w:r>
    </w:p>
    <w:p>
      <w:pPr>
        <w:spacing w:after="0" w:line="228" w:lineRule="exact"/>
        <w:rPr>
          <w:sz w:val="20"/>
          <w:szCs w:val="20"/>
          <w:color w:val="auto"/>
        </w:rPr>
      </w:pPr>
    </w:p>
    <w:p>
      <w:pPr>
        <w:jc w:val="both"/>
        <w:ind w:firstLine="464"/>
        <w:spacing w:after="0" w:line="261"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Convertible Preferred Stock Warrants</w:t>
      </w:r>
    </w:p>
    <w:p>
      <w:pPr>
        <w:spacing w:after="0" w:line="22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the same number of shares of common stock.</w:t>
      </w:r>
    </w:p>
    <w:p>
      <w:pPr>
        <w:spacing w:after="0" w:line="177"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The fair value of the currently exercisable portion of the warrant in the amount of $175,000 was recorded as a preferred stock warrant liability upon issuance and is subject to remeasurement at each reporting period.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The fair value of the preferred stock warrant liability did not change from issuance to June 30, 2013.</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Preferred Stock</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w:t>
      </w:r>
    </w:p>
    <w:p>
      <w:pPr>
        <w:spacing w:after="0" w:line="228" w:lineRule="exact"/>
        <w:rPr>
          <w:sz w:val="20"/>
          <w:szCs w:val="20"/>
          <w:color w:val="auto"/>
        </w:rPr>
      </w:pPr>
    </w:p>
    <w:p>
      <w:pPr>
        <w:ind w:firstLine="450"/>
        <w:spacing w:after="0" w:line="282" w:lineRule="auto"/>
        <w:rPr>
          <w:sz w:val="20"/>
          <w:szCs w:val="20"/>
          <w:color w:val="auto"/>
        </w:rPr>
      </w:pPr>
      <w:r>
        <w:rPr>
          <w:rFonts w:ascii="Arial" w:cs="Arial" w:eastAsia="Arial" w:hAnsi="Arial"/>
          <w:sz w:val="17"/>
          <w:szCs w:val="17"/>
          <w:color w:val="auto"/>
        </w:rPr>
        <w:t>The following table summarizes activity under the Company's 2008 Stock Plan, including grants to non-employees and restricted stock issued (in thousands, except per share amounts):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2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Shares Available</w:t>
            </w:r>
          </w:p>
        </w:tc>
        <w:tc>
          <w:tcPr>
            <w:tcW w:w="104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Options</w:t>
            </w:r>
          </w:p>
        </w:tc>
        <w:tc>
          <w:tcPr>
            <w:tcW w:w="13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Exercise Price per</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for Grant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Intrinsic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1,389,495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8,910,706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Additional options authorized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1,000,000</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granted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(2,510,632)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2,510,632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Options exercised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(1,044,135)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0.31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forfeited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695,958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(695,958)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Balances at June 30, 2013</w:t>
            </w:r>
          </w:p>
        </w:tc>
        <w:tc>
          <w:tcPr>
            <w:tcW w:w="1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574,821</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9,681,245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0.70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Vested–June 30, 2013</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4,704,914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6,957</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Expected to vest–June 30, 2013</w:t>
            </w: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9,124,394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57"/>
        <w:spacing w:after="0" w:line="282" w:lineRule="auto"/>
        <w:rPr>
          <w:sz w:val="20"/>
          <w:szCs w:val="20"/>
          <w:color w:val="auto"/>
        </w:rPr>
      </w:pPr>
      <w:r>
        <w:rPr>
          <w:rFonts w:ascii="Arial" w:cs="Arial" w:eastAsia="Arial" w:hAnsi="Arial"/>
          <w:sz w:val="17"/>
          <w:szCs w:val="17"/>
          <w:color w:val="auto"/>
        </w:rPr>
        <w:t>The aggregate intrinsic value was calculated as the difference between the exercise price of the options to purchase common stock and the estimated fair value of the Company's common stock of $1.98 per share as of June 30,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Outstanding and exercisable stock options at June 30, 2013 are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Pr>
          <w:p>
            <w:pPr>
              <w:spacing w:after="0"/>
              <w:rPr>
                <w:sz w:val="13"/>
                <w:szCs w:val="13"/>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Options Vested and Exercisable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0" w:type="dxa"/>
            <w:vAlign w:val="bottom"/>
          </w:tcPr>
          <w:p>
            <w:pPr>
              <w:spacing w:after="0"/>
              <w:rPr>
                <w:sz w:val="1"/>
                <w:szCs w:val="1"/>
                <w:color w:val="auto"/>
              </w:rPr>
            </w:pPr>
          </w:p>
        </w:tc>
      </w:tr>
      <w:tr>
        <w:trPr>
          <w:trHeight w:val="157"/>
        </w:trPr>
        <w:tc>
          <w:tcPr>
            <w:tcW w:w="274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820" w:type="dxa"/>
            <w:vAlign w:val="bottom"/>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1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Life (in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$0.02</w:t>
            </w:r>
          </w:p>
        </w:tc>
        <w:tc>
          <w:tcPr>
            <w:tcW w:w="18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$0.20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784,778</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674,881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1,825,125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1,327,307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$0.60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895,000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509,216</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2,750,506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1,060,133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$1.00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1,904,211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409,877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$1.51</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798,125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 w:type="dxa"/>
            <w:vAlign w:val="bottom"/>
            <w:gridSpan w:val="2"/>
            <w:vMerge w:val="restart"/>
          </w:tcPr>
          <w:p>
            <w:pPr>
              <w:spacing w:after="0"/>
              <w:rPr>
                <w:sz w:val="20"/>
                <w:szCs w:val="20"/>
                <w:color w:val="auto"/>
              </w:rPr>
            </w:pPr>
            <w:r>
              <w:rPr>
                <w:rFonts w:ascii="Arial" w:cs="Arial" w:eastAsia="Arial" w:hAnsi="Arial"/>
                <w:sz w:val="17"/>
                <w:szCs w:val="17"/>
                <w:color w:val="auto"/>
              </w:rPr>
              <w:t>$0.02-1.51</w:t>
            </w: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8.26</w:t>
            </w:r>
          </w:p>
        </w:tc>
        <w:tc>
          <w:tcPr>
            <w:tcW w:w="980" w:type="dxa"/>
            <w:vAlign w:val="bottom"/>
            <w:gridSpan w:val="2"/>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7.50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9,681,245</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4,704,914</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granted was $0.47 and $0.78 per share in the six months ended June 30, 2012 and 2013,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vested was $0.35 and $0.52 per share in the six months ended June 30, 2012 and 2013, respectively.</w:t>
      </w:r>
    </w:p>
    <w:p>
      <w:pPr>
        <w:spacing w:after="0" w:line="236" w:lineRule="exact"/>
        <w:rPr>
          <w:sz w:val="20"/>
          <w:szCs w:val="20"/>
          <w:color w:val="auto"/>
        </w:rPr>
      </w:pPr>
    </w:p>
    <w:p>
      <w:pPr>
        <w:ind w:firstLine="393"/>
        <w:spacing w:after="0" w:line="315" w:lineRule="auto"/>
        <w:rPr>
          <w:sz w:val="20"/>
          <w:szCs w:val="20"/>
          <w:color w:val="auto"/>
        </w:rPr>
      </w:pPr>
      <w:r>
        <w:rPr>
          <w:rFonts w:ascii="Arial" w:cs="Arial" w:eastAsia="Arial" w:hAnsi="Arial"/>
          <w:sz w:val="16"/>
          <w:szCs w:val="16"/>
          <w:color w:val="auto"/>
        </w:rPr>
        <w:t>The weighted average fair value of stock options exercised was $0.24 and $0.21 per share in the three months ended June 30, 2012 and 2013, respectively. The intrinsic value of stock options exercised was $109,000 and $1.7 million in the six months ended June 30, 2012 and 2013,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Stock-based compensation expense recognized was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184"/>
              <w:spacing w:after="0" w:line="144" w:lineRule="exact"/>
              <w:rPr>
                <w:sz w:val="20"/>
                <w:szCs w:val="20"/>
                <w:color w:val="auto"/>
              </w:rPr>
            </w:pPr>
            <w:r>
              <w:rPr>
                <w:rFonts w:ascii="Arial" w:cs="Arial" w:eastAsia="Arial" w:hAnsi="Arial"/>
                <w:sz w:val="13"/>
                <w:szCs w:val="13"/>
                <w:b w:val="1"/>
                <w:bCs w:val="1"/>
                <w:color w:val="auto"/>
                <w:w w:val="90"/>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297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As of June 30, 2013, the Company had $2.6 million of unrecognized compensation expense related to unvested stock options, which is expected to be recognized over an estimated weighted-average period of 3.0 years.</w:t>
      </w:r>
    </w:p>
    <w:p>
      <w:pPr>
        <w:spacing w:after="0" w:line="170"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The estimated grant date fair value of employee stock options was calculated using the Black-Scholes option-pricing valuation model, based on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205"/>
              <w:spacing w:after="0"/>
              <w:rPr>
                <w:sz w:val="20"/>
                <w:szCs w:val="20"/>
                <w:color w:val="auto"/>
              </w:rPr>
            </w:pPr>
            <w:r>
              <w:rPr>
                <w:rFonts w:ascii="Arial" w:cs="Arial" w:eastAsia="Arial" w:hAnsi="Arial"/>
                <w:sz w:val="13"/>
                <w:szCs w:val="13"/>
                <w:b w:val="1"/>
                <w:bCs w:val="1"/>
                <w:color w:val="auto"/>
                <w:w w:val="92"/>
              </w:rPr>
              <w:t>June 30,</w:t>
            </w:r>
          </w:p>
        </w:tc>
        <w:tc>
          <w:tcPr>
            <w:tcW w:w="700" w:type="dxa"/>
            <w:vAlign w:val="bottom"/>
            <w:tcBorders>
              <w:bottom w:val="single" w:sz="8" w:color="auto"/>
            </w:tcBorders>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5"/>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20"/>
              <w:spacing w:after="0" w:line="138" w:lineRule="exact"/>
              <w:rPr>
                <w:sz w:val="20"/>
                <w:szCs w:val="20"/>
                <w:color w:val="auto"/>
              </w:rPr>
            </w:pPr>
            <w:r>
              <w:rPr>
                <w:rFonts w:ascii="Arial" w:cs="Arial" w:eastAsia="Arial" w:hAnsi="Arial"/>
                <w:sz w:val="13"/>
                <w:szCs w:val="13"/>
                <w:b w:val="1"/>
                <w:bCs w:val="1"/>
                <w:color w:val="auto"/>
                <w:w w:val="89"/>
              </w:rPr>
              <w:t>2013</w:t>
            </w: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83.06</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- 83.69%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- 81.41%</w:t>
            </w:r>
          </w:p>
        </w:tc>
      </w:tr>
      <w:tr>
        <w:trPr>
          <w:trHeight w:val="210"/>
        </w:trPr>
        <w:tc>
          <w:tcPr>
            <w:tcW w:w="5580" w:type="dxa"/>
            <w:vAlign w:val="bottom"/>
          </w:tcPr>
          <w:p>
            <w:pPr>
              <w:spacing w:after="0"/>
              <w:rPr>
                <w:sz w:val="20"/>
                <w:szCs w:val="20"/>
                <w:color w:val="auto"/>
              </w:rPr>
            </w:pPr>
            <w:r>
              <w:rPr>
                <w:rFonts w:ascii="Arial" w:cs="Arial" w:eastAsia="Arial" w:hAnsi="Arial"/>
                <w:sz w:val="17"/>
                <w:szCs w:val="17"/>
                <w:color w:val="auto"/>
              </w:rPr>
              <w:t>Weighted-average expected term (years)</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5.0 - 6.08</w:t>
            </w:r>
          </w:p>
        </w:tc>
        <w:tc>
          <w:tcPr>
            <w:tcW w:w="12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5.0 - 6.08</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- 1.60%</w:t>
            </w: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20" w:type="dxa"/>
            <w:vAlign w:val="bottom"/>
          </w:tcPr>
          <w:p>
            <w:pPr>
              <w:spacing w:after="0"/>
              <w:rPr>
                <w:sz w:val="18"/>
                <w:szCs w:val="18"/>
                <w:color w:val="auto"/>
              </w:rPr>
            </w:pPr>
          </w:p>
        </w:tc>
        <w:tc>
          <w:tcPr>
            <w:tcW w:w="700" w:type="dxa"/>
            <w:vAlign w:val="bottom"/>
          </w:tcPr>
          <w:p>
            <w:pPr>
              <w:jc w:val="center"/>
              <w:ind w:right="345"/>
              <w:spacing w:after="0"/>
              <w:rPr>
                <w:sz w:val="20"/>
                <w:szCs w:val="20"/>
                <w:color w:val="auto"/>
              </w:rPr>
            </w:pPr>
            <w:r>
              <w:rPr>
                <w:rFonts w:ascii="Arial" w:cs="Arial" w:eastAsia="Arial" w:hAnsi="Arial"/>
                <w:sz w:val="17"/>
                <w:szCs w:val="17"/>
                <w:color w:val="auto"/>
                <w:w w:val="97"/>
              </w:rPr>
              <w:t>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center"/>
              <w:ind w:right="340"/>
              <w:spacing w:after="0"/>
              <w:rPr>
                <w:sz w:val="20"/>
                <w:szCs w:val="20"/>
                <w:color w:val="auto"/>
              </w:rPr>
            </w:pPr>
            <w:r>
              <w:rPr>
                <w:rFonts w:ascii="Arial" w:cs="Arial" w:eastAsia="Arial" w:hAnsi="Arial"/>
                <w:sz w:val="17"/>
                <w:szCs w:val="17"/>
                <w:color w:val="auto"/>
                <w:w w:val="97"/>
              </w:rPr>
              <w:t>0%</w:t>
            </w:r>
          </w:p>
        </w:tc>
      </w:tr>
    </w:tbl>
    <w:p>
      <w:pPr>
        <w:spacing w:after="0" w:line="195"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7"/>
          <w:szCs w:val="17"/>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8.73 years to 9.69 years as of June 30, 2012 and 8.22 years to 9.43 years as of June 30, 2013; risk free rate is based on the U.S. Treasury Constant Maturity rate with a term similar to the expected life of the option at the measurement date ranging from 1.43%-1.61% as of June 30, 2012 and 2.19%-2.41% as of June 30, 2013; expected dividend yield of 0%; and volatilities ranging from 82.48% to 82.96% as of June 30, 2012 and 79.01% to 79.58% as of June 30, 2013.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66"/>
        <w:spacing w:after="0" w:line="270" w:lineRule="auto"/>
        <w:rPr>
          <w:sz w:val="20"/>
          <w:szCs w:val="20"/>
          <w:color w:val="auto"/>
        </w:rPr>
      </w:pPr>
      <w:r>
        <w:rPr>
          <w:rFonts w:ascii="Arial" w:cs="Arial" w:eastAsia="Arial" w:hAnsi="Arial"/>
          <w:sz w:val="17"/>
          <w:szCs w:val="17"/>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June 30, 2013, respectively, and is included in accrued liabilities in the balance sheet.</w:t>
      </w:r>
    </w:p>
    <w:p>
      <w:pPr>
        <w:spacing w:after="0" w:line="179" w:lineRule="exact"/>
        <w:rPr>
          <w:sz w:val="20"/>
          <w:szCs w:val="20"/>
          <w:color w:val="auto"/>
        </w:rPr>
      </w:pPr>
    </w:p>
    <w:p>
      <w:pPr>
        <w:jc w:val="both"/>
        <w:ind w:firstLine="357"/>
        <w:spacing w:after="0" w:line="282" w:lineRule="auto"/>
        <w:rPr>
          <w:sz w:val="20"/>
          <w:szCs w:val="20"/>
          <w:color w:val="auto"/>
        </w:rPr>
      </w:pPr>
      <w:r>
        <w:rPr>
          <w:rFonts w:ascii="Arial" w:cs="Arial" w:eastAsia="Arial" w:hAnsi="Arial"/>
          <w:sz w:val="17"/>
          <w:szCs w:val="17"/>
          <w:color w:val="auto"/>
        </w:rPr>
        <w:t>In February 2013, the Company's Board of Directors authorized the grant of 402,007 fully vested stock options at a fair value of approximately $0.65 resulting in $259,000 in expense in the year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December 31, 2012. The fair value of the stock options was determined using the Black-Scholes option-pricing valuation model. The grant date fair market value was $1.00 as determined by the Company's Board of Directors, the risk free rate was 0.88%, the expected life was 5.0 years, the volatility was determined to be 81.41% and there was no dividend yield.</w:t>
      </w:r>
    </w:p>
    <w:p>
      <w:pPr>
        <w:spacing w:after="0" w:line="179"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In February 2013, the Company granted its Chief Executive Officer an incentive stock option to purchase 50,000 shares of common stock with an exercise price of $1.00 per share and a contractual term of 10 years. The option will only vest if an initial public offering or merger occurs in 2013. The Company has not recorded any compensation expense related to this option grant as the vesting event is not deemed probable of occurring as of June 30, 2013.</w:t>
      </w:r>
    </w:p>
    <w:p>
      <w:pPr>
        <w:spacing w:after="0" w:line="163" w:lineRule="exact"/>
        <w:rPr>
          <w:sz w:val="20"/>
          <w:szCs w:val="20"/>
          <w:color w:val="auto"/>
        </w:rPr>
      </w:pPr>
    </w:p>
    <w:p>
      <w:pPr>
        <w:jc w:val="both"/>
        <w:ind w:firstLine="365"/>
        <w:spacing w:after="0" w:line="282" w:lineRule="auto"/>
        <w:rPr>
          <w:sz w:val="20"/>
          <w:szCs w:val="20"/>
          <w:color w:val="auto"/>
        </w:rPr>
      </w:pPr>
      <w:r>
        <w:rPr>
          <w:rFonts w:ascii="Arial" w:cs="Arial" w:eastAsia="Arial" w:hAnsi="Arial"/>
          <w:sz w:val="17"/>
          <w:szCs w:val="17"/>
          <w:color w:val="auto"/>
        </w:rPr>
        <w:t>The following table summarizes equity-based compensation expense for the six months ended June 30, 2012 and 2013, which were included in the statements of operations and comprehensive loss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6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Genzyme Co–promotion Agreement</w:t>
      </w:r>
    </w:p>
    <w:p>
      <w:pPr>
        <w:spacing w:after="0" w:line="228" w:lineRule="exact"/>
        <w:rPr>
          <w:sz w:val="20"/>
          <w:szCs w:val="20"/>
          <w:color w:val="auto"/>
        </w:rPr>
      </w:pPr>
    </w:p>
    <w:p>
      <w:pPr>
        <w:jc w:val="both"/>
        <w:ind w:firstLine="427"/>
        <w:spacing w:after="0" w:line="297" w:lineRule="auto"/>
        <w:rPr>
          <w:sz w:val="20"/>
          <w:szCs w:val="20"/>
          <w:color w:val="auto"/>
        </w:rPr>
      </w:pPr>
      <w:r>
        <w:rPr>
          <w:rFonts w:ascii="Arial" w:cs="Arial" w:eastAsia="Arial" w:hAnsi="Arial"/>
          <w:sz w:val="15"/>
          <w:szCs w:val="15"/>
          <w:color w:val="auto"/>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arrangement, in part because after that period either party may terminate the agreement without penalty. The Company amortized $1.1 million and $1.3 million in the six months ended June 30, 2012 and 2013, respectively, which are reflected as a reduction to selling and marketing expenses in the statements of operations and comprehensive loss. The unamortized balance of the co-promotion fee is $6.4 million as of June 30, 2013.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Thyroid Cytology Partners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 operating expense costs for the leased facility. The Company does not have an ownership interest in or provide any form of financial or other support to TCP.</w:t>
      </w:r>
    </w:p>
    <w:p>
      <w:pPr>
        <w:spacing w:after="0" w:line="175" w:lineRule="exact"/>
        <w:rPr>
          <w:sz w:val="20"/>
          <w:szCs w:val="20"/>
          <w:color w:val="auto"/>
        </w:rPr>
      </w:pPr>
    </w:p>
    <w:p>
      <w:pPr>
        <w:jc w:val="both"/>
        <w:ind w:firstLine="386"/>
        <w:spacing w:after="0" w:line="322" w:lineRule="auto"/>
        <w:rPr>
          <w:sz w:val="20"/>
          <w:szCs w:val="20"/>
          <w:color w:val="auto"/>
        </w:rPr>
      </w:pPr>
      <w:r>
        <w:rPr>
          <w:rFonts w:ascii="Arial" w:cs="Arial" w:eastAsia="Arial" w:hAnsi="Arial"/>
          <w:sz w:val="15"/>
          <w:szCs w:val="15"/>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45"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TCP provided $643,000 and $1.5 million in cytopathology testing and evaluation services in the six months ended June 30, 2012 and 2013, respectively. The Company also reimbursed TCP for licensure fees of $58,000 and $0 in six months ended June 30, 2012 and 2013, respectively. Expenses for testing and evaluation services and reimbursed professional licensure fees are included in cost of revenue in the statements of operations and comprehensive loss. The Company's outstanding obligations to TCP were $458,000 and $536,000 as of December 31, 2012 and June 30, 2013, respectively, which were included in accounts payable in the Company's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six months ended June 30, 2012 and 2103 (in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60" w:type="dxa"/>
            <w:vAlign w:val="bottom"/>
            <w:gridSpan w:val="6"/>
          </w:tcPr>
          <w:p>
            <w:pPr>
              <w:ind w:left="3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2,553,287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3,250,863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880" w:type="dxa"/>
            <w:vAlign w:val="bottom"/>
            <w:vMerge w:val="restart"/>
          </w:tcPr>
          <w:p>
            <w:pPr>
              <w:ind w:left="3840"/>
              <w:spacing w:after="0"/>
              <w:rPr>
                <w:sz w:val="20"/>
                <w:szCs w:val="20"/>
                <w:color w:val="auto"/>
              </w:rPr>
            </w:pPr>
            <w:r>
              <w:rPr>
                <w:rFonts w:ascii="Arial" w:cs="Arial" w:eastAsia="Arial" w:hAnsi="Arial"/>
                <w:sz w:val="17"/>
                <w:szCs w:val="17"/>
                <w:color w:val="auto"/>
              </w:rPr>
              <w:t>F-43</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 (Continued)</w:t>
      </w:r>
    </w:p>
    <w:p>
      <w:pPr>
        <w:spacing w:after="0" w:line="228" w:lineRule="exact"/>
        <w:rPr>
          <w:sz w:val="20"/>
          <w:szCs w:val="20"/>
          <w:color w:val="auto"/>
        </w:rPr>
      </w:pPr>
    </w:p>
    <w:p>
      <w:pPr>
        <w:ind w:firstLine="493"/>
        <w:spacing w:after="0" w:line="282" w:lineRule="auto"/>
        <w:rPr>
          <w:sz w:val="20"/>
          <w:szCs w:val="20"/>
          <w:color w:val="auto"/>
        </w:rPr>
      </w:pPr>
      <w:r>
        <w:rPr>
          <w:rFonts w:ascii="Arial" w:cs="Arial" w:eastAsia="Arial" w:hAnsi="Arial"/>
          <w:sz w:val="17"/>
          <w:szCs w:val="17"/>
          <w:color w:val="auto"/>
        </w:rPr>
        <w:t>The following outstanding common stock equivalents were excluded from the computation of diluted net loss per common share for the periods presented because including them would have been antidilutive:</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25"/>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59,989,268</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900" w:type="dxa"/>
            <w:vAlign w:val="bottom"/>
          </w:tcPr>
          <w:p>
            <w:pPr>
              <w:jc w:val="right"/>
              <w:spacing w:after="0"/>
              <w:rPr>
                <w:sz w:val="20"/>
                <w:szCs w:val="20"/>
                <w:color w:val="auto"/>
              </w:rPr>
            </w:pPr>
            <w:r>
              <w:rPr>
                <w:rFonts w:ascii="Arial" w:cs="Arial" w:eastAsia="Arial" w:hAnsi="Arial"/>
                <w:sz w:val="17"/>
                <w:szCs w:val="17"/>
                <w:color w:val="auto"/>
              </w:rPr>
              <w:t>8,489,352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9,681,245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99,206</w:t>
            </w:r>
          </w:p>
        </w:tc>
        <w:tc>
          <w:tcPr>
            <w:tcW w:w="160" w:type="dxa"/>
            <w:vAlign w:val="bottom"/>
            <w:shd w:val="clear" w:color="auto" w:fill="CCEEFF"/>
          </w:tcPr>
          <w:p>
            <w:pPr>
              <w:spacing w:after="0"/>
              <w:rPr>
                <w:sz w:val="18"/>
                <w:szCs w:val="18"/>
                <w:color w:val="auto"/>
              </w:rPr>
            </w:pPr>
          </w:p>
        </w:tc>
      </w:tr>
      <w:tr>
        <w:trPr>
          <w:trHeight w:val="26"/>
        </w:trPr>
        <w:tc>
          <w:tcPr>
            <w:tcW w:w="5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53,637,351</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69,769,719</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common share during the six months ended June 30, 2013 (in thousands, except share and per share amounts):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Net loss used in computing pro forma net loss per common share, 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3,250,863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53,530,881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computing pro forma net loss per common share, basic and 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56,781,744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40" w:type="dxa"/>
            <w:vAlign w:val="bottom"/>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4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Subsequent Events</w:t>
      </w:r>
    </w:p>
    <w:p>
      <w:pPr>
        <w:spacing w:after="0" w:line="228"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The Company has evaluated subsequent events through August 30, 2013, the date the unaudited interim financial statements for the six months ended June 30, 2013 were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76936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769366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2" w:name="page173"/>
    <w:bookmarkEnd w:id="1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17087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170878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The following table sets forth the various expenses expected to be incurred by the Registrant in connection with the sale and distribution of the securities being registered hereby, other than underwriting discounts and commissions. All amounts are estimated except the Securities and Exchange Commission registration fee and the Financial Industry Regulatory Authority, Inc. filing fee.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Financial Industry Regulatory Authority, Inc. filing fee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NASDAQ Stock Market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Registrar and transfer agent fees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410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20" w:hanging="515"/>
        <w:spacing w:after="0"/>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27305</wp:posOffset>
            </wp:positionV>
            <wp:extent cx="3829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28" w:lineRule="exact"/>
        <w:rPr>
          <w:sz w:val="20"/>
          <w:szCs w:val="20"/>
          <w:color w:val="auto"/>
        </w:rPr>
      </w:pPr>
    </w:p>
    <w:p>
      <w:pPr>
        <w:ind w:left="440" w:hanging="435"/>
        <w:spacing w:after="0"/>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31115</wp:posOffset>
            </wp:positionV>
            <wp:extent cx="3829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290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47625</wp:posOffset>
            </wp:positionV>
            <wp:extent cx="3829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816" w:lineRule="exact"/>
        <w:rPr>
          <w:sz w:val="20"/>
          <w:szCs w:val="20"/>
          <w:color w:val="auto"/>
        </w:rPr>
      </w:pPr>
    </w:p>
    <w:p>
      <w:pPr>
        <w:sectPr>
          <w:pgSz w:w="11900" w:h="16838" w:orient="portrait"/>
          <w:cols w:equalWidth="0" w:num="2">
            <w:col w:w="9040" w:space="720"/>
            <w:col w:w="1660"/>
          </w:cols>
          <w:pgMar w:left="240" w:top="131" w:right="239" w:bottom="1440" w:gutter="0" w:footer="0" w:header="0"/>
          <w:type w:val="continuous"/>
        </w:sectPr>
      </w:pP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5"/>
          <w:szCs w:val="15"/>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of the Registrant's Restated Certificate of Incorporation (Exhibit 3.1(b) hereto), and Article of the Registrant's Amended and Restated Bylaws (Exhibit 3.2(b) hereto),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62"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The Underwriting Agreement (Exhibit 1.1 hereto) provides for indemnification by the Underwriters of us and our directors and officers for certain liabilities, including liabilities arising under the Securities Act of 1933 (the "Securities Act"), and affords certain rights of contribution with respect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sets forth information regarding all unregistered securities sold since January 1, 2010 through August 15, 2013:</w:t>
      </w:r>
    </w:p>
    <w:p>
      <w:pPr>
        <w:spacing w:after="0" w:line="224" w:lineRule="exact"/>
        <w:rPr>
          <w:sz w:val="20"/>
          <w:szCs w:val="20"/>
          <w:color w:val="auto"/>
        </w:rPr>
      </w:pPr>
    </w:p>
    <w:p>
      <w:pPr>
        <w:jc w:val="both"/>
        <w:ind w:firstLine="347"/>
        <w:spacing w:after="0" w:line="287" w:lineRule="auto"/>
        <w:rPr>
          <w:sz w:val="20"/>
          <w:szCs w:val="20"/>
          <w:color w:val="auto"/>
        </w:rPr>
      </w:pPr>
      <w:r>
        <w:rPr>
          <w:rFonts w:ascii="Arial" w:cs="Arial" w:eastAsia="Arial" w:hAnsi="Arial"/>
          <w:sz w:val="17"/>
          <w:szCs w:val="17"/>
          <w:color w:val="auto"/>
        </w:rPr>
        <w:t>From June 4, 2010 to July 26, 2011, the Registrant issued and sold an aggregate of 22,748,000 shares of its Series B convertible preferred stock at $1.25 per share to 10 accredited investors for aggregate consideration of $28,435,000.</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7"/>
          <w:szCs w:val="17"/>
          <w:color w:val="auto"/>
        </w:rPr>
        <w:t>From November 6, 2012 to June 27, 2013, the Registrant issued and sold an aggregate of 14,841,269 shares of its Series C convertible preferred stock at $1.89 per share to 11 accredited investors for aggregate consideration of $28,049,998.</w:t>
      </w:r>
      <w:r>
        <w:rPr>
          <w:rFonts w:ascii="Arial" w:cs="Arial" w:eastAsia="Arial" w:hAnsi="Arial"/>
          <w:sz w:val="28"/>
          <w:szCs w:val="28"/>
          <w:color w:val="auto"/>
          <w:vertAlign w:val="superscript"/>
        </w:rPr>
        <w:t>(1)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4" w:name="page175"/>
    <w:bookmarkEnd w:id="1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Registrant has granted to its directors, officers and employees options to purchase 10,748,984 shares of common stock under the Registrant's 2008 Stock Plan, as amended, with per share exercise prices ranging from $0.20 to $1.51, and issued 1,553,224 shares of common stock upon exercise of such options for aggregate consideration of $434,351, at exercise prices ranging from $0.02 to $1.00.</w:t>
      </w:r>
      <w:r>
        <w:rPr>
          <w:rFonts w:ascii="Arial" w:cs="Arial" w:eastAsia="Arial" w:hAnsi="Arial"/>
          <w:sz w:val="28"/>
          <w:szCs w:val="28"/>
          <w:color w:val="auto"/>
          <w:vertAlign w:val="superscript"/>
        </w:rPr>
        <w:t>(2)</w:t>
      </w:r>
    </w:p>
    <w:p>
      <w:pPr>
        <w:spacing w:after="0" w:line="58" w:lineRule="exact"/>
        <w:rPr>
          <w:sz w:val="20"/>
          <w:szCs w:val="20"/>
          <w:color w:val="auto"/>
        </w:rPr>
      </w:pPr>
    </w:p>
    <w:p>
      <w:pPr>
        <w:ind w:firstLine="393"/>
        <w:spacing w:after="0" w:line="28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83" w:lineRule="exact"/>
        <w:rPr>
          <w:sz w:val="20"/>
          <w:szCs w:val="20"/>
          <w:color w:val="auto"/>
        </w:rPr>
      </w:pPr>
    </w:p>
    <w:p>
      <w:pPr>
        <w:jc w:val="both"/>
        <w:ind w:left="1060" w:hanging="531"/>
        <w:spacing w:after="0" w:line="283"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99" w:lineRule="exact"/>
        <w:rPr>
          <w:rFonts w:ascii="Arial" w:cs="Arial" w:eastAsia="Arial" w:hAnsi="Arial"/>
          <w:sz w:val="16"/>
          <w:szCs w:val="16"/>
          <w:color w:val="auto"/>
        </w:rPr>
      </w:pPr>
    </w:p>
    <w:p>
      <w:pPr>
        <w:jc w:val="both"/>
        <w:ind w:left="1060" w:hanging="531"/>
        <w:spacing w:after="0" w:line="306" w:lineRule="auto"/>
        <w:tabs>
          <w:tab w:leader="none" w:pos="10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5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1" w:lineRule="exact"/>
        <w:rPr>
          <w:sz w:val="20"/>
          <w:szCs w:val="20"/>
          <w:color w:val="auto"/>
        </w:rPr>
      </w:pPr>
    </w:p>
    <w:p>
      <w:pPr>
        <w:ind w:left="520" w:hanging="515"/>
        <w:spacing w:after="0"/>
        <w:tabs>
          <w:tab w:leader="none" w:pos="520" w:val="left"/>
        </w:tabs>
        <w:numPr>
          <w:ilvl w:val="0"/>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Exhibits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00" w:type="dxa"/>
            <w:vAlign w:val="bottom"/>
            <w:gridSpan w:val="3"/>
          </w:tcPr>
          <w:p>
            <w:pPr>
              <w:jc w:val="center"/>
              <w:ind w:right="3360"/>
              <w:spacing w:after="0"/>
              <w:rPr>
                <w:sz w:val="20"/>
                <w:szCs w:val="20"/>
                <w:color w:val="auto"/>
              </w:rPr>
            </w:pPr>
            <w:r>
              <w:rPr>
                <w:rFonts w:ascii="Arial" w:cs="Arial" w:eastAsia="Arial" w:hAnsi="Arial"/>
                <w:sz w:val="13"/>
                <w:szCs w:val="13"/>
                <w:b w:val="1"/>
                <w:bCs w:val="1"/>
                <w:color w:val="auto"/>
                <w:w w:val="92"/>
              </w:rPr>
              <w:t>Exhibit</w:t>
            </w:r>
          </w:p>
        </w:tc>
        <w:tc>
          <w:tcPr>
            <w:tcW w:w="5120" w:type="dxa"/>
            <w:vAlign w:val="bottom"/>
          </w:tcPr>
          <w:p>
            <w:pPr>
              <w:spacing w:after="0"/>
              <w:rPr>
                <w:sz w:val="13"/>
                <w:szCs w:val="13"/>
                <w:color w:val="auto"/>
              </w:rPr>
            </w:pPr>
          </w:p>
        </w:tc>
      </w:tr>
      <w:tr>
        <w:trPr>
          <w:trHeight w:val="157"/>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320" w:type="dxa"/>
            <w:vAlign w:val="bottom"/>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Description</w:t>
            </w:r>
          </w:p>
        </w:tc>
      </w:tr>
      <w:tr>
        <w:trPr>
          <w:trHeight w:val="208"/>
        </w:trPr>
        <w:tc>
          <w:tcPr>
            <w:tcW w:w="4000" w:type="dxa"/>
            <w:vAlign w:val="bottom"/>
            <w:gridSpan w:val="3"/>
          </w:tcPr>
          <w:p>
            <w:pPr>
              <w:ind w:left="420"/>
              <w:spacing w:after="0"/>
              <w:rPr>
                <w:sz w:val="20"/>
                <w:szCs w:val="20"/>
                <w:color w:val="auto"/>
              </w:rPr>
            </w:pPr>
            <w:r>
              <w:rPr>
                <w:rFonts w:ascii="Arial" w:cs="Arial" w:eastAsia="Arial" w:hAnsi="Arial"/>
                <w:sz w:val="17"/>
                <w:szCs w:val="17"/>
                <w:color w:val="auto"/>
              </w:rPr>
              <w:t>1.1*   Form of Underwriting Agreement.</w:t>
            </w:r>
          </w:p>
        </w:tc>
        <w:tc>
          <w:tcPr>
            <w:tcW w:w="5120" w:type="dxa"/>
            <w:vAlign w:val="bottom"/>
          </w:tcPr>
          <w:p>
            <w:pPr>
              <w:spacing w:after="0"/>
              <w:rPr>
                <w:sz w:val="18"/>
                <w:szCs w:val="18"/>
                <w:color w:val="auto"/>
              </w:rPr>
            </w:pPr>
          </w:p>
        </w:tc>
      </w:tr>
    </w:tbl>
    <w:p>
      <w:pPr>
        <w:ind w:left="1560"/>
        <w:spacing w:after="0"/>
        <w:rPr>
          <w:sz w:val="20"/>
          <w:szCs w:val="20"/>
          <w:color w:val="auto"/>
        </w:rPr>
      </w:pPr>
      <w:r>
        <w:rPr>
          <w:rFonts w:ascii="Arial" w:cs="Arial" w:eastAsia="Arial" w:hAnsi="Arial"/>
          <w:sz w:val="17"/>
          <w:szCs w:val="17"/>
          <w:color w:val="auto"/>
        </w:rPr>
        <w:t>3.1(a)+ Fourth Amended and Restated Certificate of Incorporation of the Registrant, as amended.</w:t>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3.1(b)* Form of Restated Certificate of Incorporation of the Registrant, to be in effect upon the completion of this offering.</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3.2(a)+ Bylaws of the Registrant.</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3.2(b)* Form of Amended and Restated Bylaws of the Registrant, to be in effect upon the completion of this offering.</w:t>
      </w:r>
    </w:p>
    <w:p>
      <w:pPr>
        <w:spacing w:after="0" w:line="14"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Form of Common Stock Certificate.</w:t>
      </w:r>
    </w:p>
    <w:p>
      <w:pPr>
        <w:spacing w:after="0" w:line="14" w:lineRule="exact"/>
        <w:rPr>
          <w:sz w:val="20"/>
          <w:szCs w:val="20"/>
          <w:color w:val="auto"/>
        </w:rPr>
      </w:pPr>
    </w:p>
    <w:p>
      <w:pPr>
        <w:ind w:left="2080" w:right="1560" w:hanging="527"/>
        <w:spacing w:after="0" w:line="257" w:lineRule="auto"/>
        <w:tabs>
          <w:tab w:leader="none" w:pos="2060" w:val="left"/>
        </w:tabs>
        <w:rPr>
          <w:sz w:val="20"/>
          <w:szCs w:val="20"/>
          <w:color w:val="auto"/>
        </w:rPr>
      </w:pPr>
      <w:r>
        <w:rPr>
          <w:rFonts w:ascii="Arial" w:cs="Arial" w:eastAsia="Arial" w:hAnsi="Arial"/>
          <w:sz w:val="17"/>
          <w:szCs w:val="17"/>
          <w:color w:val="auto"/>
        </w:rPr>
        <w:t>4.2+</w:t>
        <w:tab/>
        <w:t>Second Amended and Restated Investors Rights Agreement, dated November 6, 2012, between the Registrant and certain investors.</w:t>
      </w:r>
    </w:p>
    <w:p>
      <w:pPr>
        <w:spacing w:after="0" w:line="1" w:lineRule="exact"/>
        <w:rPr>
          <w:sz w:val="20"/>
          <w:szCs w:val="20"/>
          <w:color w:val="auto"/>
        </w:rPr>
      </w:pPr>
    </w:p>
    <w:p>
      <w:pPr>
        <w:ind w:left="2080" w:right="1840" w:hanging="527"/>
        <w:spacing w:after="0" w:line="257" w:lineRule="auto"/>
        <w:tabs>
          <w:tab w:leader="none" w:pos="2060" w:val="left"/>
        </w:tabs>
        <w:rPr>
          <w:sz w:val="20"/>
          <w:szCs w:val="20"/>
          <w:color w:val="auto"/>
        </w:rPr>
      </w:pPr>
      <w:r>
        <w:rPr>
          <w:rFonts w:ascii="Arial" w:cs="Arial" w:eastAsia="Arial" w:hAnsi="Arial"/>
          <w:sz w:val="17"/>
          <w:szCs w:val="17"/>
          <w:color w:val="auto"/>
        </w:rPr>
        <w:t>4.3+</w:t>
        <w:tab/>
        <w:t>Amendment to Second Amended and Restated Investors Rights Agreement, dated June 14, 2013, between the Registrant and certain investors.</w:t>
      </w:r>
    </w:p>
    <w:p>
      <w:pPr>
        <w:spacing w:after="0" w:line="1"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Warrant to Purchase Series C Preferred Stock dated June 26, 2013.</w:t>
      </w:r>
    </w:p>
    <w:p>
      <w:pPr>
        <w:spacing w:after="0" w:line="14"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Opinion of Pillsbury Winthrop Shaw Pittman LLP.</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Form of Indemnification Agreement between the Registrant and its officers and directors.</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2008 Stock Plan and forms of agreements thereunder.</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2013 Stock Incentive Plan and forms of agreements thereunder.</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Lease Agreement dated as of February 10, 2010 between ARE-San Francisco No 17, LLC and the Registrant.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43"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91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19685</wp:posOffset>
            </wp:positionV>
            <wp:extent cx="52025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0255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5140" w:space="720"/>
            <w:col w:w="5560"/>
          </w:cols>
          <w:pgMar w:left="240" w:top="131" w:right="239" w:bottom="1440" w:gutter="0" w:footer="0" w:header="0"/>
          <w:type w:val="continuous"/>
        </w:sectPr>
      </w:pPr>
    </w:p>
    <w:p>
      <w:pPr>
        <w:ind w:left="2080" w:right="1380" w:hanging="612"/>
        <w:spacing w:after="0" w:line="256" w:lineRule="auto"/>
        <w:tabs>
          <w:tab w:leader="none" w:pos="2060" w:val="left"/>
        </w:tabs>
        <w:rPr>
          <w:sz w:val="20"/>
          <w:szCs w:val="20"/>
          <w:color w:val="auto"/>
        </w:rPr>
      </w:pPr>
      <w:r>
        <w:rPr>
          <w:rFonts w:ascii="Arial" w:cs="Arial" w:eastAsia="Arial" w:hAnsi="Arial"/>
          <w:sz w:val="17"/>
          <w:szCs w:val="17"/>
          <w:color w:val="auto"/>
        </w:rPr>
        <w:t>10.5+</w:t>
        <w:tab/>
        <w:t>First Amendment to Lease Agreement entered into as of July 11, 2012 between ARE-San Francisco No 17, LLC and the Registrant.</w:t>
      </w:r>
    </w:p>
    <w:p>
      <w:pPr>
        <w:spacing w:after="0" w:line="1"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5"/>
          <w:szCs w:val="15"/>
          <w:color w:val="auto"/>
        </w:rPr>
        <w:t>Lease Agreement between Riata Holdings, L.P., as landlord, and the Registrant, as tenant, dated November 28, 2012.</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5"/>
          <w:szCs w:val="15"/>
          <w:color w:val="auto"/>
        </w:rPr>
        <w:t>Co-Promotion Agreement dated as of January 18, 2012 between Genzyme Corporation and the Registrant.</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5"/>
          <w:szCs w:val="15"/>
          <w:color w:val="auto"/>
        </w:rPr>
        <w:t>Amendment to Co-Promotion Agreement, effective April 9, 2013, between Genzyme Corporation and the Registrant.</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5"/>
          <w:szCs w:val="15"/>
          <w:color w:val="auto"/>
        </w:rPr>
        <w:t>Loan and Security Agreement dated as of June 26, 2013 between Silicon Valley Bank and the Registrant.</w:t>
      </w:r>
    </w:p>
    <w:p>
      <w:pPr>
        <w:spacing w:after="0" w:line="14"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5"/>
          <w:szCs w:val="15"/>
          <w:color w:val="auto"/>
        </w:rPr>
        <w:t>Employment Agreement, dated as of February 15, 2008, between Bonnie Anderson and the Registrant.</w:t>
      </w:r>
    </w:p>
    <w:p>
      <w:pPr>
        <w:spacing w:after="0" w:line="14" w:lineRule="exact"/>
        <w:rPr>
          <w:sz w:val="20"/>
          <w:szCs w:val="20"/>
          <w:color w:val="auto"/>
        </w:rPr>
      </w:pPr>
    </w:p>
    <w:p>
      <w:pPr>
        <w:ind w:left="2080" w:right="1260" w:hanging="691"/>
        <w:spacing w:after="0" w:line="257" w:lineRule="auto"/>
        <w:tabs>
          <w:tab w:leader="none" w:pos="2060" w:val="left"/>
        </w:tabs>
        <w:rPr>
          <w:sz w:val="20"/>
          <w:szCs w:val="20"/>
          <w:color w:val="auto"/>
        </w:rPr>
      </w:pPr>
      <w:r>
        <w:rPr>
          <w:rFonts w:ascii="Arial" w:cs="Arial" w:eastAsia="Arial" w:hAnsi="Arial"/>
          <w:sz w:val="17"/>
          <w:szCs w:val="17"/>
          <w:color w:val="auto"/>
        </w:rPr>
        <w:t>10.11#+</w:t>
        <w:tab/>
        <w:t>Amendment to Bonnie Anderson Employment Agreement, dated as of December 22, 2008, between Bonnie Anderson and the Registrant</w:t>
      </w:r>
    </w:p>
    <w:p>
      <w:pPr>
        <w:spacing w:after="0" w:line="1" w:lineRule="exact"/>
        <w:rPr>
          <w:sz w:val="20"/>
          <w:szCs w:val="20"/>
          <w:color w:val="auto"/>
        </w:rPr>
      </w:pPr>
    </w:p>
    <w:p>
      <w:pPr>
        <w:ind w:left="2080" w:right="1580" w:hanging="697"/>
        <w:spacing w:after="0" w:line="257" w:lineRule="auto"/>
        <w:tabs>
          <w:tab w:leader="none" w:pos="2060" w:val="left"/>
        </w:tabs>
        <w:rPr>
          <w:sz w:val="20"/>
          <w:szCs w:val="20"/>
          <w:color w:val="auto"/>
        </w:rPr>
      </w:pPr>
      <w:r>
        <w:rPr>
          <w:rFonts w:ascii="Arial" w:cs="Arial" w:eastAsia="Arial" w:hAnsi="Arial"/>
          <w:sz w:val="17"/>
          <w:szCs w:val="17"/>
          <w:color w:val="auto"/>
        </w:rPr>
        <w:t>10.12#+</w:t>
        <w:tab/>
        <w:t>Amendment No. 2 to Bonnie Anderson Employment Agreement, effective as of March 11, 2009, between Bonnie Anderson and the Registrant.</w:t>
      </w:r>
    </w:p>
    <w:p>
      <w:pPr>
        <w:spacing w:after="0" w:line="1" w:lineRule="exact"/>
        <w:rPr>
          <w:sz w:val="20"/>
          <w:szCs w:val="20"/>
          <w:color w:val="auto"/>
        </w:rPr>
      </w:pPr>
    </w:p>
    <w:p>
      <w:pPr>
        <w:ind w:left="2080" w:right="1580" w:hanging="697"/>
        <w:spacing w:after="0" w:line="257" w:lineRule="auto"/>
        <w:tabs>
          <w:tab w:leader="none" w:pos="2060" w:val="left"/>
        </w:tabs>
        <w:rPr>
          <w:sz w:val="20"/>
          <w:szCs w:val="20"/>
          <w:color w:val="auto"/>
        </w:rPr>
      </w:pPr>
      <w:r>
        <w:rPr>
          <w:rFonts w:ascii="Arial" w:cs="Arial" w:eastAsia="Arial" w:hAnsi="Arial"/>
          <w:sz w:val="17"/>
          <w:szCs w:val="17"/>
          <w:color w:val="auto"/>
        </w:rPr>
        <w:t>10.13#+</w:t>
        <w:tab/>
        <w:t>Change of Control and Severance Agreement, effective as of August 24, 2012, between Bonnie Anderson and the Registrant.</w:t>
      </w:r>
    </w:p>
    <w:p>
      <w:pPr>
        <w:spacing w:after="0" w:line="1" w:lineRule="exact"/>
        <w:rPr>
          <w:sz w:val="20"/>
          <w:szCs w:val="20"/>
          <w:color w:val="auto"/>
        </w:rPr>
      </w:pPr>
    </w:p>
    <w:p>
      <w:pPr>
        <w:ind w:left="2080" w:right="1640" w:hanging="697"/>
        <w:spacing w:after="0" w:line="257" w:lineRule="auto"/>
        <w:tabs>
          <w:tab w:leader="none" w:pos="2060" w:val="left"/>
        </w:tabs>
        <w:rPr>
          <w:sz w:val="20"/>
          <w:szCs w:val="20"/>
          <w:color w:val="auto"/>
        </w:rPr>
      </w:pPr>
      <w:r>
        <w:rPr>
          <w:rFonts w:ascii="Arial" w:cs="Arial" w:eastAsia="Arial" w:hAnsi="Arial"/>
          <w:sz w:val="17"/>
          <w:szCs w:val="17"/>
          <w:color w:val="auto"/>
        </w:rPr>
        <w:t>10.14#+</w:t>
        <w:tab/>
        <w:t>Change of Control and Severance Agreement, effective as of August 24, 2012, between Christopher Hall and the Registrant.</w:t>
      </w:r>
    </w:p>
    <w:p>
      <w:pPr>
        <w:spacing w:after="0" w:line="1"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Change of Control and Severance Agreement, effective as of April 8, 2013, between Shelly Guyer and the Registrant.</w:t>
      </w:r>
    </w:p>
    <w:p>
      <w:pPr>
        <w:spacing w:after="0" w:line="14"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5"/>
          <w:szCs w:val="15"/>
          <w:color w:val="auto"/>
        </w:rPr>
        <w:t>Executive Bonus Plan</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5"/>
          <w:szCs w:val="15"/>
          <w:color w:val="auto"/>
        </w:rPr>
        <w:t>Consent of Pillsbury Winthrop Shaw Pittman LLP (included in Exhibit 5.1)</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Power of Attorney (see page II-5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410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329" w:lineRule="exact"/>
        <w:rPr>
          <w:sz w:val="20"/>
          <w:szCs w:val="20"/>
          <w:color w:val="auto"/>
        </w:rPr>
      </w:pPr>
    </w:p>
    <w:p>
      <w:pPr>
        <w:ind w:left="520" w:hanging="515"/>
        <w:spacing w:after="0"/>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37" w:lineRule="exact"/>
        <w:rPr>
          <w:sz w:val="20"/>
          <w:szCs w:val="20"/>
          <w:color w:val="auto"/>
        </w:rPr>
      </w:pPr>
    </w:p>
    <w:p>
      <w:pPr>
        <w:ind w:left="520" w:hanging="515"/>
        <w:spacing w:after="0"/>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3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jc w:val="both"/>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376"/>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w:t>
      </w:r>
    </w:p>
    <w:p>
      <w:pPr>
        <w:spacing w:after="0" w:line="32"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color w:val="auto"/>
        </w:rPr>
        <w:t>undersigned, thereunto duly authorized in the City of South San Francisco, State of California, on the</w:t>
      </w:r>
      <w:r>
        <w:rPr>
          <w:sz w:val="20"/>
          <w:szCs w:val="20"/>
          <w:color w:val="auto"/>
        </w:rPr>
        <w:tab/>
      </w:r>
      <w:r>
        <w:rPr>
          <w:rFonts w:ascii="Arial" w:cs="Arial" w:eastAsia="Arial" w:hAnsi="Arial"/>
          <w:sz w:val="15"/>
          <w:szCs w:val="15"/>
          <w:color w:val="auto"/>
        </w:rPr>
        <w:t>day of August, 2013.</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Bonnie H. Anderson</w:t>
      </w:r>
    </w:p>
    <w:p>
      <w:pPr>
        <w:spacing w:after="0" w:line="2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28" w:lineRule="exact"/>
        <w:rPr>
          <w:sz w:val="20"/>
          <w:szCs w:val="20"/>
          <w:color w:val="auto"/>
        </w:rPr>
      </w:pPr>
    </w:p>
    <w:p>
      <w:pPr>
        <w:jc w:val="both"/>
        <w:ind w:firstLine="384"/>
        <w:spacing w:after="0" w:line="261" w:lineRule="auto"/>
        <w:rPr>
          <w:sz w:val="20"/>
          <w:szCs w:val="20"/>
          <w:color w:val="auto"/>
        </w:rPr>
      </w:pPr>
      <w:r>
        <w:rPr>
          <w:rFonts w:ascii="Arial" w:cs="Arial" w:eastAsia="Arial" w:hAnsi="Arial"/>
          <w:sz w:val="17"/>
          <w:szCs w:val="17"/>
          <w:color w:val="auto"/>
        </w:rPr>
        <w:t>KNOW ALL PERSONS BY THESE PRESENTS that each person whose signatures appears below constitutes and appoints Bonnie H. Anderson and Shelly D. Guyer,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7"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218" w:lineRule="exact"/>
        <w:rPr>
          <w:sz w:val="20"/>
          <w:szCs w:val="20"/>
          <w:color w:val="auto"/>
        </w:rPr>
      </w:pPr>
    </w:p>
    <w:tbl>
      <w:tblPr>
        <w:tblLayout w:type="fixed"/>
        <w:tblInd w:w="1220" w:type="dxa"/>
        <w:tblCellMar>
          <w:top w:w="0" w:type="dxa"/>
          <w:left w:w="0" w:type="dxa"/>
          <w:bottom w:w="0" w:type="dxa"/>
          <w:right w:w="0" w:type="dxa"/>
        </w:tblCellMar>
      </w:tblPr>
      <w:tr>
        <w:trPr>
          <w:trHeight w:val="157"/>
        </w:trPr>
        <w:tc>
          <w:tcPr>
            <w:tcW w:w="1600" w:type="dxa"/>
            <w:vAlign w:val="bottom"/>
          </w:tcPr>
          <w:p>
            <w:pPr>
              <w:spacing w:after="0"/>
              <w:rPr>
                <w:sz w:val="13"/>
                <w:szCs w:val="13"/>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Name</w:t>
            </w: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Title</w:t>
            </w:r>
          </w:p>
        </w:tc>
        <w:tc>
          <w:tcPr>
            <w:tcW w:w="1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00" w:type="dxa"/>
            <w:vAlign w:val="bottom"/>
            <w:gridSpan w:val="2"/>
          </w:tcPr>
          <w:p>
            <w:pPr>
              <w:ind w:left="180"/>
              <w:spacing w:after="0" w:line="194" w:lineRule="exact"/>
              <w:rPr>
                <w:sz w:val="20"/>
                <w:szCs w:val="20"/>
                <w:color w:val="auto"/>
              </w:rPr>
            </w:pPr>
            <w:r>
              <w:rPr>
                <w:rFonts w:ascii="Arial" w:cs="Arial" w:eastAsia="Arial" w:hAnsi="Arial"/>
                <w:sz w:val="17"/>
                <w:szCs w:val="17"/>
                <w:color w:val="auto"/>
                <w:w w:val="95"/>
              </w:rPr>
              <w:t>President, Chief Executive</w:t>
            </w:r>
          </w:p>
        </w:tc>
        <w:tc>
          <w:tcPr>
            <w:tcW w:w="1700" w:type="dxa"/>
            <w:vAlign w:val="bottom"/>
          </w:tcPr>
          <w:p>
            <w:pPr>
              <w:spacing w:after="0" w:line="194" w:lineRule="exact"/>
              <w:rPr>
                <w:sz w:val="20"/>
                <w:szCs w:val="20"/>
                <w:color w:val="auto"/>
              </w:rPr>
            </w:pPr>
            <w:r>
              <w:rPr>
                <w:rFonts w:ascii="Arial" w:cs="Arial" w:eastAsia="Arial" w:hAnsi="Arial"/>
                <w:sz w:val="17"/>
                <w:szCs w:val="17"/>
                <w:color w:val="auto"/>
              </w:rPr>
              <w:t>Officer (Principal</w:t>
            </w:r>
          </w:p>
        </w:tc>
        <w:tc>
          <w:tcPr>
            <w:tcW w:w="1040" w:type="dxa"/>
            <w:vAlign w:val="bottom"/>
            <w:gridSpan w:val="2"/>
          </w:tcPr>
          <w:p>
            <w:pPr>
              <w:ind w:left="340"/>
              <w:spacing w:after="0" w:line="194" w:lineRule="exact"/>
              <w:rPr>
                <w:sz w:val="20"/>
                <w:szCs w:val="20"/>
                <w:color w:val="auto"/>
              </w:rPr>
            </w:pPr>
            <w:r>
              <w:rPr>
                <w:rFonts w:ascii="Arial" w:cs="Arial" w:eastAsia="Arial" w:hAnsi="Arial"/>
                <w:sz w:val="17"/>
                <w:szCs w:val="17"/>
                <w:color w:val="auto"/>
              </w:rPr>
              <w:t>August</w:t>
            </w:r>
          </w:p>
        </w:tc>
        <w:tc>
          <w:tcPr>
            <w:tcW w:w="42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100"/>
        </w:trPr>
        <w:tc>
          <w:tcPr>
            <w:tcW w:w="1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Executive Officer) and Director</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1"/>
              </w:rPr>
              <w:t>Bonnie H. Anderson</w:t>
            </w:r>
          </w:p>
        </w:tc>
        <w:tc>
          <w:tcPr>
            <w:tcW w:w="380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continue"/>
          </w:tcPr>
          <w:p>
            <w:pPr>
              <w:spacing w:after="0"/>
              <w:rPr>
                <w:sz w:val="15"/>
                <w:szCs w:val="15"/>
                <w:color w:val="auto"/>
              </w:rPr>
            </w:pP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Chief Financial Officer (Principal Financial and</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0" w:type="dxa"/>
            <w:vAlign w:val="bottom"/>
            <w:gridSpan w:val="3"/>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Accounting Officer)</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Shelly D. Guyer</w:t>
            </w:r>
          </w:p>
        </w:tc>
        <w:tc>
          <w:tcPr>
            <w:tcW w:w="380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continue"/>
          </w:tcPr>
          <w:p>
            <w:pPr>
              <w:spacing w:after="0"/>
              <w:rPr>
                <w:sz w:val="15"/>
                <w:szCs w:val="15"/>
                <w:color w:val="auto"/>
              </w:rPr>
            </w:pP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Chairman of Board of Directors</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spacing w:after="0"/>
              <w:rPr>
                <w:sz w:val="20"/>
                <w:szCs w:val="20"/>
                <w:color w:val="auto"/>
              </w:rPr>
            </w:pPr>
            <w:r>
              <w:rPr>
                <w:rFonts w:ascii="Arial" w:cs="Arial" w:eastAsia="Arial" w:hAnsi="Arial"/>
                <w:sz w:val="17"/>
                <w:szCs w:val="17"/>
                <w:color w:val="auto"/>
                <w:w w:val="95"/>
              </w:rPr>
              <w:t>Brian G. Atwood</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ind w:right="20"/>
              <w:spacing w:after="0"/>
              <w:rPr>
                <w:sz w:val="20"/>
                <w:szCs w:val="20"/>
                <w:color w:val="auto"/>
              </w:rPr>
            </w:pPr>
            <w:r>
              <w:rPr>
                <w:rFonts w:ascii="Arial" w:cs="Arial" w:eastAsia="Arial" w:hAnsi="Arial"/>
                <w:sz w:val="17"/>
                <w:szCs w:val="17"/>
                <w:color w:val="auto"/>
                <w:w w:val="94"/>
              </w:rPr>
              <w:t>Brook H. Byers</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Fred E. Cohen, M.D., D.Phil.</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spacing w:after="0"/>
              <w:rPr>
                <w:sz w:val="20"/>
                <w:szCs w:val="20"/>
                <w:color w:val="auto"/>
              </w:rPr>
            </w:pPr>
            <w:r>
              <w:rPr>
                <w:rFonts w:ascii="Arial" w:cs="Arial" w:eastAsia="Arial" w:hAnsi="Arial"/>
                <w:sz w:val="17"/>
                <w:szCs w:val="17"/>
                <w:color w:val="auto"/>
                <w:w w:val="92"/>
              </w:rPr>
              <w:t>Samuel D. Colella</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spacing w:after="0"/>
              <w:rPr>
                <w:sz w:val="20"/>
                <w:szCs w:val="20"/>
                <w:color w:val="auto"/>
              </w:rPr>
            </w:pPr>
            <w:r>
              <w:rPr>
                <w:rFonts w:ascii="Arial" w:cs="Arial" w:eastAsia="Arial" w:hAnsi="Arial"/>
                <w:sz w:val="17"/>
                <w:szCs w:val="17"/>
                <w:color w:val="auto"/>
                <w:w w:val="91"/>
              </w:rPr>
              <w:t>Karin Eastham</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spacing w:after="0"/>
              <w:rPr>
                <w:sz w:val="20"/>
                <w:szCs w:val="20"/>
                <w:color w:val="auto"/>
              </w:rPr>
            </w:pPr>
            <w:r>
              <w:rPr>
                <w:rFonts w:ascii="Arial" w:cs="Arial" w:eastAsia="Arial" w:hAnsi="Arial"/>
                <w:sz w:val="17"/>
                <w:szCs w:val="17"/>
                <w:color w:val="auto"/>
                <w:w w:val="87"/>
              </w:rPr>
              <w:t>Evan Jones</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59690</wp:posOffset>
            </wp:positionV>
            <wp:extent cx="22726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72665" cy="8255"/>
                    </a:xfrm>
                    <a:prstGeom prst="rect">
                      <a:avLst/>
                    </a:prstGeom>
                    <a:noFill/>
                  </pic:spPr>
                </pic:pic>
              </a:graphicData>
            </a:graphic>
          </wp:anchor>
        </w:drawing>
      </w:r>
    </w:p>
    <w:p>
      <w:pPr>
        <w:spacing w:after="0" w:line="157"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Jesse I. Treu, Ph.D.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40" w:type="dxa"/>
            <w:vAlign w:val="bottom"/>
          </w:tcPr>
          <w:p>
            <w:pPr>
              <w:ind w:left="3960"/>
              <w:spacing w:after="0"/>
              <w:rPr>
                <w:sz w:val="20"/>
                <w:szCs w:val="20"/>
                <w:color w:val="auto"/>
              </w:rPr>
            </w:pPr>
            <w:r>
              <w:rPr>
                <w:rFonts w:ascii="Arial" w:cs="Arial" w:eastAsia="Arial" w:hAnsi="Arial"/>
                <w:sz w:val="17"/>
                <w:szCs w:val="17"/>
                <w:b w:val="1"/>
                <w:bCs w:val="1"/>
                <w:color w:val="auto"/>
              </w:rPr>
              <w:t>EXHIBIT INDEX</w:t>
            </w:r>
          </w:p>
        </w:tc>
      </w:tr>
      <w:tr>
        <w:trPr>
          <w:trHeight w:val="35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24"/>
                <w:szCs w:val="24"/>
                <w:color w:val="auto"/>
              </w:rPr>
            </w:pPr>
          </w:p>
        </w:tc>
        <w:tc>
          <w:tcPr>
            <w:tcW w:w="10340" w:type="dxa"/>
            <w:vAlign w:val="bottom"/>
            <w:tcBorders>
              <w:bottom w:val="single" w:sz="8" w:color="auto"/>
            </w:tcBorders>
          </w:tcPr>
          <w:p>
            <w:pPr>
              <w:ind w:left="48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ind w:left="80"/>
              <w:spacing w:after="0" w:line="194"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10340" w:type="dxa"/>
            <w:vAlign w:val="bottom"/>
          </w:tcPr>
          <w:p>
            <w:pPr>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Restated Certificate of Incorporation of the Registrant, to be in effect upon the completion of this offering.</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Bylaws of the Registrant.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Second Amended and Restated Investors Rights Agreement, dated November 6, 2012,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5"/>
              </w:rPr>
              <w:t>Amendment to Second Amended and Restated Investors Rights Agreement, dated June 14, 2013,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5.1*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2008 Stock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2013 Stock Incentive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dated as of February 10, 2010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10.5+</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First Amendment to Lease Agreement entered into as of July 11, 2012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10.6+</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between Riata Holdings, L.P., as landlord, and the Registrant, as tenant, dated November 28, 2012.</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10.7†</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10.8</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Amendment to Co-Promotion Agreement, effective April 9, 2013,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10.9+</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10.10#+</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9"/>
              </w:rPr>
              <w:t>Amendment to Bonnie Anderson Employment Agreement, dated as of December 22,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6"/>
              </w:rPr>
              <w:t>Amendment No. 2 to Bonnie Anderson Employment Agreement, effective as of March 11, 2009,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Bonnie Anderson and the Registrant.</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10.14#+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Christopher Hall and the Registrant.</w:t>
            </w:r>
          </w:p>
        </w:tc>
      </w:tr>
      <w:tr>
        <w:trPr>
          <w:trHeight w:val="117"/>
        </w:trPr>
        <w:tc>
          <w:tcPr>
            <w:tcW w:w="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40" w:type="dxa"/>
            <w:vAlign w:val="bottom"/>
            <w:tcBorders>
              <w:bottom w:val="single" w:sz="8" w:color="auto"/>
            </w:tcBorders>
          </w:tcPr>
          <w:p>
            <w:pPr>
              <w:ind w:left="47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spacing w:after="0" w:line="194" w:lineRule="exact"/>
              <w:rPr>
                <w:sz w:val="20"/>
                <w:szCs w:val="20"/>
                <w:color w:val="auto"/>
              </w:rPr>
            </w:pPr>
            <w:r>
              <w:rPr>
                <w:rFonts w:ascii="Arial" w:cs="Arial" w:eastAsia="Arial" w:hAnsi="Arial"/>
                <w:sz w:val="17"/>
                <w:szCs w:val="17"/>
                <w:color w:val="auto"/>
              </w:rPr>
              <w:t>10.15#+</w:t>
            </w:r>
          </w:p>
        </w:tc>
        <w:tc>
          <w:tcPr>
            <w:tcW w:w="160" w:type="dxa"/>
            <w:vAlign w:val="bottom"/>
          </w:tcPr>
          <w:p>
            <w:pPr>
              <w:spacing w:after="0"/>
              <w:rPr>
                <w:sz w:val="16"/>
                <w:szCs w:val="16"/>
                <w:color w:val="auto"/>
              </w:rPr>
            </w:pPr>
          </w:p>
        </w:tc>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Change of Control and Severance Agreement, effective as of April 8, 2013, between Shelly Guyer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10.16#+</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Executive Bonus Plan</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23.2*</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24.1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Power of Attorney (see page II-5 of this Registration Statement)</w:t>
            </w:r>
          </w:p>
        </w:tc>
      </w:tr>
      <w:tr>
        <w:trPr>
          <w:trHeight w:val="107"/>
        </w:trPr>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4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37" w:lineRule="exact"/>
        <w:rPr>
          <w:sz w:val="20"/>
          <w:szCs w:val="20"/>
          <w:color w:val="auto"/>
        </w:rPr>
      </w:pPr>
    </w:p>
    <w:p>
      <w:pPr>
        <w:ind w:left="520" w:hanging="515"/>
        <w:spacing w:after="0"/>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b w:val="1"/>
          <w:bCs w:val="1"/>
          <w:color w:val="auto"/>
        </w:rPr>
        <w:t>Exhibit 10.7</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CONFIDENTIAL TREATMENT REQUESTED.</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Confidential portions of this document have been redacted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and have been separately filed with the Commission.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CO-PROMOTION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Genzyme Corporation</w:t>
      </w:r>
      <w:r>
        <w:rPr>
          <w:rFonts w:ascii="Arial" w:cs="Arial" w:eastAsia="Arial" w:hAnsi="Arial"/>
          <w:sz w:val="17"/>
          <w:szCs w:val="17"/>
          <w:color w:val="auto"/>
        </w:rPr>
        <w:t>, with offices located at 500 Kendall Street, Cambridge, Massachusetts 02142 (hereinafter referred to as “Genzyme”)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Veracyte, Inc</w:t>
      </w:r>
      <w:r>
        <w:rPr>
          <w:rFonts w:ascii="Arial" w:cs="Arial" w:eastAsia="Arial" w:hAnsi="Arial"/>
          <w:sz w:val="17"/>
          <w:szCs w:val="17"/>
          <w:color w:val="auto"/>
        </w:rPr>
        <w:t>, with offices located at 7000 Shoreline Ct., Ste. 250, South San Francisco, CA 94080 (hereinafter also referred to as “Veracyte”)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30" w:lineRule="exact"/>
        <w:rPr>
          <w:sz w:val="20"/>
          <w:szCs w:val="20"/>
          <w:color w:val="auto"/>
        </w:rPr>
      </w:pPr>
    </w:p>
    <w:p>
      <w:pPr>
        <w:ind w:left="660" w:right="80" w:hanging="655"/>
        <w:spacing w:after="0" w:line="230" w:lineRule="auto"/>
        <w:tabs>
          <w:tab w:leader="none" w:pos="673" w:val="left"/>
        </w:tabs>
        <w:numPr>
          <w:ilvl w:val="0"/>
          <w:numId w:val="93"/>
        </w:numPr>
        <w:rPr>
          <w:rFonts w:ascii="Arial" w:cs="Arial" w:eastAsia="Arial" w:hAnsi="Arial"/>
          <w:sz w:val="17"/>
          <w:szCs w:val="17"/>
          <w:color w:val="auto"/>
        </w:rPr>
      </w:pPr>
      <w:r>
        <w:rPr>
          <w:rFonts w:ascii="Arial" w:cs="Arial" w:eastAsia="Arial" w:hAnsi="Arial"/>
          <w:sz w:val="17"/>
          <w:szCs w:val="17"/>
          <w:color w:val="auto"/>
        </w:rPr>
        <w:t>Veracyte has developed the Afirma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Thyroid FNA Analysis, which includes centralized cytopathology and molecular testing services for the assessment of thyroid nodules;</w:t>
      </w:r>
    </w:p>
    <w:p>
      <w:pPr>
        <w:spacing w:after="0" w:line="199" w:lineRule="exact"/>
        <w:rPr>
          <w:rFonts w:ascii="Arial" w:cs="Arial" w:eastAsia="Arial" w:hAnsi="Arial"/>
          <w:sz w:val="17"/>
          <w:szCs w:val="17"/>
          <w:color w:val="auto"/>
        </w:rPr>
      </w:pPr>
    </w:p>
    <w:p>
      <w:pPr>
        <w:ind w:left="660" w:right="120" w:hanging="655"/>
        <w:spacing w:after="0" w:line="230" w:lineRule="auto"/>
        <w:tabs>
          <w:tab w:leader="none" w:pos="665" w:val="left"/>
        </w:tabs>
        <w:numPr>
          <w:ilvl w:val="0"/>
          <w:numId w:val="93"/>
        </w:numPr>
        <w:rPr>
          <w:rFonts w:ascii="Arial" w:cs="Arial" w:eastAsia="Arial" w:hAnsi="Arial"/>
          <w:sz w:val="17"/>
          <w:szCs w:val="17"/>
          <w:color w:val="auto"/>
        </w:rPr>
      </w:pPr>
      <w:r>
        <w:rPr>
          <w:rFonts w:ascii="Arial" w:cs="Arial" w:eastAsia="Arial" w:hAnsi="Arial"/>
          <w:sz w:val="17"/>
          <w:szCs w:val="17"/>
          <w:color w:val="auto"/>
        </w:rPr>
        <w:t>Genzyme is engaged in the business of and has expertise in, among other things, the sales and marketing of Thyrogen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(thyrotropin alfa for injection), a product for patients with thyroid cancer;</w:t>
      </w:r>
    </w:p>
    <w:p>
      <w:pPr>
        <w:spacing w:after="0" w:line="199" w:lineRule="exact"/>
        <w:rPr>
          <w:rFonts w:ascii="Arial" w:cs="Arial" w:eastAsia="Arial" w:hAnsi="Arial"/>
          <w:sz w:val="17"/>
          <w:szCs w:val="17"/>
          <w:color w:val="auto"/>
        </w:rPr>
      </w:pPr>
    </w:p>
    <w:p>
      <w:pPr>
        <w:ind w:left="660" w:hanging="655"/>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Veracyte is promoting the Afirma Thyroid FNA Analysis in the United States (“U.S.”) on a limited basis;</w:t>
      </w:r>
    </w:p>
    <w:p>
      <w:pPr>
        <w:spacing w:after="0" w:line="224" w:lineRule="exact"/>
        <w:rPr>
          <w:rFonts w:ascii="Arial" w:cs="Arial" w:eastAsia="Arial" w:hAnsi="Arial"/>
          <w:sz w:val="17"/>
          <w:szCs w:val="17"/>
          <w:color w:val="auto"/>
        </w:rPr>
      </w:pPr>
    </w:p>
    <w:p>
      <w:pPr>
        <w:ind w:left="680" w:hanging="675"/>
        <w:spacing w:after="0"/>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Genzyme has professional endocrinology sales organizations both within the U.S. and outside the U.S.; and</w:t>
      </w:r>
    </w:p>
    <w:p>
      <w:pPr>
        <w:spacing w:after="0" w:line="224" w:lineRule="exact"/>
        <w:rPr>
          <w:rFonts w:ascii="Arial" w:cs="Arial" w:eastAsia="Arial" w:hAnsi="Arial"/>
          <w:sz w:val="17"/>
          <w:szCs w:val="17"/>
          <w:color w:val="auto"/>
        </w:rPr>
      </w:pPr>
    </w:p>
    <w:p>
      <w:pPr>
        <w:ind w:left="660" w:hanging="655"/>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Veracyte and Genzyme desire to co-promote the Afirma Thyroid FNA Analysis in the Territories upon the terms and conditions set forth herein.</w:t>
      </w:r>
    </w:p>
    <w:p>
      <w:pPr>
        <w:spacing w:after="0" w:line="218" w:lineRule="exact"/>
        <w:rPr>
          <w:sz w:val="20"/>
          <w:szCs w:val="20"/>
          <w:color w:val="auto"/>
        </w:rPr>
      </w:pPr>
    </w:p>
    <w:p>
      <w:pPr>
        <w:ind w:right="240"/>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and agreements set forth in this Agreement, and for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and sufficiency of which is hereby acknowledged, the parties hereto agree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 DEFINITIONS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In the terms defined herein, the singular shall include the plural and vice versa.</w:t>
      </w:r>
    </w:p>
    <w:p>
      <w:pPr>
        <w:spacing w:after="0" w:line="224" w:lineRule="exact"/>
        <w:rPr>
          <w:sz w:val="20"/>
          <w:szCs w:val="20"/>
          <w:color w:val="auto"/>
        </w:rPr>
      </w:pPr>
    </w:p>
    <w:p>
      <w:pPr>
        <w:jc w:val="both"/>
        <w:ind w:left="640" w:right="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any entity that directly or indirectly controls, is controlled by or is under common control with another entity. The term “control”, including the terms “controlled by” or “under common control with” means the possession of, directly or indirectly, the capability to control the direction of the management and policies of any entity, whether through the ownership of shares, by contract or otherwise.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Afirma</w:t>
      </w:r>
      <w:r>
        <w:rPr>
          <w:rFonts w:ascii="Arial" w:cs="Arial" w:eastAsia="Arial" w:hAnsi="Arial"/>
          <w:sz w:val="17"/>
          <w:szCs w:val="17"/>
          <w:color w:val="auto"/>
        </w:rPr>
        <w:t>” shall mean Afirma Thyroid FNA Analysis.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Co-Promotion Agreement and its Exhibits.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Commercial Plan</w:t>
      </w:r>
      <w:r>
        <w:rPr>
          <w:rFonts w:ascii="Arial" w:cs="Arial" w:eastAsia="Arial" w:hAnsi="Arial"/>
          <w:sz w:val="17"/>
          <w:szCs w:val="17"/>
          <w:color w:val="auto"/>
        </w:rPr>
        <w:t>” shall have the meaning set forth in Section 3.2.1.</w:t>
      </w:r>
    </w:p>
    <w:p>
      <w:pPr>
        <w:spacing w:after="0" w:line="224" w:lineRule="exact"/>
        <w:rPr>
          <w:sz w:val="20"/>
          <w:szCs w:val="20"/>
          <w:color w:val="auto"/>
        </w:rPr>
      </w:pPr>
    </w:p>
    <w:p>
      <w:pPr>
        <w:ind w:left="640"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Call</w:t>
      </w:r>
      <w:r>
        <w:rPr>
          <w:rFonts w:ascii="Arial" w:cs="Arial" w:eastAsia="Arial" w:hAnsi="Arial"/>
          <w:sz w:val="17"/>
          <w:szCs w:val="17"/>
          <w:color w:val="auto"/>
        </w:rPr>
        <w:t>” shall mean a face-to-face visit by a direct professional sales representative of Genzyme or its Affiliates or Veracyte or its Affiliates to a Healthcare Professional for the purposes of promoting the Test. For the avoidance of doubt, visits primarily related to complaints or otherwise primarily related to customer service shall not be deemed “Calls”.</w:t>
      </w:r>
    </w:p>
    <w:p>
      <w:pPr>
        <w:spacing w:after="0" w:line="172" w:lineRule="exact"/>
        <w:rPr>
          <w:sz w:val="20"/>
          <w:szCs w:val="20"/>
          <w:color w:val="auto"/>
        </w:rPr>
      </w:pPr>
    </w:p>
    <w:p>
      <w:pPr>
        <w:ind w:left="640" w:right="6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shall mean that (i) any person/entity controlling a party ceases to control that party; (ii) any person/entity not controlling a party obtains control of that party; (iii) the acquisition, directly or indirectly, by any Person or group of related Persons (other than any Person that controls, is controlled by or is under common control with a party) of beneficial ownership (as such term is defined in Rule 13d-3 promulgated under the Securities Exchange Act of 1934, as amended (the “34 Act”)) of securities possessing more than fifty percent (50%) of the total combined voting power of a party’s outstanding securities; (iv) a merger or consolidation in which securities possessing more than fifty percent (50%) of the total combined voting power of such party’s outstanding securities are transferred to a Person or Persons different from the Persons holding those securities immediately prior to such transaction; or (v) the sale, transfer or other disposition of all or substantially all of such party’s assets;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Genzyme, if any of the foregoing occurs in connection with or as a result of reorganization or a transaction with Sanofi and/or another Affiliate, then it shall not be deemed a Change of Control for purposes of this Agreement. The term “control”, including the term “controlling” means the possession of, directly or indirectly, the capability to control the direction of the management and policies of a party, whether through the ownership of shares, by contract or otherwise. The term “Person”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76" w:lineRule="exact"/>
        <w:rPr>
          <w:sz w:val="20"/>
          <w:szCs w:val="20"/>
          <w:color w:val="auto"/>
        </w:rPr>
      </w:pPr>
    </w:p>
    <w:p>
      <w:pPr>
        <w:ind w:left="640" w:right="2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 Kits</w:t>
      </w:r>
      <w:r>
        <w:rPr>
          <w:rFonts w:ascii="Arial" w:cs="Arial" w:eastAsia="Arial" w:hAnsi="Arial"/>
          <w:sz w:val="17"/>
          <w:szCs w:val="17"/>
          <w:color w:val="auto"/>
        </w:rPr>
        <w:t>” shall mean the sample collection and sample transport supplies intended for the collection and transport of human thyroid FNA samples for the Test, which may include, without limitation, collection tubes with preservation solution, slide holders, and sample shipment materials, as may be determined by Veracyte from time to time in a manner consistent with applicable laws and Marketing Authorizations. For the avoidance of doubt, Collection Kits do not include syringes, needles or other devices for sample aspiration from patients or any other materials intended to come in physical contact with patients.</w:t>
      </w:r>
    </w:p>
    <w:p>
      <w:pPr>
        <w:spacing w:after="0" w:line="179" w:lineRule="exact"/>
        <w:rPr>
          <w:sz w:val="20"/>
          <w:szCs w:val="20"/>
          <w:color w:val="auto"/>
        </w:rPr>
      </w:pPr>
    </w:p>
    <w:p>
      <w:pPr>
        <w:ind w:left="640" w:right="6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that level of effort which would be devoted by an independent entity seeking to expeditiously and diligently pursue its own business efforts in light of relevant circumstances, but in no case less than that level of</w:t>
      </w:r>
    </w:p>
    <w:p>
      <w:pPr>
        <w:sectPr>
          <w:pgSz w:w="11900" w:h="16838" w:orient="portrait"/>
          <w:cols w:equalWidth="0" w:num="1">
            <w:col w:w="11420"/>
          </w:cols>
          <w:pgMar w:left="240" w:top="357" w:right="239" w:bottom="0" w:gutter="0" w:footer="0" w:header="0"/>
        </w:sectPr>
      </w:pPr>
    </w:p>
    <w:bookmarkStart w:id="182" w:name="page183"/>
    <w:bookmarkEnd w:id="182"/>
    <w:p>
      <w:pPr>
        <w:spacing w:after="0" w:line="3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efforts and resources, in such a manner, and with such expedition as a party itself would adopt in launching, promoting and detailing its own services or products with similar market value or potential as the Test, taking into consideration all relevant considerations, including without limitation patent protection or trade secret protection. For the avoidance of doubt, the aforementioned examples of relevant considerations are not intended to be exhaustive and no one such consideration (such as the absence of patents or trade secret protection in a particular Country alone) is intended to be determinative in and of itself of whether a party exercised the requisite level of diligence.</w:t>
      </w:r>
    </w:p>
    <w:p>
      <w:pPr>
        <w:spacing w:after="0" w:line="17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Complaint</w:t>
      </w:r>
      <w:r>
        <w:rPr>
          <w:rFonts w:ascii="Arial" w:cs="Arial" w:eastAsia="Arial" w:hAnsi="Arial"/>
          <w:sz w:val="17"/>
          <w:szCs w:val="17"/>
          <w:color w:val="auto"/>
        </w:rPr>
        <w:t>” shall mean a written, electronic or oral communication or expression of dissatisfaction that alleges deficiencies related to the Test (including Improvements), including, without limitation, identity, quality, labelling, safety, accuracy or performance of the Test.</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information not known to the general public or of a confidential nature disclosed (in writing, verbally, electronically, or by any other means directly or indirectly) by or on behalf of one party (the “Disclosing Party”) to the other party (the “Receiving Party”) under this Agreement, including, without limitation, any information relating to (i) the manufacture, testing, price, Complaints about (except as are required to be disclosed to Regulatory Authorities), Marketing Authorizations for, customers of, or defects in, the Test, (ii) a party’s inventions, discoveries, improvements, methods, products, finances, operations, processes, plans, product information (including new or prototype products), know-how, design rights, trade secrets, market opportunities, regulatory information, customer and supplier information and business affairs, and (iii) the provision of the Test.</w:t>
      </w:r>
    </w:p>
    <w:p>
      <w:pPr>
        <w:spacing w:after="0" w:line="18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Year</w:t>
      </w:r>
      <w:r>
        <w:rPr>
          <w:rFonts w:ascii="Arial" w:cs="Arial" w:eastAsia="Arial" w:hAnsi="Arial"/>
          <w:sz w:val="17"/>
          <w:szCs w:val="17"/>
          <w:color w:val="auto"/>
        </w:rPr>
        <w:t>” shall mean a twelve (12)-month period commencing as of January 1 and ending as of December 31. For the purposes of this Agreement, the first contract year shall commence on the Effective Date and end on December 31, 2012.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Country</w:t>
      </w:r>
      <w:r>
        <w:rPr>
          <w:rFonts w:ascii="Arial" w:cs="Arial" w:eastAsia="Arial" w:hAnsi="Arial"/>
          <w:sz w:val="17"/>
          <w:szCs w:val="17"/>
          <w:color w:val="auto"/>
        </w:rPr>
        <w:t>” shall mean any of the countries in Territory A or Territory 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the signatory date of the last party to sign this Agreement.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FNA</w:t>
      </w:r>
      <w:r>
        <w:rPr>
          <w:rFonts w:ascii="Arial" w:cs="Arial" w:eastAsia="Arial" w:hAnsi="Arial"/>
          <w:sz w:val="17"/>
          <w:szCs w:val="17"/>
          <w:color w:val="auto"/>
        </w:rPr>
        <w:t>” shall mean fine needle aspirate biopsy(ies).</w:t>
      </w:r>
    </w:p>
    <w:p>
      <w:pPr>
        <w:spacing w:after="0" w:line="22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Future Test</w:t>
      </w:r>
      <w:r>
        <w:rPr>
          <w:rFonts w:ascii="Arial" w:cs="Arial" w:eastAsia="Arial" w:hAnsi="Arial"/>
          <w:sz w:val="17"/>
          <w:szCs w:val="17"/>
          <w:color w:val="auto"/>
        </w:rPr>
        <w:t>” shall mean any product or service, other than the Test, and all improvements to such product or service, that Veracyte owns, controls or has rights to at any time during the Term, that (i) is/are for additional thyroid cancer diagnosis or treatment applications including, without limitation, tests developed on cytopathology diagnoses other than Indeterminate, and (ii) require(s) one or more additional clinical study(s) in order to obtain Marketing Authorization or, if Marketing Authorization is not required, to effectively compete in the market. For purposes of clarity, Future Test does not include any product or service used outside of the field of thyroid cancer diagnosis and treatment, including, without limitation, the diagnosis or treatment of any other tissues, organs, or systems or any other diseases or conditions.</w:t>
      </w:r>
    </w:p>
    <w:p>
      <w:pPr>
        <w:spacing w:after="0" w:line="18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shall mean then-current U.S. generally accepted accounting principles, consistently applied.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Genzyme Trademarks</w:t>
      </w:r>
      <w:r>
        <w:rPr>
          <w:rFonts w:ascii="Arial" w:cs="Arial" w:eastAsia="Arial" w:hAnsi="Arial"/>
          <w:sz w:val="17"/>
          <w:szCs w:val="17"/>
          <w:color w:val="auto"/>
        </w:rPr>
        <w:t>” shall mean Trademarks of Genzyme.</w:t>
      </w:r>
    </w:p>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Healthcare Professionals</w:t>
      </w:r>
      <w:r>
        <w:rPr>
          <w:rFonts w:ascii="Arial" w:cs="Arial" w:eastAsia="Arial" w:hAnsi="Arial"/>
          <w:sz w:val="17"/>
          <w:szCs w:val="17"/>
          <w:color w:val="auto"/>
        </w:rPr>
        <w:t>” shall mean (i) health care providers qualified to prescribe, recommend, or perform diagnostic testing for thyroid cancer, in each case who are authorized by applicable law to authorize, utilize, or prescribe the Test and (ii) any associated staff who need to be educated about the Test (including without limitation logistics related to the Test), including but not limited to nurses, laboratory technicians, physician assistants, and administrative staff.</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Improvement(s)</w:t>
      </w:r>
      <w:r>
        <w:rPr>
          <w:rFonts w:ascii="Arial" w:cs="Arial" w:eastAsia="Arial" w:hAnsi="Arial"/>
          <w:sz w:val="17"/>
          <w:szCs w:val="17"/>
          <w:color w:val="auto"/>
        </w:rPr>
        <w:t>” shall mean any and all modifications, variations, revisions or other improvements to the Test that: (i) are not otherwise described in the Veracyte Intellectual Property as of the Effective Date; (ii) are made during the Term of this Agreement, by or on behalf of Veracyte, its Affiliates or any employees, consultants or other persons under Veracyte’s direction or control; and (iii) are commercialized or offered for sale by Veracyte or its Affiliates including, without limitation, any product or service sold under the name “Afirma”, during the Term of this Agreement in the Territory. For purposes of clarity, Improvements shall not include Future Tests.</w:t>
      </w:r>
    </w:p>
    <w:p>
      <w:pPr>
        <w:spacing w:after="0" w:line="179" w:lineRule="exact"/>
        <w:rPr>
          <w:sz w:val="20"/>
          <w:szCs w:val="20"/>
          <w:color w:val="auto"/>
        </w:rPr>
      </w:pPr>
    </w:p>
    <w:p>
      <w:pPr>
        <w:ind w:left="20" w:firstLine="11"/>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Indeterminate</w:t>
      </w:r>
      <w:r>
        <w:rPr>
          <w:rFonts w:ascii="Arial" w:cs="Arial" w:eastAsia="Arial" w:hAnsi="Arial"/>
          <w:sz w:val="15"/>
          <w:szCs w:val="15"/>
          <w:color w:val="auto"/>
        </w:rPr>
        <w:t>” shall mean, as of the Effective Date, the following: follicular lesion of undetermined significance (FLUS)/atypia, follicular/Hurthle cell neoplasm or suspicious for follicular/Hurthle cell neoplasm, and suspicious for malignancy. The definition of Indeterminate may be updated and amended in writing as reasonably determined by Veracyte in good faith, including based on applicable regulatory or clinical practice guidelines or market needs.</w:t>
      </w:r>
    </w:p>
    <w:p>
      <w:pPr>
        <w:spacing w:after="0" w:line="136"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rights, privileges and priorities provided under federal, state, foreign and multinational law relating to intellectual property, including without limitation all (i) (A) U.S. and foreign patents and patent applications, inventions, discoveries, machines, manufactures, compositions of matter, processes, formulae, designs, methods, techniques, procedures, concepts, developments, technology, new and useful improvements thereof and know-how relating thereto, whether or not patented or patentable; (B) copyrights and works of authorship, including computer applications, programs, software, hardware, files, mask works, compilations, databases, documentation and related items; (C) trademarks, service marks, trade names, domain names, URLs, email addresses, brand names, corporate names, logos and trade dress and the goodwill of any business symbolized thereby; (D) trade secrets, drawings, lists and all other proprietary, nonpublic or confidential information, documents or materials in any media; and (ii) all registrations, applications, recordings and other legal protections or rights related to the foregoing.</w:t>
      </w:r>
    </w:p>
    <w:p>
      <w:pPr>
        <w:spacing w:after="0" w:line="17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Labeled Uses</w:t>
      </w:r>
      <w:r>
        <w:rPr>
          <w:rFonts w:ascii="Arial" w:cs="Arial" w:eastAsia="Arial" w:hAnsi="Arial"/>
          <w:sz w:val="17"/>
          <w:szCs w:val="17"/>
          <w:color w:val="auto"/>
        </w:rPr>
        <w:t>” shall mean the diagnostic indications covered by the Marketing Authorization for the Test or, in the absence of any such Marketing Authorization in any</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Country, the supporting clinical documentation approved by Veracyte.</w:t>
      </w:r>
    </w:p>
    <w:p>
      <w:pPr>
        <w:sectPr>
          <w:pgSz w:w="11900" w:h="16870" w:orient="portrait"/>
          <w:cols w:equalWidth="0" w:num="1">
            <w:col w:w="10780"/>
          </w:cols>
          <w:pgMar w:left="880" w:top="337" w:right="239" w:bottom="0" w:gutter="0" w:footer="0" w:header="0"/>
        </w:sectPr>
      </w:pPr>
    </w:p>
    <w:bookmarkStart w:id="183" w:name="page184"/>
    <w:bookmarkEnd w:id="183"/>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shall have the meaning set forth in Section 10.1.1.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Marketing Authorization</w:t>
      </w:r>
      <w:r>
        <w:rPr>
          <w:rFonts w:ascii="Arial" w:cs="Arial" w:eastAsia="Arial" w:hAnsi="Arial"/>
          <w:sz w:val="17"/>
          <w:szCs w:val="17"/>
          <w:color w:val="auto"/>
        </w:rPr>
        <w:t>” shall mean the regulatory authorization required to market and sell the Test in a Country, if any.</w:t>
      </w:r>
    </w:p>
    <w:p>
      <w:pPr>
        <w:spacing w:after="0" w:line="22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Revenues</w:t>
      </w:r>
      <w:r>
        <w:rPr>
          <w:rFonts w:ascii="Arial" w:cs="Arial" w:eastAsia="Arial" w:hAnsi="Arial"/>
          <w:sz w:val="17"/>
          <w:szCs w:val="17"/>
          <w:color w:val="auto"/>
        </w:rPr>
        <w:t>” shall mean actual cash received by Veracyte from the sale of Tests in the Territories, including, but not limited to, cash paid on payor claims and out-of-pocket payments by patients. For clarity, (a) Veracyte’s Test Processing Costs for the Test shall not be deducted in the calculation of Net Revenues, (b) any royalties, licensing fees, damages, or settlement costs paid in order to obtain or maintain rights to a third party’s Intellectual Property Rights, which rights are necessary or useful for using, processing, making or commercializing the Test, shall not be deducted in the calculation of Net Revenues, and (c) any costs or royalties (owed to a third party) associated with a third party’s performance of any part(s) of Veracyte’s responsibilities under this Agreement shall not be deducted in the calculation of Net Revenues.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Positive Coverage</w:t>
      </w:r>
      <w:r>
        <w:rPr>
          <w:rFonts w:ascii="Arial" w:cs="Arial" w:eastAsia="Arial" w:hAnsi="Arial"/>
          <w:sz w:val="17"/>
          <w:szCs w:val="17"/>
          <w:color w:val="auto"/>
        </w:rPr>
        <w:t>” shall have the meaning set forth in Section 2.3.2.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Promotion Fees</w:t>
      </w:r>
      <w:r>
        <w:rPr>
          <w:rFonts w:ascii="Arial" w:cs="Arial" w:eastAsia="Arial" w:hAnsi="Arial"/>
          <w:sz w:val="17"/>
          <w:szCs w:val="17"/>
          <w:color w:val="auto"/>
        </w:rPr>
        <w:t>” shall have the meaning set forth in Section 6.1.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Net Revenue Report</w:t>
      </w:r>
      <w:r>
        <w:rPr>
          <w:rFonts w:ascii="Arial" w:cs="Arial" w:eastAsia="Arial" w:hAnsi="Arial"/>
          <w:sz w:val="17"/>
          <w:szCs w:val="17"/>
          <w:color w:val="auto"/>
        </w:rPr>
        <w:t>” shall have the meaning set forth in Section 6.2.</w:t>
      </w:r>
    </w:p>
    <w:p>
      <w:pPr>
        <w:spacing w:after="0" w:line="22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shall mean the authority or agency responsible for granting a Marketing Authorization or approving the provision and provider of the Test.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Removed Country</w:t>
      </w:r>
      <w:r>
        <w:rPr>
          <w:rFonts w:ascii="Arial" w:cs="Arial" w:eastAsia="Arial" w:hAnsi="Arial"/>
          <w:sz w:val="16"/>
          <w:szCs w:val="16"/>
          <w:color w:val="auto"/>
        </w:rPr>
        <w:t>” shall mean a Country removed from the definition of Territory B in accordance with Section 3.1.4, 6.5.2, 11.6 or 11.7 hereof.</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Steering Committee</w:t>
      </w:r>
      <w:r>
        <w:rPr>
          <w:rFonts w:ascii="Arial" w:cs="Arial" w:eastAsia="Arial" w:hAnsi="Arial"/>
          <w:sz w:val="17"/>
          <w:szCs w:val="17"/>
          <w:color w:val="auto"/>
        </w:rPr>
        <w:t>” shall have the meaning set forth in Section 5.1.</w:t>
      </w:r>
    </w:p>
    <w:p>
      <w:pPr>
        <w:spacing w:after="0" w:line="224" w:lineRule="exact"/>
        <w:rPr>
          <w:sz w:val="20"/>
          <w:szCs w:val="20"/>
          <w:color w:val="auto"/>
        </w:rPr>
      </w:pPr>
    </w:p>
    <w:p>
      <w:pPr>
        <w:ind w:left="20" w:right="600" w:firstLine="1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Subject Products</w:t>
      </w:r>
      <w:r>
        <w:rPr>
          <w:rFonts w:ascii="Arial" w:cs="Arial" w:eastAsia="Arial" w:hAnsi="Arial"/>
          <w:sz w:val="17"/>
          <w:szCs w:val="17"/>
          <w:color w:val="auto"/>
        </w:rPr>
        <w:t>” shall mean Thyrogen and any New Genzyme Product, but excludes any Third Genzyme Product (as such terms are defined in Section 3.1.3).</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shall mean the Initial Term and the Extended Term, if any (each as defined in Section 11.1).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either of Territory A or Territory 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 A</w:t>
      </w:r>
      <w:r>
        <w:rPr>
          <w:rFonts w:ascii="Arial" w:cs="Arial" w:eastAsia="Arial" w:hAnsi="Arial"/>
          <w:sz w:val="17"/>
          <w:szCs w:val="17"/>
          <w:color w:val="auto"/>
        </w:rPr>
        <w:t>” shall mean the United States and its territories and possessions.</w:t>
      </w:r>
    </w:p>
    <w:p>
      <w:pPr>
        <w:spacing w:after="0" w:line="224"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 B</w:t>
      </w:r>
      <w:r>
        <w:rPr>
          <w:rFonts w:ascii="Arial" w:cs="Arial" w:eastAsia="Arial" w:hAnsi="Arial"/>
          <w:sz w:val="17"/>
          <w:szCs w:val="17"/>
          <w:color w:val="auto"/>
        </w:rPr>
        <w:t>” shall mean all Countries outside of the U.S. where Genzyme or its Affiliates employs a direct sales force as of the Effective Date as identified to Veracyte by Genzyme on Exhibit E, and any other country that Genzyme requests in writing to add to Territory B (subject to Veracyte’s written approval, which shall not be unreasonably</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Genzyme or its Affiliates employs and maintains a direct sales force in such country sufficient to carry out its obligations under this Agreement to the reasonable satisfaction of Veracyte.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Territories</w:t>
      </w:r>
      <w:r>
        <w:rPr>
          <w:rFonts w:ascii="Arial" w:cs="Arial" w:eastAsia="Arial" w:hAnsi="Arial"/>
          <w:sz w:val="17"/>
          <w:szCs w:val="17"/>
          <w:color w:val="auto"/>
        </w:rPr>
        <w:t>” shall mean Territory A and Territory B together.</w:t>
      </w:r>
    </w:p>
    <w:p>
      <w:pPr>
        <w:spacing w:after="0" w:line="22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w:t>
      </w:r>
      <w:r>
        <w:rPr>
          <w:rFonts w:ascii="Arial" w:cs="Arial" w:eastAsia="Arial" w:hAnsi="Arial"/>
          <w:sz w:val="17"/>
          <w:szCs w:val="17"/>
          <w:color w:val="auto"/>
        </w:rPr>
        <w:t>” shall mean the Afirma service that includes the assessment of thyroid nodule FNAs by cytopathology and/or the assessment of cytopathology Indeterminate FNAs by the Afirma gene expression classifier to reclassify the nodule as benign or suspicious for malignancy, including any Improvements thereto. The term “Test” includes the utilization of the Collection Kits, preparation, analysis and reporting of patient results and for the avoidance of doubt does not include any devices used for sample aspiration from the patient. Any second or subsequent generation of the Afirma service will be included in the definition of “Test”.</w:t>
      </w:r>
    </w:p>
    <w:p>
      <w:pPr>
        <w:spacing w:after="0" w:line="17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 Processing Costs</w:t>
      </w:r>
      <w:r>
        <w:rPr>
          <w:rFonts w:ascii="Arial" w:cs="Arial" w:eastAsia="Arial" w:hAnsi="Arial"/>
          <w:sz w:val="17"/>
          <w:szCs w:val="17"/>
          <w:color w:val="auto"/>
        </w:rPr>
        <w:t>” shall mean all direct and indirect costs incurred by Veracyte for activities associated with the collection of FNAs and processing (including, without limitation, direct costs associated with finishing processes such as packaging, labelling and other preparation, quality assurance, quality control, testing, storage and shipping) of the Test including, without limitation, costs of labor (including, but not limited to, salaries, bonuses, benefits and stock-based compensation), raw materials, supplies, services, license and royalty fees, costs associated with third party cytopathology laboratory services, and other resources directly consumed or used in the conduct of the applicable activity and any fees payable to any third party to the extent attributable to the collection of FNAs and processing of the Test, and all indirect costs including without limitation costs of indirect labor (including but not limited to salaries, bonuses, benefits and stock-based compensation), facilities, utilities, insurance, administrative costs, and facility and equipment depreciation and amortization, where applicable to the extent directly related to the applicable activity, allocated consistent with GAAP and as historically applied by Veracyte prior to the Effective Date of this Agreement. All such cost determinations shall be made in accordance with GAAP and shall be supported by appropriate documentation.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Thyrogen</w:t>
      </w:r>
      <w:r>
        <w:rPr>
          <w:rFonts w:ascii="Arial" w:cs="Arial" w:eastAsia="Arial" w:hAnsi="Arial"/>
          <w:sz w:val="16"/>
          <w:szCs w:val="16"/>
          <w:color w:val="auto"/>
        </w:rPr>
        <w:t>” shall mean Thyrogen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(thyrotropin alfa for injection) and any and all modifications, variations, revisions, uses or other improvements thereto.</w:t>
      </w:r>
    </w:p>
    <w:p>
      <w:pPr>
        <w:spacing w:after="0" w:line="19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shall mean all registered trademarks, trademarks or trade names (whether or not appearing in large print or with the trademark symbol) of Genzyme and Veracyte and their respective Affiliates, licensors or joint venture partners, as applicable, listed on Exhibit B. The use of these Trademarks or any other materials, except as permitted by this Agreement, is expressly prohibited and may be in violation of copyright law, trademark law or other proprietary rights of Genzyme or Veracyte. Exhibit B shall be updated and amended by the parties in writing in the event that (a) Veracyte adopts a new Trademark for use in connection with Improvements or any Future Tests that is added to this Agreement pursuant to Section 2.5, (b) Genzyme adds an additional product to the portfolio pursuant to Section 3.1.3 and (c) either party uses a new Trademark for the</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portion of its business operations related to the co-promotion of the Test.</w:t>
      </w:r>
    </w:p>
    <w:p>
      <w:pPr>
        <w:sectPr>
          <w:pgSz w:w="11900" w:h="16838" w:orient="portrait"/>
          <w:cols w:equalWidth="0" w:num="1">
            <w:col w:w="10780"/>
          </w:cols>
          <w:pgMar w:left="880" w:top="337" w:right="239" w:bottom="0" w:gutter="0" w:footer="0" w:header="0"/>
        </w:sectPr>
      </w:pPr>
    </w:p>
    <w:bookmarkStart w:id="184" w:name="page185"/>
    <w:bookmarkEnd w:id="184"/>
    <w:p>
      <w:pPr>
        <w:spacing w:after="0" w:line="79" w:lineRule="exact"/>
        <w:rPr>
          <w:sz w:val="20"/>
          <w:szCs w:val="20"/>
          <w:color w:val="auto"/>
        </w:rPr>
      </w:pPr>
    </w:p>
    <w:p>
      <w:pPr>
        <w:ind w:left="6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Veracyte Intellectual Property</w:t>
      </w:r>
      <w:r>
        <w:rPr>
          <w:rFonts w:ascii="Arial" w:cs="Arial" w:eastAsia="Arial" w:hAnsi="Arial"/>
          <w:sz w:val="16"/>
          <w:szCs w:val="16"/>
          <w:color w:val="auto"/>
        </w:rPr>
        <w:t>” shall mean any and all Intellectual Property Rights exclusively or non-exclusively (with the right to grant sublicenses) owned or controlled by Veracyte or its Affiliates during the Term that are required for Genzyme to carry out its obligations to promote, market and detail the Test under this Agreement. For the avoidance of doubt, Veracyte Intellectual Property includes any Intellectual Property Rights related to Improvements required to promote, market and detail any such Improvements to the Test. The Veracyte Intellectual Property includes the patents and patent applications identified in Exhibit A, which shall be promptly updated by Veracyte from time to time as appropriate to list any additional patents and patent applications that existed as of the Effective Date but were not included in Exhibit A (if any) or are conceived, developed or acquired by or on behalf of Veracyte or its Affiliates after the Effective Date that constitute Veracyte Intellectual Property.</w:t>
      </w:r>
    </w:p>
    <w:p>
      <w:pPr>
        <w:spacing w:after="0" w:line="170" w:lineRule="exact"/>
        <w:rPr>
          <w:sz w:val="20"/>
          <w:szCs w:val="20"/>
          <w:color w:val="auto"/>
        </w:rPr>
      </w:pPr>
    </w:p>
    <w:p>
      <w:pPr>
        <w:ind w:left="640" w:right="6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Veracyte Owned Intellectual Property</w:t>
      </w:r>
      <w:r>
        <w:rPr>
          <w:rFonts w:ascii="Arial" w:cs="Arial" w:eastAsia="Arial" w:hAnsi="Arial"/>
          <w:sz w:val="17"/>
          <w:szCs w:val="17"/>
          <w:color w:val="auto"/>
        </w:rPr>
        <w:t>” shall mean any and all Veracyte Intellectual Property Rights exclusively owned or controlled by Veracyte including the patents and patent applications indicated on Exhibit A, including without limitation their foreign counterparts.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 GENERAL ARRANGEMENTS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u w:val="single" w:color="auto"/>
          <w:color w:val="auto"/>
        </w:rPr>
        <w:t>Grant of Rights</w:t>
      </w:r>
      <w:r>
        <w:rPr>
          <w:rFonts w:ascii="Arial" w:cs="Arial" w:eastAsia="Arial" w:hAnsi="Arial"/>
          <w:sz w:val="16"/>
          <w:szCs w:val="16"/>
          <w:color w:val="auto"/>
        </w:rPr>
        <w:t>.</w:t>
      </w:r>
    </w:p>
    <w:p>
      <w:pPr>
        <w:spacing w:after="0" w:line="224" w:lineRule="exact"/>
        <w:rPr>
          <w:sz w:val="20"/>
          <w:szCs w:val="20"/>
          <w:color w:val="auto"/>
        </w:rPr>
      </w:pPr>
    </w:p>
    <w:p>
      <w:pPr>
        <w:ind w:left="1260" w:right="40" w:hanging="628"/>
        <w:spacing w:after="0" w:line="290" w:lineRule="auto"/>
        <w:tabs>
          <w:tab w:leader="none" w:pos="124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color w:val="auto"/>
        </w:rPr>
        <w:t>Subject to the terms of this Agreement and subject to Veracyte’s retained rights under Section 2.1.2, Veracyte hereby grants to Genzyme and its Affiliates (to the extent such Affiliates are promoting, marketing, and detailing the Test hereunder), on a co-exclusive basis in the Territories, the right and license under the Veracyte Intellectual Property to promote, market and detail the Test in the Territories during the Term and to conduct its obligations under this Agreement as permitted under and subject to the terms and conditions set forth in this Agreement.</w:t>
      </w:r>
    </w:p>
    <w:p>
      <w:pPr>
        <w:spacing w:after="0" w:line="159" w:lineRule="exact"/>
        <w:rPr>
          <w:sz w:val="20"/>
          <w:szCs w:val="20"/>
          <w:color w:val="auto"/>
        </w:rPr>
      </w:pPr>
    </w:p>
    <w:p>
      <w:pPr>
        <w:ind w:left="1260" w:right="220" w:hanging="628"/>
        <w:spacing w:after="0" w:line="285" w:lineRule="auto"/>
        <w:tabs>
          <w:tab w:leader="none" w:pos="12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6"/>
          <w:szCs w:val="16"/>
          <w:color w:val="auto"/>
        </w:rPr>
        <w:t>Notwithstanding anything contained herein, or elsewhere, to the contrary, the license grant to Genzyme and its Affiliates (to the extent such Affiliates are granted a license grant pursuant to Section 2.1.1) is expressly made subject to Veracyte’s reservation of the right to promote, market, detail, make, have made, use, sell, offer for sale, import and export the Test in the Territories. Except as expressly set forth hereunder, nothing in this Agreement shall be construed to grant to Genzyme or its Affiliates by implication, estoppel or otherwise any licenses under Intellectual Property Rights owned or controlled by Veracyte other than the Veracyte Intellectual Property.</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Use of Trademarks</w:t>
      </w:r>
      <w:r>
        <w:rPr>
          <w:rFonts w:ascii="Arial" w:cs="Arial" w:eastAsia="Arial" w:hAnsi="Arial"/>
          <w:sz w:val="15"/>
          <w:szCs w:val="15"/>
          <w:color w:val="auto"/>
        </w:rPr>
        <w:t>.</w:t>
      </w:r>
    </w:p>
    <w:p>
      <w:pPr>
        <w:spacing w:after="0" w:line="224" w:lineRule="exact"/>
        <w:rPr>
          <w:sz w:val="20"/>
          <w:szCs w:val="20"/>
          <w:color w:val="auto"/>
        </w:rPr>
      </w:pPr>
    </w:p>
    <w:p>
      <w:pPr>
        <w:ind w:left="1260" w:right="140" w:hanging="628"/>
        <w:spacing w:after="0" w:line="289" w:lineRule="auto"/>
        <w:tabs>
          <w:tab w:leader="none" w:pos="124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Veracyte hereby grants to Genzyme and its Affiliates a non-exclusive, royalty-free right and license to use the Trademarks of Veracyte solely in connection 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spacing w:after="0" w:line="279" w:lineRule="auto"/>
        <w:rPr>
          <w:sz w:val="20"/>
          <w:szCs w:val="20"/>
          <w:color w:val="auto"/>
        </w:rPr>
      </w:pPr>
      <w:r>
        <w:rPr>
          <w:rFonts w:ascii="Arial" w:cs="Arial" w:eastAsia="Arial" w:hAnsi="Arial"/>
          <w:sz w:val="16"/>
          <w:szCs w:val="16"/>
          <w:color w:val="auto"/>
        </w:rPr>
        <w:t>performing its obligations hereunder. Genzyme hereby grants to Veracyte and its Affiliates a non-exclusive, royalty-free right and license to use the Trademarks of Genzyme solely in connection with performing its obligations hereunder. Genzyme and its Affiliates may use the Veracyte Trademarks on leaflets, brochures, advertising and other promotional material that describe the Test and products promoted, marketed and detailed by the Genzyme sales force promoting the Test. Veracyte and its Affiliates may use the Genzyme Trademarks on leaflets, brochures, advertising and other promotional and sales materials that describe the Test and products promoted by the Genzyme sales force promoting the Test. Notwithstanding the foregoing, any usage of a party’s Trademarks by the other party must be approved in advance by the party who owns the Trademarks, such approval not to be unreasonably withheld, delayed, or conditioned. It is understood and agreed that neither party shall use the other party’s Trademarks in Test labeling (which includes without limitation Collection Kit packaging, labels and package inserts, laboratory requisitions, and patient report forms) unless otherwise required by applicable laws and regulations (in which case the prior approval must still be obtained for such usage pursuant to the immediately preceding sentence).</w:t>
      </w:r>
    </w:p>
    <w:p>
      <w:pPr>
        <w:spacing w:after="0" w:line="168" w:lineRule="exact"/>
        <w:rPr>
          <w:sz w:val="20"/>
          <w:szCs w:val="20"/>
          <w:color w:val="auto"/>
        </w:rPr>
      </w:pPr>
    </w:p>
    <w:p>
      <w:pPr>
        <w:ind w:left="1260" w:right="100" w:hanging="628"/>
        <w:spacing w:after="0" w:line="289" w:lineRule="auto"/>
        <w:tabs>
          <w:tab w:leader="none" w:pos="124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7"/>
          <w:szCs w:val="17"/>
          <w:color w:val="auto"/>
        </w:rPr>
        <w:t>Each party shall use the Trademarks only for the purposes authorized hereunder and, in particular, shall not use the Trademarks in a manner that would reduce or diminish the reputation, image and distinctiveness of the Trademarks.</w:t>
      </w:r>
    </w:p>
    <w:p>
      <w:pPr>
        <w:spacing w:after="0" w:line="158" w:lineRule="exact"/>
        <w:rPr>
          <w:sz w:val="20"/>
          <w:szCs w:val="20"/>
          <w:color w:val="auto"/>
        </w:rPr>
      </w:pPr>
    </w:p>
    <w:p>
      <w:pPr>
        <w:ind w:left="1260" w:right="40" w:hanging="628"/>
        <w:spacing w:after="0" w:line="273" w:lineRule="auto"/>
        <w:tabs>
          <w:tab w:leader="none" w:pos="124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color w:val="auto"/>
        </w:rPr>
        <w:t>Neither party shall, by virtue of this Agreement, obtain or claim any right, title or interest in or to the Trademarks of the other party, except the rights of use as are specifically set out herein, and each party hereby acknowledges and agrees that the goodwill arising from such use shall at all times inure for the benefit of the existing owner of the Trademark.</w:t>
      </w:r>
    </w:p>
    <w:p>
      <w:pPr>
        <w:spacing w:after="0" w:line="172" w:lineRule="exact"/>
        <w:rPr>
          <w:sz w:val="20"/>
          <w:szCs w:val="20"/>
          <w:color w:val="auto"/>
        </w:rPr>
      </w:pPr>
    </w:p>
    <w:p>
      <w:pPr>
        <w:ind w:left="1260" w:right="120" w:hanging="628"/>
        <w:spacing w:after="0" w:line="298" w:lineRule="auto"/>
        <w:tabs>
          <w:tab w:leader="none" w:pos="124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6"/>
          <w:szCs w:val="16"/>
          <w:color w:val="auto"/>
        </w:rPr>
        <w:t>Neither party shall adopt or use any trademark, symbol or device which includes or which is confusingly similar to, or is a simulation or colorable imitation of, any of the Trademarks. Neither party shall apply to register the Trademarks or any trademark so nearly resembling them or any of them as may be likely to cause confusion and nothing in this Agreement shall be deemed to give either party any such right.</w:t>
      </w:r>
    </w:p>
    <w:p>
      <w:pPr>
        <w:spacing w:after="0" w:line="154" w:lineRule="exact"/>
        <w:rPr>
          <w:sz w:val="20"/>
          <w:szCs w:val="20"/>
          <w:color w:val="auto"/>
        </w:rPr>
      </w:pPr>
    </w:p>
    <w:p>
      <w:pPr>
        <w:ind w:left="1260" w:right="120" w:hanging="628"/>
        <w:spacing w:after="0" w:line="290" w:lineRule="auto"/>
        <w:tabs>
          <w:tab w:leader="none" w:pos="124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6"/>
          <w:szCs w:val="16"/>
          <w:color w:val="auto"/>
        </w:rPr>
        <w:t>Each party shall, promptly upon written request by the other party, submit to the requesting party samples of any packaging, leaflets, brochures, advertising, promotional material and any other material relating to the Test necessary in order to monitor such party’s compliance with its obligations hereunder. Each party shall use the other party’s Trademarks in such font, form, color, size or other representation as are promptly approved in writing by such other party (such approval not to be unreasonably withheld, conditioned or delayed).</w:t>
      </w:r>
    </w:p>
    <w:p>
      <w:pPr>
        <w:spacing w:after="0" w:line="159" w:lineRule="exact"/>
        <w:rPr>
          <w:sz w:val="20"/>
          <w:szCs w:val="20"/>
          <w:color w:val="auto"/>
        </w:rPr>
      </w:pPr>
    </w:p>
    <w:p>
      <w:pPr>
        <w:ind w:left="1260" w:right="320" w:hanging="628"/>
        <w:spacing w:after="0" w:line="289" w:lineRule="auto"/>
        <w:tabs>
          <w:tab w:leader="none" w:pos="1240" w:val="left"/>
        </w:tabs>
        <w:rPr>
          <w:sz w:val="20"/>
          <w:szCs w:val="20"/>
          <w:color w:val="auto"/>
        </w:rPr>
      </w:pPr>
      <w:r>
        <w:rPr>
          <w:rFonts w:ascii="Arial" w:cs="Arial" w:eastAsia="Arial" w:hAnsi="Arial"/>
          <w:sz w:val="17"/>
          <w:szCs w:val="17"/>
          <w:color w:val="auto"/>
        </w:rPr>
        <w:t>2.2.6</w:t>
      </w:r>
      <w:r>
        <w:rPr>
          <w:sz w:val="20"/>
          <w:szCs w:val="20"/>
          <w:color w:val="auto"/>
        </w:rPr>
        <w:tab/>
      </w:r>
      <w:r>
        <w:rPr>
          <w:rFonts w:ascii="Arial" w:cs="Arial" w:eastAsia="Arial" w:hAnsi="Arial"/>
          <w:sz w:val="17"/>
          <w:szCs w:val="17"/>
          <w:color w:val="auto"/>
        </w:rPr>
        <w:t>Nothing in this Agreement shall entitle Genzyme or Veracyte to use the other party’s Trademarks as part of any corporate business or trading name or logo or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80"/>
        <w:spacing w:after="0" w:line="289" w:lineRule="auto"/>
        <w:rPr>
          <w:sz w:val="20"/>
          <w:szCs w:val="20"/>
          <w:color w:val="auto"/>
        </w:rPr>
      </w:pPr>
      <w:r>
        <w:rPr>
          <w:rFonts w:ascii="Arial" w:cs="Arial" w:eastAsia="Arial" w:hAnsi="Arial"/>
          <w:sz w:val="17"/>
          <w:szCs w:val="17"/>
          <w:color w:val="auto"/>
        </w:rPr>
        <w:t>use the Trademarks or any marks which are similar to the Trademarks in respect of any goods which are similar to the Test without the express written consent of the other party.</w:t>
      </w:r>
    </w:p>
    <w:p>
      <w:pPr>
        <w:spacing w:after="0" w:line="158" w:lineRule="exact"/>
        <w:rPr>
          <w:sz w:val="20"/>
          <w:szCs w:val="20"/>
          <w:color w:val="auto"/>
        </w:rPr>
      </w:pPr>
    </w:p>
    <w:p>
      <w:pPr>
        <w:ind w:left="1260" w:right="200" w:hanging="628"/>
        <w:spacing w:after="0" w:line="298" w:lineRule="auto"/>
        <w:tabs>
          <w:tab w:leader="none" w:pos="1240"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6"/>
          <w:szCs w:val="16"/>
          <w:color w:val="auto"/>
        </w:rPr>
        <w:t>Each party shall ensure that whenever it uses the Trademarks of the other party, the party shall use Commercially Reasonable Efforts to ensure that such Trademarks accompanied by the appropriate wording and symbols (® or TM) necessary to either show that the Trademarks are registered trademarks or trademarks, as the case may be, of the other party or to otherwise protect such Trademarks.</w:t>
      </w:r>
    </w:p>
    <w:p>
      <w:pPr>
        <w:spacing w:after="0" w:line="154" w:lineRule="exact"/>
        <w:rPr>
          <w:sz w:val="20"/>
          <w:szCs w:val="20"/>
          <w:color w:val="auto"/>
        </w:rPr>
      </w:pPr>
    </w:p>
    <w:p>
      <w:pPr>
        <w:ind w:left="1260" w:right="480" w:hanging="628"/>
        <w:spacing w:after="0" w:line="360" w:lineRule="auto"/>
        <w:tabs>
          <w:tab w:leader="none" w:pos="1240" w:val="left"/>
        </w:tabs>
        <w:rPr>
          <w:sz w:val="20"/>
          <w:szCs w:val="20"/>
          <w:color w:val="auto"/>
        </w:rPr>
      </w:pPr>
      <w:r>
        <w:rPr>
          <w:rFonts w:ascii="Arial" w:cs="Arial" w:eastAsia="Arial" w:hAnsi="Arial"/>
          <w:sz w:val="17"/>
          <w:szCs w:val="17"/>
          <w:color w:val="auto"/>
        </w:rPr>
        <w:t>2.2.8</w:t>
      </w:r>
      <w:r>
        <w:rPr>
          <w:sz w:val="20"/>
          <w:szCs w:val="20"/>
          <w:color w:val="auto"/>
        </w:rPr>
        <w:tab/>
      </w:r>
      <w:r>
        <w:rPr>
          <w:rFonts w:ascii="Arial" w:cs="Arial" w:eastAsia="Arial" w:hAnsi="Arial"/>
          <w:sz w:val="15"/>
          <w:szCs w:val="15"/>
          <w:color w:val="auto"/>
        </w:rPr>
        <w:t>Genzyme shall give Veracyte prompt written notice of any infringement or threatened infringement of any Trademarks of Veracyte used in connection with this Agreement that it becomes aware of, and Veracyte shall give Genzyme prompt written notice of any infringement or</w:t>
      </w:r>
    </w:p>
    <w:p>
      <w:pPr>
        <w:sectPr>
          <w:pgSz w:w="11900" w:h="16918" w:orient="portrait"/>
          <w:cols w:equalWidth="0" w:num="1">
            <w:col w:w="11420"/>
          </w:cols>
          <w:pgMar w:left="240" w:top="128" w:right="239" w:bottom="0" w:gutter="0" w:footer="0" w:header="0"/>
        </w:sectPr>
      </w:pPr>
    </w:p>
    <w:bookmarkStart w:id="185" w:name="page186"/>
    <w:bookmarkEnd w:id="185"/>
    <w:p>
      <w:pPr>
        <w:ind w:left="1260" w:right="20"/>
        <w:spacing w:after="0" w:line="268" w:lineRule="auto"/>
        <w:rPr>
          <w:sz w:val="20"/>
          <w:szCs w:val="20"/>
          <w:color w:val="auto"/>
        </w:rPr>
      </w:pPr>
      <w:r>
        <w:rPr>
          <w:rFonts w:ascii="Arial" w:cs="Arial" w:eastAsia="Arial" w:hAnsi="Arial"/>
          <w:sz w:val="17"/>
          <w:szCs w:val="17"/>
          <w:color w:val="auto"/>
        </w:rPr>
        <w:t>threatened infringement of any of the Trademarks of Genzyme used in connection with this Agreement that it becomes aware of. Veracyte shall determine in its sole discretion what action, if any, to take in response to the infringement or threatened infringement of any Veracyte Trademark. Genzyme shall determine in its sole discretion what action, if any, to take in response to the infringement or threatened infringement of any Genzyme Trademark.</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u w:val="single" w:color="auto"/>
          <w:color w:val="auto"/>
        </w:rPr>
        <w:t>License Fees</w:t>
      </w:r>
      <w:r>
        <w:rPr>
          <w:rFonts w:ascii="Arial" w:cs="Arial" w:eastAsia="Arial" w:hAnsi="Arial"/>
          <w:sz w:val="15"/>
          <w:szCs w:val="15"/>
          <w:color w:val="auto"/>
        </w:rPr>
        <w:t>.</w:t>
      </w:r>
    </w:p>
    <w:p>
      <w:pPr>
        <w:spacing w:after="0" w:line="224" w:lineRule="exact"/>
        <w:rPr>
          <w:sz w:val="20"/>
          <w:szCs w:val="20"/>
          <w:color w:val="auto"/>
        </w:rPr>
      </w:pPr>
    </w:p>
    <w:p>
      <w:pPr>
        <w:jc w:val="both"/>
        <w:ind w:left="1260" w:right="140" w:hanging="628"/>
        <w:spacing w:after="0" w:line="273" w:lineRule="auto"/>
        <w:tabs>
          <w:tab w:leader="none" w:pos="124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In consideration of the rights granted by Veracyte to Genzyme under this Agreement, Genzyme shall pay Veracyte a one-time, non-refundable (except as set forth in Section 11.8.4 hereof) fee of $10,000,000 (ten million dollars), such payment to be made within thirty (30) calendar days after the Effective Date.</w:t>
      </w:r>
    </w:p>
    <w:p>
      <w:pPr>
        <w:spacing w:after="0" w:line="172" w:lineRule="exact"/>
        <w:rPr>
          <w:sz w:val="20"/>
          <w:szCs w:val="20"/>
          <w:color w:val="auto"/>
        </w:rPr>
      </w:pPr>
    </w:p>
    <w:p>
      <w:pPr>
        <w:ind w:left="1260" w:right="220" w:hanging="628"/>
        <w:spacing w:after="0" w:line="281" w:lineRule="auto"/>
        <w:tabs>
          <w:tab w:leader="none" w:pos="12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Additionally, Genzyme shall pay to Veracyte a non-refundable fee of $600,000 (six hundred thousand dollars) when Veracyte obtains in any Country in Territory B: (i) any required Marketing Authorization and (ii) Positive Coverage (as defined below) for the Test. This milestone payment will be payable no more than five (5) times during the Term. Each such payment shall be made within thirty (30) calendar days after Genzyme receives written notification by Veracyte that it has met both criteria set forth in 2.3.2(i) and 2.3.2(ii) for a particular Country. For avoidance of doubt, “Positive Coverage” shall mean reimbursement on average of at least fifty percent (50%) of the gross billings for the Test based on an aggregate of at least seven hundred and fifty (750) consecutive billings in a particular Country. For avoidance of doubt, the aggregate payment to Veracyte pursuant to this Section 2.3.2 shall not exceed $3,000,000 (three million dollars).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Covenants Not to Compete</w:t>
      </w:r>
      <w:r>
        <w:rPr>
          <w:rFonts w:ascii="Arial" w:cs="Arial" w:eastAsia="Arial" w:hAnsi="Arial"/>
          <w:sz w:val="15"/>
          <w:szCs w:val="15"/>
          <w:color w:val="auto"/>
        </w:rPr>
        <w:t>.</w:t>
      </w:r>
    </w:p>
    <w:p>
      <w:pPr>
        <w:spacing w:after="0" w:line="224" w:lineRule="exact"/>
        <w:rPr>
          <w:sz w:val="20"/>
          <w:szCs w:val="20"/>
          <w:color w:val="auto"/>
        </w:rPr>
      </w:pPr>
    </w:p>
    <w:p>
      <w:pPr>
        <w:ind w:left="1260" w:right="260" w:hanging="628"/>
        <w:spacing w:after="0" w:line="289" w:lineRule="auto"/>
        <w:tabs>
          <w:tab w:leader="none" w:pos="124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During the Term of this Agreement, Genzyme and its Affiliates (including, without limitation, Sanofi) shall not, directly or indirectly, market, promote,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290" w:lineRule="auto"/>
        <w:rPr>
          <w:sz w:val="20"/>
          <w:szCs w:val="20"/>
          <w:color w:val="auto"/>
        </w:rPr>
      </w:pPr>
      <w:r>
        <w:rPr>
          <w:rFonts w:ascii="Arial" w:cs="Arial" w:eastAsia="Arial" w:hAnsi="Arial"/>
          <w:sz w:val="16"/>
          <w:szCs w:val="16"/>
          <w:color w:val="auto"/>
        </w:rPr>
        <w:t>detail, perform or process for commercial use, sell or offer for sale, import or commercialize any diagnostic test, diagnostic service, or diagnostic product in any Country in the Territories that is either for the assessment of thyroid nodules, or that otherwise competes with the Test (or any Improvements thereto) in any way. For the avoidance of doubt, this Section 2.4.1 shall not prohibit Genzyme or its Affiliates (including, without limitation, Sanofi), from marketing, promoting, selling, offering to sell, importing or commercializing Thyrogen,.</w:t>
      </w:r>
    </w:p>
    <w:p>
      <w:pPr>
        <w:spacing w:after="0" w:line="159" w:lineRule="exact"/>
        <w:rPr>
          <w:sz w:val="20"/>
          <w:szCs w:val="20"/>
          <w:color w:val="auto"/>
        </w:rPr>
      </w:pPr>
    </w:p>
    <w:p>
      <w:pPr>
        <w:ind w:left="1260" w:right="140" w:hanging="628"/>
        <w:spacing w:after="0" w:line="273" w:lineRule="auto"/>
        <w:tabs>
          <w:tab w:leader="none" w:pos="124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During the Term of this Agreement, Veracyte and its Affiliates shall not, directly or indirectly, market, promote, detail, perform or process for commercial use, sell or offer for sale, import or commercialize any test, service, or product in any Country in the Territories that competes with Thyrogen:</w:t>
      </w:r>
    </w:p>
    <w:p>
      <w:pPr>
        <w:spacing w:after="0" w:line="172" w:lineRule="exact"/>
        <w:rPr>
          <w:sz w:val="20"/>
          <w:szCs w:val="20"/>
          <w:color w:val="auto"/>
        </w:rPr>
      </w:pPr>
    </w:p>
    <w:p>
      <w:pPr>
        <w:ind w:left="1740" w:hanging="477"/>
        <w:spacing w:after="0"/>
        <w:tabs>
          <w:tab w:leader="none" w:pos="17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Thyrogen’s labelled indications described below,</w:t>
      </w:r>
    </w:p>
    <w:p>
      <w:pPr>
        <w:spacing w:after="0" w:line="224" w:lineRule="exact"/>
        <w:rPr>
          <w:rFonts w:ascii="Arial" w:cs="Arial" w:eastAsia="Arial" w:hAnsi="Arial"/>
          <w:sz w:val="17"/>
          <w:szCs w:val="17"/>
          <w:color w:val="auto"/>
        </w:rPr>
      </w:pPr>
    </w:p>
    <w:p>
      <w:pPr>
        <w:ind w:left="1760" w:hanging="497"/>
        <w:spacing w:after="0"/>
        <w:tabs>
          <w:tab w:leader="none" w:pos="17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 a therapy for treating multinodular goiter or</w:t>
      </w:r>
    </w:p>
    <w:p>
      <w:pPr>
        <w:spacing w:after="0" w:line="224" w:lineRule="exact"/>
        <w:rPr>
          <w:rFonts w:ascii="Arial" w:cs="Arial" w:eastAsia="Arial" w:hAnsi="Arial"/>
          <w:sz w:val="17"/>
          <w:szCs w:val="17"/>
          <w:color w:val="auto"/>
        </w:rPr>
      </w:pPr>
    </w:p>
    <w:p>
      <w:pPr>
        <w:ind w:left="1760" w:right="40" w:hanging="497"/>
        <w:spacing w:after="0" w:line="262" w:lineRule="auto"/>
        <w:tabs>
          <w:tab w:leader="none" w:pos="1764"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any future labeled indications for Thyrogen approved by the regulatory authorities for a particular Country (with it being understood that if Veracyte or any of its Affiliates directly or indirectly conducts research, product development, or clinical studies, or otherwise markets, promotes, details, performs or processes for commercial use, sells or offers for sale, imports or commercializes any test, product or service for an indication (other than solely for multinodular goiter) that is not an approved labelled indication for Thyrogen at the time Veracyte or its Affiliate, as the case may be, has commenced such activities and such indication is subsequently included in the approved labelled uses for Thyrogen, then Veracyte or its Affiliates, as the case may be, may continue such activities without being deemed to be in violation of this Section 2.4.2).</w:t>
      </w:r>
    </w:p>
    <w:p>
      <w:pPr>
        <w:spacing w:after="0" w:line="184" w:lineRule="exact"/>
        <w:rPr>
          <w:sz w:val="20"/>
          <w:szCs w:val="20"/>
          <w:color w:val="auto"/>
        </w:rPr>
      </w:pPr>
    </w:p>
    <w:p>
      <w:pPr>
        <w:ind w:left="660" w:right="20"/>
        <w:spacing w:after="0" w:line="262" w:lineRule="auto"/>
        <w:rPr>
          <w:sz w:val="20"/>
          <w:szCs w:val="20"/>
          <w:color w:val="auto"/>
        </w:rPr>
      </w:pPr>
      <w:r>
        <w:rPr>
          <w:rFonts w:ascii="Arial" w:cs="Arial" w:eastAsia="Arial" w:hAnsi="Arial"/>
          <w:sz w:val="17"/>
          <w:szCs w:val="17"/>
          <w:color w:val="auto"/>
        </w:rPr>
        <w:t>Thyrogen is indicated for use as (i) an adjunctive diagnostic tool for serum thyroglobulin (Tg) testing with or without radioiodine imaging in the follow-up of patients with well-differentiated thyroid cancer and (ii) an adjunctive treatment for radioiodine ablation of thyroid tissue remnants in patients who have undergone a near-total or total thyroidectomy for well-differentiated thyroid cancer and who do not have evidence of metastatic thyroid cancer. For the avoidance of doubt, Veracyte’s obligations under this Section 2.4.2 shall include commercial substitutes for Thyrogen (including without limitation low functional sensitivity assays, any form of recombinant thyroid stimulating hormones or modified formulations thereof) whether or not the labeled use for such substitute overlaps with the then-current Thyrogen label. It is understood and agreed that this Section 2.4.2 shall not prohibit Veracyte or its Affiliates from marketing, promoting, selling, offering to sell, importing or commercializing (A) the Test or (B) any Future Test that does not directly compete with Thyrogen as described above.</w:t>
      </w:r>
    </w:p>
    <w:p>
      <w:pPr>
        <w:spacing w:after="0" w:line="181" w:lineRule="exact"/>
        <w:rPr>
          <w:sz w:val="20"/>
          <w:szCs w:val="20"/>
          <w:color w:val="auto"/>
        </w:rPr>
      </w:pPr>
    </w:p>
    <w:p>
      <w:pPr>
        <w:ind w:left="660" w:right="320" w:hanging="653"/>
        <w:spacing w:after="0" w:line="289" w:lineRule="auto"/>
        <w:tabs>
          <w:tab w:leader="none" w:pos="6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u w:val="single" w:color="auto"/>
          <w:color w:val="auto"/>
        </w:rPr>
        <w:t>Right of First Offer</w:t>
      </w:r>
      <w:r>
        <w:rPr>
          <w:rFonts w:ascii="Arial" w:cs="Arial" w:eastAsia="Arial" w:hAnsi="Arial"/>
          <w:sz w:val="17"/>
          <w:szCs w:val="17"/>
          <w:color w:val="auto"/>
        </w:rPr>
        <w:t>. If during the Term of the Agreement (i) Veracyte owns or controls a Future Test and (ii) Veracyte decides to commercialize such</w:t>
      </w:r>
      <w:r>
        <w:rPr>
          <w:rFonts w:ascii="Arial" w:cs="Arial" w:eastAsia="Arial" w:hAnsi="Arial"/>
          <w:sz w:val="17"/>
          <w:szCs w:val="17"/>
          <w:u w:val="single" w:color="auto"/>
          <w:color w:val="auto"/>
        </w:rPr>
        <w:t xml:space="preserve"> </w:t>
      </w:r>
      <w:r>
        <w:rPr>
          <w:rFonts w:ascii="Arial" w:cs="Arial" w:eastAsia="Arial" w:hAnsi="Arial"/>
          <w:sz w:val="17"/>
          <w:szCs w:val="17"/>
          <w:color w:val="auto"/>
        </w:rPr>
        <w:t>Future Test in any Country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20"/>
        <w:spacing w:after="0" w:line="289" w:lineRule="auto"/>
        <w:rPr>
          <w:sz w:val="20"/>
          <w:szCs w:val="20"/>
          <w:color w:val="auto"/>
        </w:rPr>
      </w:pPr>
      <w:r>
        <w:rPr>
          <w:rFonts w:ascii="Arial" w:cs="Arial" w:eastAsia="Arial" w:hAnsi="Arial"/>
          <w:sz w:val="17"/>
          <w:szCs w:val="17"/>
          <w:color w:val="auto"/>
        </w:rPr>
        <w:t>in the Territory, Veracyte will offer Genzyme the first opportunity to obtain the right to co-promote such Future Test in such Country. In such case, the following procedure shall apply:</w:t>
      </w:r>
    </w:p>
    <w:p>
      <w:pPr>
        <w:spacing w:after="0" w:line="158" w:lineRule="exact"/>
        <w:rPr>
          <w:sz w:val="20"/>
          <w:szCs w:val="20"/>
          <w:color w:val="auto"/>
        </w:rPr>
      </w:pPr>
    </w:p>
    <w:p>
      <w:pPr>
        <w:ind w:left="1300" w:right="120" w:hanging="653"/>
        <w:spacing w:after="0" w:line="273" w:lineRule="auto"/>
        <w:tabs>
          <w:tab w:leader="none" w:pos="128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Within ten (10) business days after its decision under Section 2.5(ii) above, Veracyte shall invite Genzyme in writing to enter into negotiations, setting forth, in such invitation, Veracyte’s proposed terms for co-promotion of the Future Test and any and all information about such Future Test as is reasonably requested by Genzyme;</w:t>
      </w:r>
    </w:p>
    <w:p>
      <w:pPr>
        <w:spacing w:after="0" w:line="172" w:lineRule="exact"/>
        <w:rPr>
          <w:sz w:val="20"/>
          <w:szCs w:val="20"/>
          <w:color w:val="auto"/>
        </w:rPr>
      </w:pPr>
    </w:p>
    <w:p>
      <w:pPr>
        <w:ind w:left="1300" w:right="160" w:hanging="653"/>
        <w:spacing w:after="0" w:line="290" w:lineRule="auto"/>
        <w:tabs>
          <w:tab w:leader="none" w:pos="1280" w:val="left"/>
        </w:tabs>
        <w:rPr>
          <w:sz w:val="20"/>
          <w:szCs w:val="20"/>
          <w:color w:val="auto"/>
        </w:rPr>
      </w:pPr>
      <w:r>
        <w:rPr>
          <w:rFonts w:ascii="Arial" w:cs="Arial" w:eastAsia="Arial" w:hAnsi="Arial"/>
          <w:sz w:val="17"/>
          <w:szCs w:val="17"/>
          <w:color w:val="auto"/>
        </w:rPr>
        <w:t>2.5.2</w:t>
      </w:r>
      <w:r>
        <w:rPr>
          <w:sz w:val="20"/>
          <w:szCs w:val="20"/>
          <w:color w:val="auto"/>
        </w:rPr>
        <w:tab/>
      </w:r>
      <w:r>
        <w:rPr>
          <w:rFonts w:ascii="Arial" w:cs="Arial" w:eastAsia="Arial" w:hAnsi="Arial"/>
          <w:sz w:val="16"/>
          <w:szCs w:val="16"/>
          <w:color w:val="auto"/>
        </w:rPr>
        <w:t>If Genzyme wishes to enter into such negotiations, Genzyme shall, within thirty (30) calendar days following receipt of Veracyte’s invitation, deliver to Veracyte written notice of Genzyme’s intent to negotiate for rights to said Future Test. Promptly after receipt of such notice, the parties shall commence good faith negotiations exclusively with each other for a period not to exceed one hundred twenty (120) calendar days after the date Genzyme gives the requisite notice to Veracyte (unless extended by mutual written agreement of the parties); and</w:t>
      </w:r>
    </w:p>
    <w:p>
      <w:pPr>
        <w:sectPr>
          <w:pgSz w:w="11900" w:h="16838" w:orient="portrait"/>
          <w:cols w:equalWidth="0" w:num="1">
            <w:col w:w="11420"/>
          </w:cols>
          <w:pgMar w:left="240" w:top="127" w:right="239" w:bottom="24" w:gutter="0" w:footer="0" w:header="0"/>
        </w:sectPr>
      </w:pPr>
    </w:p>
    <w:bookmarkStart w:id="186" w:name="page187"/>
    <w:bookmarkEnd w:id="186"/>
    <w:p>
      <w:pPr>
        <w:spacing w:after="0" w:line="37" w:lineRule="exact"/>
        <w:rPr>
          <w:sz w:val="20"/>
          <w:szCs w:val="20"/>
          <w:color w:val="auto"/>
        </w:rPr>
      </w:pPr>
    </w:p>
    <w:p>
      <w:pPr>
        <w:jc w:val="both"/>
        <w:ind w:left="1300" w:right="100" w:hanging="653"/>
        <w:spacing w:after="0" w:line="273" w:lineRule="auto"/>
        <w:tabs>
          <w:tab w:leader="none" w:pos="1280" w:val="left"/>
        </w:tabs>
        <w:rPr>
          <w:sz w:val="20"/>
          <w:szCs w:val="20"/>
          <w:color w:val="auto"/>
        </w:rPr>
      </w:pPr>
      <w:r>
        <w:rPr>
          <w:rFonts w:ascii="Arial" w:cs="Arial" w:eastAsia="Arial" w:hAnsi="Arial"/>
          <w:sz w:val="17"/>
          <w:szCs w:val="17"/>
          <w:color w:val="auto"/>
        </w:rPr>
        <w:t>2.5.3</w:t>
      </w:r>
      <w:r>
        <w:rPr>
          <w:sz w:val="20"/>
          <w:szCs w:val="20"/>
          <w:color w:val="auto"/>
        </w:rPr>
        <w:tab/>
      </w:r>
      <w:r>
        <w:rPr>
          <w:rFonts w:ascii="Arial" w:cs="Arial" w:eastAsia="Arial" w:hAnsi="Arial"/>
          <w:sz w:val="17"/>
          <w:szCs w:val="17"/>
          <w:color w:val="auto"/>
        </w:rPr>
        <w:t>If Genzyme does not deliver to Veracyte written notice of its intent to negotiate for such rights within such thirty (30) calendar day period, then Veracyte shall be free to negotiate and enter into a co-promotion agreement or similar agreement for the relevant Future Test and Country with any third party unless such Future Test directly competes with Thyrogen as described in Section 2.4.2 above.</w:t>
      </w:r>
    </w:p>
    <w:p>
      <w:pPr>
        <w:spacing w:after="0" w:line="172" w:lineRule="exact"/>
        <w:rPr>
          <w:sz w:val="20"/>
          <w:szCs w:val="20"/>
          <w:color w:val="auto"/>
        </w:rPr>
      </w:pPr>
    </w:p>
    <w:p>
      <w:pPr>
        <w:ind w:left="1300" w:right="220" w:hanging="653"/>
        <w:spacing w:after="0" w:line="265" w:lineRule="auto"/>
        <w:tabs>
          <w:tab w:leader="none" w:pos="1280" w:val="left"/>
        </w:tabs>
        <w:rPr>
          <w:sz w:val="20"/>
          <w:szCs w:val="20"/>
          <w:color w:val="auto"/>
        </w:rPr>
      </w:pPr>
      <w:r>
        <w:rPr>
          <w:rFonts w:ascii="Arial" w:cs="Arial" w:eastAsia="Arial" w:hAnsi="Arial"/>
          <w:sz w:val="17"/>
          <w:szCs w:val="17"/>
          <w:color w:val="auto"/>
        </w:rPr>
        <w:t>2.5.4</w:t>
      </w:r>
      <w:r>
        <w:rPr>
          <w:sz w:val="20"/>
          <w:szCs w:val="20"/>
          <w:color w:val="auto"/>
        </w:rPr>
        <w:tab/>
      </w:r>
      <w:r>
        <w:rPr>
          <w:rFonts w:ascii="Arial" w:cs="Arial" w:eastAsia="Arial" w:hAnsi="Arial"/>
          <w:sz w:val="17"/>
          <w:szCs w:val="17"/>
          <w:color w:val="auto"/>
        </w:rPr>
        <w:t>If Veracyte and Genzyme do not enter into a legally binding, written agreement within the said one hundred twenty (120) calendar day period (and such period has not been extended by mutual written agreement of the parties), Veracyte shall be free to negotiate and enter into a co-promotion agreement or similar agreement for the relevant Future Test and Country with any third party on terms (considered as a whole) not materially more favorable than the one last offered to Genzyme unless such Future Test directly competes with Thyrogen as described in Section 2.4.2 above.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2.5.5</w:t>
      </w:r>
      <w:r>
        <w:rPr>
          <w:sz w:val="20"/>
          <w:szCs w:val="20"/>
          <w:color w:val="auto"/>
        </w:rPr>
        <w:tab/>
      </w:r>
      <w:r>
        <w:rPr>
          <w:rFonts w:ascii="Arial" w:cs="Arial" w:eastAsia="Arial" w:hAnsi="Arial"/>
          <w:sz w:val="15"/>
          <w:szCs w:val="15"/>
          <w:color w:val="auto"/>
        </w:rPr>
        <w:t>It is the understanding of the parties that the following transactions shall not be subject to the Right of First Offer described in this Section 2.5:</w:t>
      </w:r>
    </w:p>
    <w:p>
      <w:pPr>
        <w:spacing w:after="0" w:line="26" w:lineRule="exact"/>
        <w:rPr>
          <w:sz w:val="20"/>
          <w:szCs w:val="20"/>
          <w:color w:val="auto"/>
        </w:rPr>
      </w:pPr>
    </w:p>
    <w:p>
      <w:pPr>
        <w:ind w:left="1320" w:right="20" w:hanging="8"/>
        <w:spacing w:after="0" w:line="275" w:lineRule="auto"/>
        <w:tabs>
          <w:tab w:leader="none" w:pos="1529"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Change of Control transaction involving Veracyte, including any proposed merger, acquisition, or sale of all or substantially all the assets of Veracyte; or (ii) any bona fide financing transaction for Veracyte.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 GENZYME’S UNDERTAKINGS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Roles and Responsibilities</w:t>
      </w:r>
      <w:r>
        <w:rPr>
          <w:rFonts w:ascii="Arial" w:cs="Arial" w:eastAsia="Arial" w:hAnsi="Arial"/>
          <w:sz w:val="15"/>
          <w:szCs w:val="15"/>
          <w:color w:val="auto"/>
        </w:rPr>
        <w:t>.</w:t>
      </w:r>
    </w:p>
    <w:p>
      <w:pPr>
        <w:spacing w:after="0" w:line="224" w:lineRule="exact"/>
        <w:rPr>
          <w:sz w:val="20"/>
          <w:szCs w:val="20"/>
          <w:color w:val="auto"/>
        </w:rPr>
      </w:pPr>
    </w:p>
    <w:p>
      <w:pPr>
        <w:ind w:left="1280" w:right="40" w:hanging="653"/>
        <w:spacing w:after="0" w:line="289" w:lineRule="auto"/>
        <w:tabs>
          <w:tab w:leader="none" w:pos="12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Subject to the provisions of and during the Term of this Agreement, Genzyme and, to the extent any of its Affiliates employ sales and marketing personnel used to promote, market, sell, or detail Thyrogen, or otherwise promotes, markets,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40"/>
        <w:spacing w:after="0" w:line="263" w:lineRule="auto"/>
        <w:rPr>
          <w:sz w:val="20"/>
          <w:szCs w:val="20"/>
          <w:color w:val="auto"/>
        </w:rPr>
      </w:pPr>
      <w:r>
        <w:rPr>
          <w:rFonts w:ascii="Arial" w:cs="Arial" w:eastAsia="Arial" w:hAnsi="Arial"/>
          <w:sz w:val="17"/>
          <w:szCs w:val="17"/>
          <w:color w:val="auto"/>
        </w:rPr>
        <w:t>sells, or details Thyrogen, such Affiliates shall use Commercially Reasonable Efforts to market, promote and detail the Test to Healthcare Professionals for the Labeled Uses (if and as applicable) (i) in Territory A commencing promptly after the initial Annual Commercial Plan is approved by the Steering Committee and Genzyme’s U.S. sales and marketing representatives have been trained in accordance with Section 4.3, but in no case later than ninety (90) days following the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Veracyte has provided such training in accordance with Section 4.3 within such ninety (90) day period) and (ii) in Territory B in accordance with the then-current Annual Commercial Plan. Genzyme shall reasonably consider any input provided by Veracyte regarding such activities.</w:t>
      </w:r>
    </w:p>
    <w:p>
      <w:pPr>
        <w:spacing w:after="0" w:line="183" w:lineRule="exact"/>
        <w:rPr>
          <w:sz w:val="20"/>
          <w:szCs w:val="20"/>
          <w:color w:val="auto"/>
        </w:rPr>
      </w:pPr>
    </w:p>
    <w:p>
      <w:pPr>
        <w:ind w:left="1280" w:right="80" w:hanging="628"/>
        <w:spacing w:after="0" w:line="281" w:lineRule="auto"/>
        <w:tabs>
          <w:tab w:leader="none" w:pos="12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During Calls, in addition to the Test, Subject Products may be presented, but the promotional message involving the Test must be presented in a substantive manner (i) in the first or second position, as a principal topic of discussion, during the first twelve (12) months of the Term and</w:t>
      </w:r>
    </w:p>
    <w:p>
      <w:pPr>
        <w:spacing w:after="0" w:line="1" w:lineRule="exact"/>
        <w:rPr>
          <w:sz w:val="20"/>
          <w:szCs w:val="20"/>
          <w:color w:val="auto"/>
        </w:rPr>
      </w:pPr>
    </w:p>
    <w:p>
      <w:pPr>
        <w:ind w:left="1280" w:firstLine="8"/>
        <w:spacing w:after="0" w:line="260" w:lineRule="auto"/>
        <w:tabs>
          <w:tab w:leader="none" w:pos="1537"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the first, second or third position during the remainder of the Term (collectively, the “Call Obligations”). At such time as Genzyme begins marketing, promoting and detailing the Test in Territory A in accordance with Section 3.1.1 and for the remainder of the Term of this Agreement, Genzyme and its Affiliates shall observe the Call Obligations on Calls conducted by their respective sales forces used to promote Thyrogen in Territory A unless otherwise agreed by Veracyte in writing in its sole discretion. At such time as Genzyme begins marketing, promoting and detailing the Test in any Country in Territory B in accordance with Section 3.1.1 (or in accordance with the terms and conditions of the then-current Annual Commercial Plan) and for the remainder of the Term of this Agreement, Genzyme and its Affiliates shall observe the Call Obligations on Calls conducted by their respective sales forces used to promote Thryogen in such Country in Territory B unless otherwise agreed by Veracyte in writing in its sole discretion.</w:t>
      </w:r>
    </w:p>
    <w:p>
      <w:pPr>
        <w:spacing w:after="0" w:line="182" w:lineRule="exact"/>
        <w:rPr>
          <w:sz w:val="20"/>
          <w:szCs w:val="20"/>
          <w:color w:val="auto"/>
        </w:rPr>
      </w:pPr>
    </w:p>
    <w:p>
      <w:pPr>
        <w:ind w:left="1280" w:right="40" w:hanging="628"/>
        <w:spacing w:after="0" w:line="279" w:lineRule="auto"/>
        <w:tabs>
          <w:tab w:leader="none" w:pos="12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6"/>
          <w:szCs w:val="16"/>
          <w:color w:val="auto"/>
        </w:rPr>
        <w:t xml:space="preserve">It is acknowledged by the parties that Genzyme has stated that it intends to use its and its Affiliates’ sales and marketing personnel that promote, market and detail Thyrogen to promote, market and detail another Genzyme product, in accordance with and subject to the terms and conditions of this Agreement after it receives marketing approvals from the Regulatory Authorities (any such product so promoted by such sales force, a “Third Genzyme Product”). If, at any time during the Term, Genzyme desires to add a product other than the Third Genzyme Product (a “New Genzyme Product”) to the portfolio of products promoted by the sales force that is promoting, marketing and detailing the Test and Thyrogen (other than pursuant to Section 2.5), Genzyme will obtain Veracyte’s written consent to add such New Genzyme Product to the portfolio as soon as practicable prior to doing so,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such product is in the field of thyroid cancer, (b) the addition of such product would not affect Genzyme or its Affiliates’ ability to comply with its obligations under this Agreement, and (c) the addition of such product would not otherwise violate the terms and conditions of this Agreement, then Veracyte shall not unreasonably withhold, delay or condition its consent. The exact number, targeting and frequency of Calls to be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36" w:lineRule="exact"/>
        <w:rPr>
          <w:sz w:val="20"/>
          <w:szCs w:val="20"/>
          <w:color w:val="auto"/>
        </w:rPr>
      </w:pPr>
    </w:p>
    <w:p>
      <w:pPr>
        <w:ind w:left="1280"/>
        <w:spacing w:after="0" w:line="279" w:lineRule="auto"/>
        <w:rPr>
          <w:sz w:val="20"/>
          <w:szCs w:val="20"/>
          <w:color w:val="auto"/>
        </w:rPr>
      </w:pPr>
      <w:r>
        <w:rPr>
          <w:rFonts w:ascii="Arial" w:cs="Arial" w:eastAsia="Arial" w:hAnsi="Arial"/>
          <w:sz w:val="16"/>
          <w:szCs w:val="16"/>
          <w:color w:val="auto"/>
        </w:rPr>
        <w:t>provided by Genzyme and Veracyte (if applicable) will be determined by the Steering Committee and stated in the Annual Commercial Plan. Genzyme shall reasonably consider any input provided by Veracyte regarding Calls. For the avoidance of doubt, it is understood and agreed that at such time as either of the parties or the Steering Committee decide to launch the Test in a Country in Territory B, if the sales force that is promoting, marketing and detailing Thyrogen in such Country is at such time already promoting, marketing and detailing two (2) or more additional products, then the parties shall discuss whether or not the Test can reasonably be added to the portfolio of products for such sales force. If the parties mutually agree that it can reasonably be added, then the sales force in such Country will present the promotional message involving the Test in a substantive manner in the first, second or third position on Calls in accordance with the terms and conditions of the Annual Commercial Plan and this Agreement. If, within sixty (60) days following either of the parties or the Steering Committee deciding to launch the Test in a Country in Territory B, the parties are unable to come to mutual agreement that the Test can reasonably be added to such sales force in a particular Country, then such Country shall be removed from the definition of Territory B and be deemed a Removed Country.</w:t>
      </w:r>
    </w:p>
    <w:p>
      <w:pPr>
        <w:spacing w:after="0" w:line="168" w:lineRule="exact"/>
        <w:rPr>
          <w:sz w:val="20"/>
          <w:szCs w:val="20"/>
          <w:color w:val="auto"/>
        </w:rPr>
      </w:pPr>
    </w:p>
    <w:p>
      <w:pPr>
        <w:ind w:left="1280" w:hanging="628"/>
        <w:spacing w:after="0" w:line="303" w:lineRule="auto"/>
        <w:tabs>
          <w:tab w:leader="none" w:pos="126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5"/>
          <w:szCs w:val="15"/>
          <w:color w:val="auto"/>
        </w:rPr>
        <w:t>In the event that after the *** of the launch of the Test in a Country in Territory B, Net Revenues for a given calendar year in such Country fail to meet the corresponding forecast for such Country in the Annual Commercial Plan for such Contract Year by more than *** (for reasons other than a force majeure event, a recall of the Test, or a shortage of the Test described in Section 4.5 hereof), the Steering Committee will convene to assess the reasons for such failure and the potential impact of those reasons on the forecast for Net Revenues for the following calendar year. If in the following calendar year Net Revenues for such Country do not meet or exceed the corresponding forecast, then Veracyte shall have the right to (a) elect to cease commercializing or offering the Test in such Country or (b) remove such Country from Territory B and the rights and licenses granted to Genzyme hereunder for such Country with ninety (90) days prior written notice to Genzyme and Veracyte shall be free to</w:t>
      </w:r>
    </w:p>
    <w:p>
      <w:pPr>
        <w:sectPr>
          <w:pgSz w:w="11900" w:h="16875" w:orient="portrait"/>
          <w:cols w:equalWidth="0" w:num="1">
            <w:col w:w="11420"/>
          </w:cols>
          <w:pgMar w:left="240" w:top="127" w:right="239" w:bottom="0" w:gutter="0" w:footer="0" w:header="0"/>
        </w:sectPr>
      </w:pPr>
    </w:p>
    <w:bookmarkStart w:id="187" w:name="page188"/>
    <w:bookmarkEnd w:id="187"/>
    <w:p>
      <w:pPr>
        <w:jc w:val="both"/>
        <w:ind w:left="1280" w:right="100"/>
        <w:spacing w:after="0" w:line="268" w:lineRule="auto"/>
        <w:rPr>
          <w:sz w:val="20"/>
          <w:szCs w:val="20"/>
          <w:color w:val="auto"/>
        </w:rPr>
      </w:pPr>
      <w:r>
        <w:rPr>
          <w:rFonts w:ascii="Arial" w:cs="Arial" w:eastAsia="Arial" w:hAnsi="Arial"/>
          <w:sz w:val="17"/>
          <w:szCs w:val="17"/>
          <w:color w:val="auto"/>
        </w:rPr>
        <w:t>commercialize the test in such Country on its own or through a third party. Notwithstanding the foregoing</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that the failure of Net Revenues to meet the corresponding forecast is due to (i) a reduction in the reimbursed price in such Country, then the terms and conditions of Section 6.5 shall apply in lieu of this Section 3.1.4 or (ii) a Country Regulatory Event, then the terms and conditions of Section 11.6 shall apply in lieu of this Section 3.1.4.</w:t>
      </w:r>
    </w:p>
    <w:p>
      <w:pPr>
        <w:spacing w:after="0" w:line="176" w:lineRule="exact"/>
        <w:rPr>
          <w:sz w:val="20"/>
          <w:szCs w:val="20"/>
          <w:color w:val="auto"/>
        </w:rPr>
      </w:pPr>
    </w:p>
    <w:p>
      <w:pPr>
        <w:ind w:left="1280" w:right="160" w:hanging="628"/>
        <w:spacing w:after="0" w:line="290" w:lineRule="auto"/>
        <w:tabs>
          <w:tab w:leader="none" w:pos="126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6"/>
          <w:szCs w:val="16"/>
          <w:color w:val="auto"/>
        </w:rPr>
        <w:t>In performing their duties hereunder, Genzyme and its Affiliates shall, and shall cause their respective employees and agents who perform activities related to the Test to, comply with all reasonable policies and directives issued by Veracyte from time to time with respect to the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polices and directives are compliant with applicable local laws and regulations, the Labeled Uses and the Marketing Authorizations) and with all applicable regulatory, professional and legal requirements which may be applicable to the services to be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60"/>
        <w:spacing w:after="0" w:line="285" w:lineRule="auto"/>
        <w:rPr>
          <w:sz w:val="20"/>
          <w:szCs w:val="20"/>
          <w:color w:val="auto"/>
        </w:rPr>
      </w:pPr>
      <w:r>
        <w:rPr>
          <w:rFonts w:ascii="Arial" w:cs="Arial" w:eastAsia="Arial" w:hAnsi="Arial"/>
          <w:sz w:val="16"/>
          <w:szCs w:val="16"/>
          <w:color w:val="auto"/>
        </w:rPr>
        <w:t>provided by Genzyme hereunder. Neither Genzyme nor its Affiliates, nor any of their respective employees and agents, shall make any claim, representation, statement, warranty or guaranty with respect to the Test that is not consistent with the then current Labeled Uses, this Agreement or the advertising and promotional materials approved by the Steering Committee, that is deceptive or misleading or that disparages the Test or the good name, goodwill and reputation of Veracyte. Genzyme and its Affiliates shall use Commercially Reasonable Efforts to ensure that any services provided hereunder will be provided in a professional, ethical and competent manner.</w:t>
      </w:r>
    </w:p>
    <w:p>
      <w:pPr>
        <w:spacing w:after="0" w:line="166" w:lineRule="exact"/>
        <w:rPr>
          <w:sz w:val="20"/>
          <w:szCs w:val="20"/>
          <w:color w:val="auto"/>
        </w:rPr>
      </w:pPr>
    </w:p>
    <w:p>
      <w:pPr>
        <w:ind w:left="1280" w:right="600" w:hanging="628"/>
        <w:spacing w:after="0" w:line="273" w:lineRule="auto"/>
        <w:tabs>
          <w:tab w:leader="none" w:pos="126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 xml:space="preserve">Genzyme shall be solely responsible for the costs and expenses of establishing and maintaining Genzyme’s and its Affiliates’ sales force (including travel related costs), and conducting its other activities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training shall be conducted in accordance with Section 4.3.</w:t>
      </w:r>
    </w:p>
    <w:p>
      <w:pPr>
        <w:spacing w:after="0" w:line="172" w:lineRule="exact"/>
        <w:rPr>
          <w:sz w:val="20"/>
          <w:szCs w:val="20"/>
          <w:color w:val="auto"/>
        </w:rPr>
      </w:pPr>
    </w:p>
    <w:p>
      <w:pPr>
        <w:jc w:val="both"/>
        <w:ind w:left="1300" w:right="100" w:hanging="653"/>
        <w:spacing w:after="0" w:line="298" w:lineRule="auto"/>
        <w:tabs>
          <w:tab w:leader="none" w:pos="1280" w:val="left"/>
        </w:tabs>
        <w:rPr>
          <w:sz w:val="20"/>
          <w:szCs w:val="20"/>
          <w:color w:val="auto"/>
        </w:rPr>
      </w:pPr>
      <w:r>
        <w:rPr>
          <w:rFonts w:ascii="Arial" w:cs="Arial" w:eastAsia="Arial" w:hAnsi="Arial"/>
          <w:sz w:val="17"/>
          <w:szCs w:val="17"/>
          <w:color w:val="auto"/>
        </w:rPr>
        <w:t>3.1.7</w:t>
      </w:r>
      <w:r>
        <w:rPr>
          <w:sz w:val="20"/>
          <w:szCs w:val="20"/>
          <w:color w:val="auto"/>
        </w:rPr>
        <w:tab/>
      </w:r>
      <w:r>
        <w:rPr>
          <w:rFonts w:ascii="Arial" w:cs="Arial" w:eastAsia="Arial" w:hAnsi="Arial"/>
          <w:sz w:val="16"/>
          <w:szCs w:val="16"/>
          <w:color w:val="auto"/>
        </w:rPr>
        <w:t>To the extent practicable, all promotional and training materials provided to any of Genzyme’s or its Affiliates’ sales representatives regarding strategy, positioning or selling messages for the Test will be subject to review and approval by the Steering Committee. At any time during the Term, the Steering Committee may delegate a representative from each party to assume the responsibilities set forth in this Section 3.1.7.</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u w:val="single" w:color="auto"/>
          <w:color w:val="auto"/>
        </w:rPr>
        <w:t>Annual Commercial Plan</w:t>
      </w:r>
      <w:r>
        <w:rPr>
          <w:rFonts w:ascii="Arial" w:cs="Arial" w:eastAsia="Arial" w:hAnsi="Arial"/>
          <w:sz w:val="16"/>
          <w:szCs w:val="16"/>
          <w:color w:val="auto"/>
        </w:rPr>
        <w:t>.</w:t>
      </w:r>
    </w:p>
    <w:p>
      <w:pPr>
        <w:spacing w:after="0" w:line="224" w:lineRule="exact"/>
        <w:rPr>
          <w:sz w:val="20"/>
          <w:szCs w:val="20"/>
          <w:color w:val="auto"/>
        </w:rPr>
      </w:pPr>
    </w:p>
    <w:p>
      <w:pPr>
        <w:ind w:left="1300" w:right="60" w:hanging="653"/>
        <w:spacing w:after="0" w:line="291" w:lineRule="auto"/>
        <w:tabs>
          <w:tab w:leader="none" w:pos="128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forty-five (45) days after the Effective Date, and before October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of each calendar year commencing in the year 2012, Genzyme and Veracyte shall jointly submit a commercial plan for the subsequent calendar year (each, an “Annual Commercial Plan”) to the Steering Committee for approval. The Annual Commercial Plan will specify in reasonable detail all marketing and promotional activities that Genzyme (and, where applicable, Veracyte) will undertake in each Country during the relevant calendar year. The Annual Commercial Plan shall include, without limitation, the following: (a) the minimum number of quarterly and annual Calls to be provided by Genzyme (and, where applicable, Veracyte) in each Country in the Territories; (b) Test positioning, strategy and tactics with supporting advertising and promotional activity to be undertaken; (c) a determination of the Healthcare Professional accounts that are appropriate and are not appropriate for Calls; (d) any training programs to be conducted; (e) medical and education programs to be conducted; (f) professional and trade relations activities; (g) any information to be specifically included in any Genzyme Detail Report (as defined in Section 3.5 hereof); (h) specifications for the development of promotional and training materials (including the specific types of such materials to be developed); (i) projections for rebates and discounts for the Test; (j) such other information relating to the marketing and sales of the Test as deemed advisable by the Steering Committee; (k) the projected budget for all of the activities and materials anticipated under such plan, including without limitation projected gross billings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36" w:lineRule="exact"/>
        <w:rPr>
          <w:sz w:val="20"/>
          <w:szCs w:val="20"/>
          <w:color w:val="auto"/>
        </w:rPr>
      </w:pPr>
    </w:p>
    <w:p>
      <w:pPr>
        <w:jc w:val="both"/>
        <w:ind w:left="1280" w:right="340"/>
        <w:spacing w:after="0" w:line="268" w:lineRule="auto"/>
        <w:rPr>
          <w:sz w:val="20"/>
          <w:szCs w:val="20"/>
          <w:color w:val="auto"/>
        </w:rPr>
      </w:pPr>
      <w:r>
        <w:rPr>
          <w:rFonts w:ascii="Arial" w:cs="Arial" w:eastAsia="Arial" w:hAnsi="Arial"/>
          <w:sz w:val="17"/>
          <w:szCs w:val="17"/>
          <w:color w:val="auto"/>
        </w:rPr>
        <w:t>and Net Revenues (in each case for both cytopathology and the molecular testing), projected billing rates by payor, and a breakdown of the projected costs for the activities and materials anticipated under the Annual Commercial Plan; and (l) a three (3) year rolling sales forecast. Neither party shall make any material change in any previously approved Annual Commercial Plan without the prior written approval of the Steering Committee.</w:t>
      </w:r>
    </w:p>
    <w:p>
      <w:pPr>
        <w:spacing w:after="0" w:line="176" w:lineRule="exact"/>
        <w:rPr>
          <w:sz w:val="20"/>
          <w:szCs w:val="20"/>
          <w:color w:val="auto"/>
        </w:rPr>
      </w:pPr>
    </w:p>
    <w:p>
      <w:pPr>
        <w:ind w:left="660" w:right="80" w:hanging="653"/>
        <w:spacing w:after="0" w:line="262" w:lineRule="auto"/>
        <w:tabs>
          <w:tab w:leader="none" w:pos="6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u w:val="single" w:color="auto"/>
          <w:color w:val="auto"/>
        </w:rPr>
        <w:t>Sales Force</w:t>
      </w:r>
      <w:r>
        <w:rPr>
          <w:rFonts w:ascii="Arial" w:cs="Arial" w:eastAsia="Arial" w:hAnsi="Arial"/>
          <w:sz w:val="17"/>
          <w:szCs w:val="17"/>
          <w:color w:val="auto"/>
        </w:rPr>
        <w:t>. Genzyme and its Affiliates shall directly employ a sufficient number of suitably qualified and trained personnel to ensure the fulfilment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Genzyme’s obligations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 in Territory A, the full time equivalent (“FTE”) number of such personnel shall be substantially similar to the number of sales personnel that exists as of the Effective Date in Territory A as described on Exhibit D (“Territory A Sales Force FTEs”) and (ii) in Territory B, Genzyme or its Affiliates shall directly employ at least *** in each Country where the Test has received both any required Marketing Authorization and Positive Coverage who shall devote at least *** time to selling and marketing the Test unless otherwise agreed by the Steering Committee. Genzyme will promptly notify Veracyte in writing of any material proposed or of any actual changes to the sales personnel responsible for promoting the Test hereunder.</w:t>
      </w:r>
    </w:p>
    <w:p>
      <w:pPr>
        <w:spacing w:after="0" w:line="184" w:lineRule="exact"/>
        <w:rPr>
          <w:sz w:val="20"/>
          <w:szCs w:val="20"/>
          <w:color w:val="auto"/>
        </w:rPr>
      </w:pPr>
    </w:p>
    <w:p>
      <w:pPr>
        <w:ind w:left="660" w:right="20" w:hanging="653"/>
        <w:spacing w:after="0" w:line="285" w:lineRule="auto"/>
        <w:tabs>
          <w:tab w:leader="none" w:pos="6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u w:val="single" w:color="auto"/>
          <w:color w:val="auto"/>
        </w:rPr>
        <w:t>Funding Commitments</w:t>
      </w:r>
      <w:r>
        <w:rPr>
          <w:rFonts w:ascii="Arial" w:cs="Arial" w:eastAsia="Arial" w:hAnsi="Arial"/>
          <w:sz w:val="16"/>
          <w:szCs w:val="16"/>
          <w:color w:val="auto"/>
        </w:rPr>
        <w:t>. Genzyme shall spend $500,000 (five hundred thousand dollars) within thirty (30) months after the Effective Date to support</w:t>
      </w:r>
      <w:r>
        <w:rPr>
          <w:rFonts w:ascii="Arial" w:cs="Arial" w:eastAsia="Arial" w:hAnsi="Arial"/>
          <w:sz w:val="16"/>
          <w:szCs w:val="16"/>
          <w:u w:val="single" w:color="auto"/>
          <w:color w:val="auto"/>
        </w:rPr>
        <w:t xml:space="preserve"> </w:t>
      </w:r>
      <w:r>
        <w:rPr>
          <w:rFonts w:ascii="Arial" w:cs="Arial" w:eastAsia="Arial" w:hAnsi="Arial"/>
          <w:sz w:val="16"/>
          <w:szCs w:val="16"/>
          <w:color w:val="auto"/>
        </w:rPr>
        <w:t>clinical development activities for the Test (including, without limitation, reimbursement of Veracyte clinical trial costs, Test Processing Costs for such clinical trials, acquisitions of tissue samples for such clinical trials, and other supplies or support for such clinical trials) needed for entry into Territory B, all as reasonably determined by the Steering Committee. For the avoidance of doubt, Genzyme’s obligation hereunder does not apply to studies conducted that are not for purposes of gaining entry to new markets in Territory B, which are Veracyte’s sole responsibility.</w:t>
      </w:r>
    </w:p>
    <w:p>
      <w:pPr>
        <w:spacing w:after="0" w:line="166" w:lineRule="exact"/>
        <w:rPr>
          <w:sz w:val="20"/>
          <w:szCs w:val="20"/>
          <w:color w:val="auto"/>
        </w:rPr>
      </w:pPr>
    </w:p>
    <w:p>
      <w:pPr>
        <w:ind w:left="660" w:right="80" w:hanging="653"/>
        <w:spacing w:after="0" w:line="268" w:lineRule="auto"/>
        <w:tabs>
          <w:tab w:leader="none" w:pos="6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u w:val="single" w:color="auto"/>
          <w:color w:val="auto"/>
        </w:rPr>
        <w:t>Regular Reporting</w:t>
      </w:r>
      <w:r>
        <w:rPr>
          <w:rFonts w:ascii="Arial" w:cs="Arial" w:eastAsia="Arial" w:hAnsi="Arial"/>
          <w:sz w:val="17"/>
          <w:szCs w:val="17"/>
          <w:color w:val="auto"/>
        </w:rPr>
        <w:t>. Genzyme shall provide Veracyte with a written report (each, a “Genzyme Detail Report”), within thirty (30) calendar days after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end of each calendar quarter during the Term starting with the calendar quarter ending March 31, 2012 (and within thirty (30) calendar days after the end of the Term), setting forth the following information regarding the efforts of Genzyme and its Affiliates’ sales forces in promoting, marketing and detailing the Test during the preceding quarter (or part thereof) for each Country:</w:t>
      </w:r>
    </w:p>
    <w:p>
      <w:pPr>
        <w:spacing w:after="0" w:line="176" w:lineRule="exact"/>
        <w:rPr>
          <w:sz w:val="20"/>
          <w:szCs w:val="20"/>
          <w:color w:val="auto"/>
        </w:rPr>
      </w:pPr>
    </w:p>
    <w:p>
      <w:pPr>
        <w:ind w:left="1880" w:hanging="591"/>
        <w:spacing w:after="0"/>
        <w:tabs>
          <w:tab w:leader="none" w:pos="1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number and frequency of Calls; and</w:t>
      </w:r>
    </w:p>
    <w:p>
      <w:pPr>
        <w:spacing w:after="0" w:line="224" w:lineRule="exact"/>
        <w:rPr>
          <w:rFonts w:ascii="Arial" w:cs="Arial" w:eastAsia="Arial" w:hAnsi="Arial"/>
          <w:sz w:val="17"/>
          <w:szCs w:val="17"/>
          <w:color w:val="auto"/>
        </w:rPr>
      </w:pPr>
    </w:p>
    <w:p>
      <w:pPr>
        <w:ind w:left="1900" w:hanging="611"/>
        <w:spacing w:after="0"/>
        <w:tabs>
          <w:tab w:leader="none" w:pos="1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such further information as agreed upon by the parties.</w:t>
      </w:r>
    </w:p>
    <w:p>
      <w:pPr>
        <w:sectPr>
          <w:pgSz w:w="11900" w:h="16838" w:orient="portrait"/>
          <w:cols w:equalWidth="0" w:num="1">
            <w:col w:w="11420"/>
          </w:cols>
          <w:pgMar w:left="240" w:top="127" w:right="239" w:bottom="88" w:gutter="0" w:footer="0" w:header="0"/>
        </w:sectPr>
      </w:pPr>
    </w:p>
    <w:bookmarkStart w:id="188" w:name="page189"/>
    <w:bookmarkEnd w:id="188"/>
    <w:p>
      <w:pPr>
        <w:spacing w:after="0" w:line="83" w:lineRule="exact"/>
        <w:rPr>
          <w:sz w:val="20"/>
          <w:szCs w:val="20"/>
          <w:color w:val="auto"/>
        </w:rPr>
      </w:pPr>
    </w:p>
    <w:p>
      <w:pPr>
        <w:jc w:val="both"/>
        <w:ind w:left="660" w:right="40"/>
        <w:spacing w:after="0" w:line="298" w:lineRule="auto"/>
        <w:rPr>
          <w:sz w:val="20"/>
          <w:szCs w:val="20"/>
          <w:color w:val="auto"/>
        </w:rPr>
      </w:pPr>
      <w:r>
        <w:rPr>
          <w:rFonts w:ascii="Arial" w:cs="Arial" w:eastAsia="Arial" w:hAnsi="Arial"/>
          <w:sz w:val="16"/>
          <w:szCs w:val="16"/>
          <w:color w:val="auto"/>
        </w:rPr>
        <w:t>The report for the calendar quarter ended December 31 each year (beginning with the calendar quarter ending December 31, 2012) shall also include the number of Genzyme’s (or, to the extent its Affiliates’ sales and marketing personnel promote, market and sell the Test, such Affiliates’) FTEs in Territory A and in each Country in Territory B where the Test has received both any required Marketing Authorization and Positive Coverage.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right="120"/>
        <w:spacing w:after="0" w:line="289" w:lineRule="auto"/>
        <w:rPr>
          <w:sz w:val="20"/>
          <w:szCs w:val="20"/>
          <w:color w:val="auto"/>
        </w:rPr>
      </w:pPr>
      <w:r>
        <w:rPr>
          <w:rFonts w:ascii="Arial" w:cs="Arial" w:eastAsia="Arial" w:hAnsi="Arial"/>
          <w:sz w:val="17"/>
          <w:szCs w:val="17"/>
          <w:color w:val="auto"/>
        </w:rPr>
        <w:t>Each such Co-Promotion Detail Report shall be in an electronic format and in hard copy form. Such reports shall be treated as Confidential Information of Genzyme and shall be maintained by Veracyte in accordance with Section 7 hereof.</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6"/>
          <w:szCs w:val="16"/>
          <w:u w:val="single" w:color="auto"/>
          <w:color w:val="auto"/>
        </w:rPr>
        <w:t>Advertising and Promotional Materials; Medical Affairs</w:t>
      </w:r>
      <w:r>
        <w:rPr>
          <w:rFonts w:ascii="Arial" w:cs="Arial" w:eastAsia="Arial" w:hAnsi="Arial"/>
          <w:sz w:val="16"/>
          <w:szCs w:val="16"/>
          <w:color w:val="auto"/>
        </w:rPr>
        <w:t>.</w:t>
      </w:r>
    </w:p>
    <w:p>
      <w:pPr>
        <w:spacing w:after="0" w:line="224" w:lineRule="exact"/>
        <w:rPr>
          <w:sz w:val="20"/>
          <w:szCs w:val="20"/>
          <w:color w:val="auto"/>
        </w:rPr>
      </w:pPr>
    </w:p>
    <w:p>
      <w:pPr>
        <w:ind w:left="1300" w:right="20" w:hanging="653"/>
        <w:spacing w:after="0" w:line="277" w:lineRule="auto"/>
        <w:tabs>
          <w:tab w:leader="none" w:pos="1280" w:val="left"/>
        </w:tabs>
        <w:rPr>
          <w:sz w:val="20"/>
          <w:szCs w:val="20"/>
          <w:color w:val="auto"/>
        </w:rPr>
      </w:pPr>
      <w:r>
        <w:rPr>
          <w:rFonts w:ascii="Arial" w:cs="Arial" w:eastAsia="Arial" w:hAnsi="Arial"/>
          <w:sz w:val="17"/>
          <w:szCs w:val="17"/>
          <w:color w:val="auto"/>
        </w:rPr>
        <w:t>3.6.1</w:t>
      </w:r>
      <w:r>
        <w:rPr>
          <w:sz w:val="20"/>
          <w:szCs w:val="20"/>
          <w:color w:val="auto"/>
        </w:rPr>
        <w:tab/>
      </w:r>
      <w:r>
        <w:rPr>
          <w:rFonts w:ascii="Arial" w:cs="Arial" w:eastAsia="Arial" w:hAnsi="Arial"/>
          <w:sz w:val="16"/>
          <w:szCs w:val="16"/>
          <w:color w:val="auto"/>
        </w:rPr>
        <w:t xml:space="preserve">All advertising and promotional materials for the Test (“Ad/Prom Materials”) authorized by the Steering Committee pursuant to Section 5.2.2 shall be created and developed by Veracyte, and Veracyte shall reasonably consider any input provided by the Steering Committee or Genzyme. At its sole cost and expense during the Term, Genzyme shall (i) produce, print and distribute all such Ad/Prom Materials for Countries in the Territories, based on English language content developed by Veracyte, and in accordance with Genzyme’s reasonable policies and procedures and (ii) translate and adapt for local markets any such Ad/Prom Materials as appropriate for any Countries in Territory B without Steering Committee approval;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copies of any such translated and adapted materials will be promptly provided to the Steering Committee. Genzyme shall reasonably consider any input provided by the Steering Committee or Veracyte regarding such materials for future productions and printings of such materials. In the event that the Steering Committee does not approve a particular type or form of Ad/Prom Material under Section 5.2.2 but one party still desires to create such type or form of material, such party may do so at it sole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such party must obtain Steering Committee review and approval of such Ad/Prom Material prior to any use thereof. All Ad/Prom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Materials produced by Genzyme under this Agreement are and shall remain the property of Genzyme;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as between the parties hereto and except as expressly provided otherwise elsewhere in this Agreement, Veracyte shall exclusively own all right, title and interest in all Intellectual Property Rights in all Ad/Prom Materials, except for any content specifically related to Thyrogen or other Genzyme products and any Genzyme Trademarks (which shall be exclusively owned by Genzyme), and Genzyme shall have a royalty-free right and license under such Intellectual Property Rights during the Term.</w:t>
      </w:r>
    </w:p>
    <w:p>
      <w:pPr>
        <w:spacing w:after="0" w:line="171" w:lineRule="exact"/>
        <w:rPr>
          <w:sz w:val="20"/>
          <w:szCs w:val="20"/>
          <w:color w:val="auto"/>
        </w:rPr>
      </w:pPr>
    </w:p>
    <w:p>
      <w:pPr>
        <w:ind w:left="1300" w:right="20" w:hanging="653"/>
        <w:spacing w:after="0" w:line="268" w:lineRule="auto"/>
        <w:tabs>
          <w:tab w:leader="none" w:pos="1280" w:val="left"/>
        </w:tabs>
        <w:rPr>
          <w:sz w:val="20"/>
          <w:szCs w:val="20"/>
          <w:color w:val="auto"/>
        </w:rPr>
      </w:pPr>
      <w:r>
        <w:rPr>
          <w:rFonts w:ascii="Arial" w:cs="Arial" w:eastAsia="Arial" w:hAnsi="Arial"/>
          <w:sz w:val="17"/>
          <w:szCs w:val="17"/>
          <w:color w:val="auto"/>
        </w:rPr>
        <w:t>3.6.2</w:t>
      </w:r>
      <w:r>
        <w:rPr>
          <w:sz w:val="20"/>
          <w:szCs w:val="20"/>
          <w:color w:val="auto"/>
        </w:rPr>
        <w:tab/>
      </w:r>
      <w:r>
        <w:rPr>
          <w:rFonts w:ascii="Arial" w:cs="Arial" w:eastAsia="Arial" w:hAnsi="Arial"/>
          <w:sz w:val="17"/>
          <w:szCs w:val="17"/>
          <w:color w:val="auto"/>
        </w:rPr>
        <w:t xml:space="preserve">Each party shall have the right to have an employee participate as an observer in the other party’s promotional review committee or board meetings related to the Ad/Prom Materials for the Test;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party shall retain sole discretion regarding the management and scheduling of its promotional review committees or boards and the availability of the observer shall not influence the scheduling and timing of such meetings.</w:t>
      </w:r>
    </w:p>
    <w:p>
      <w:pPr>
        <w:spacing w:after="0" w:line="176" w:lineRule="exact"/>
        <w:rPr>
          <w:sz w:val="20"/>
          <w:szCs w:val="20"/>
          <w:color w:val="auto"/>
        </w:rPr>
      </w:pPr>
    </w:p>
    <w:p>
      <w:pPr>
        <w:ind w:left="1300" w:right="160" w:hanging="653"/>
        <w:spacing w:after="0" w:line="273" w:lineRule="auto"/>
        <w:tabs>
          <w:tab w:leader="none" w:pos="1280" w:val="left"/>
        </w:tabs>
        <w:rPr>
          <w:sz w:val="20"/>
          <w:szCs w:val="20"/>
          <w:color w:val="auto"/>
        </w:rPr>
      </w:pPr>
      <w:r>
        <w:rPr>
          <w:rFonts w:ascii="Arial" w:cs="Arial" w:eastAsia="Arial" w:hAnsi="Arial"/>
          <w:sz w:val="17"/>
          <w:szCs w:val="17"/>
          <w:color w:val="auto"/>
        </w:rPr>
        <w:t>3.6.3</w:t>
      </w:r>
      <w:r>
        <w:rPr>
          <w:sz w:val="20"/>
          <w:szCs w:val="20"/>
          <w:color w:val="auto"/>
        </w:rPr>
        <w:tab/>
      </w:r>
      <w:r>
        <w:rPr>
          <w:rFonts w:ascii="Arial" w:cs="Arial" w:eastAsia="Arial" w:hAnsi="Arial"/>
          <w:sz w:val="17"/>
          <w:szCs w:val="17"/>
          <w:color w:val="auto"/>
        </w:rPr>
        <w:t>In its sole discretion, Genzyme will (i) participate in speaker training events (at its sole cost and expense), (ii) participate in, and promote the Test at, key symposia and industry events as described in the Annual Commercial Plan (at its sole cost and expense) and (iii) provide grants to patient organizations, continuing medical education providers, and other appropriate recipients (at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80" w:right="120"/>
        <w:spacing w:after="0" w:line="296" w:lineRule="auto"/>
        <w:rPr>
          <w:sz w:val="20"/>
          <w:szCs w:val="20"/>
          <w:color w:val="auto"/>
        </w:rPr>
      </w:pPr>
      <w:r>
        <w:rPr>
          <w:rFonts w:ascii="Arial" w:cs="Arial" w:eastAsia="Arial" w:hAnsi="Arial"/>
          <w:sz w:val="15"/>
          <w:szCs w:val="15"/>
          <w:color w:val="auto"/>
        </w:rPr>
        <w:t>sole cost and expense). As between the parties hereto and except as expressly provided otherwise elsewhere in this Agreement, Veracyte shall develop all slide decks and promotional materials (including booth design for symposia and industry events) in the English language to be used by Genzyme for the above activities and shall exclusively own all right, title and interest in any such slide presentations except for any content specifically related to Thyrogen or other Genzyme products and any Genzyme Trademarks (which shall be exclusively owned by Genzyme).</w:t>
      </w:r>
    </w:p>
    <w:p>
      <w:pPr>
        <w:ind w:left="1280"/>
        <w:spacing w:after="0" w:line="282" w:lineRule="auto"/>
        <w:rPr>
          <w:sz w:val="20"/>
          <w:szCs w:val="20"/>
          <w:color w:val="auto"/>
        </w:rPr>
      </w:pPr>
      <w:r>
        <w:rPr>
          <w:rFonts w:ascii="Arial" w:cs="Arial" w:eastAsia="Arial" w:hAnsi="Arial"/>
          <w:sz w:val="16"/>
          <w:szCs w:val="16"/>
          <w:color w:val="auto"/>
        </w:rPr>
        <w:t xml:space="preserve">Genzyme may modify such materials with prior written approval of the Steering Committee;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Genzyme and its Affiliates may translate and adapt for local markets any such materials as appropriate for any Countries in Territory B without Steering Committee approval;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copies of any such translated and adapted materials will be promptly provided to the Steering Committee;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Genzyme shall be solely responsible for the costs and expenses of and, to the extent directly related to the accuracy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translations and adaptations, liabilities directly arising from, any such translations and adaptations..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u w:val="single" w:color="auto"/>
          <w:color w:val="auto"/>
        </w:rPr>
        <w:t>Customer Support, Complaints and Inquiries</w:t>
      </w:r>
      <w:r>
        <w:rPr>
          <w:rFonts w:ascii="Arial" w:cs="Arial" w:eastAsia="Arial" w:hAnsi="Arial"/>
          <w:sz w:val="15"/>
          <w:szCs w:val="15"/>
          <w:color w:val="auto"/>
        </w:rPr>
        <w:t>.</w:t>
      </w:r>
    </w:p>
    <w:p>
      <w:pPr>
        <w:spacing w:after="0" w:line="224" w:lineRule="exact"/>
        <w:rPr>
          <w:sz w:val="20"/>
          <w:szCs w:val="20"/>
          <w:color w:val="auto"/>
        </w:rPr>
      </w:pPr>
    </w:p>
    <w:p>
      <w:pPr>
        <w:jc w:val="both"/>
        <w:ind w:left="1320" w:right="120" w:hanging="653"/>
        <w:spacing w:after="0" w:line="285" w:lineRule="auto"/>
        <w:tabs>
          <w:tab w:leader="none" w:pos="1300" w:val="left"/>
        </w:tabs>
        <w:rPr>
          <w:sz w:val="20"/>
          <w:szCs w:val="20"/>
          <w:color w:val="auto"/>
        </w:rPr>
      </w:pPr>
      <w:r>
        <w:rPr>
          <w:rFonts w:ascii="Arial" w:cs="Arial" w:eastAsia="Arial" w:hAnsi="Arial"/>
          <w:sz w:val="17"/>
          <w:szCs w:val="17"/>
          <w:color w:val="auto"/>
        </w:rPr>
        <w:t>3.7.1</w:t>
      </w:r>
      <w:r>
        <w:rPr>
          <w:sz w:val="20"/>
          <w:szCs w:val="20"/>
          <w:color w:val="auto"/>
        </w:rPr>
        <w:tab/>
      </w:r>
      <w:r>
        <w:rPr>
          <w:rFonts w:ascii="Arial" w:cs="Arial" w:eastAsia="Arial" w:hAnsi="Arial"/>
          <w:sz w:val="16"/>
          <w:szCs w:val="16"/>
          <w:u w:val="single" w:color="auto"/>
          <w:color w:val="auto"/>
        </w:rPr>
        <w:t>Territory A</w:t>
      </w:r>
      <w:r>
        <w:rPr>
          <w:rFonts w:ascii="Arial" w:cs="Arial" w:eastAsia="Arial" w:hAnsi="Arial"/>
          <w:sz w:val="16"/>
          <w:szCs w:val="16"/>
          <w:color w:val="auto"/>
        </w:rPr>
        <w:t>. In Territory A, Veracyte shall have sole responsibility for direct, front-line customer support including, without limitation, medical</w:t>
      </w:r>
      <w:r>
        <w:rPr>
          <w:rFonts w:ascii="Arial" w:cs="Arial" w:eastAsia="Arial" w:hAnsi="Arial"/>
          <w:sz w:val="16"/>
          <w:szCs w:val="16"/>
          <w:u w:val="single" w:color="auto"/>
          <w:color w:val="auto"/>
        </w:rPr>
        <w:t xml:space="preserve"> </w:t>
      </w:r>
      <w:r>
        <w:rPr>
          <w:rFonts w:ascii="Arial" w:cs="Arial" w:eastAsia="Arial" w:hAnsi="Arial"/>
          <w:sz w:val="16"/>
          <w:szCs w:val="16"/>
          <w:color w:val="auto"/>
        </w:rPr>
        <w:t>information support. Veracyte shall perform these activities in a manner consistent with the responsibilities outlined in Exhibit C hereto. Such activities shall be at Veracyte’s cost and expense. Veracyte shall reasonably consider any input provided by Genzyme regarding such customer support. Genzyme shall provide reasonable support and assistance to Veracyte as reasonably requested at Veracyte’s cost and expense, subject to the availability of such resources. In Territory A, Genzyme shall refer any requests or inquiries directly to Veracyte.</w:t>
      </w:r>
    </w:p>
    <w:p>
      <w:pPr>
        <w:spacing w:after="0" w:line="166" w:lineRule="exact"/>
        <w:rPr>
          <w:sz w:val="20"/>
          <w:szCs w:val="20"/>
          <w:color w:val="auto"/>
        </w:rPr>
      </w:pPr>
    </w:p>
    <w:p>
      <w:pPr>
        <w:ind w:left="1300" w:right="20" w:hanging="653"/>
        <w:spacing w:after="0" w:line="308" w:lineRule="auto"/>
        <w:tabs>
          <w:tab w:leader="none" w:pos="1280" w:val="left"/>
        </w:tabs>
        <w:rPr>
          <w:sz w:val="20"/>
          <w:szCs w:val="20"/>
          <w:color w:val="auto"/>
        </w:rPr>
      </w:pPr>
      <w:r>
        <w:rPr>
          <w:rFonts w:ascii="Arial" w:cs="Arial" w:eastAsia="Arial" w:hAnsi="Arial"/>
          <w:sz w:val="17"/>
          <w:szCs w:val="17"/>
          <w:color w:val="auto"/>
        </w:rPr>
        <w:t>3.7.2</w:t>
      </w:r>
      <w:r>
        <w:rPr>
          <w:sz w:val="20"/>
          <w:szCs w:val="20"/>
          <w:color w:val="auto"/>
        </w:rPr>
        <w:tab/>
      </w:r>
      <w:r>
        <w:rPr>
          <w:rFonts w:ascii="Arial" w:cs="Arial" w:eastAsia="Arial" w:hAnsi="Arial"/>
          <w:sz w:val="15"/>
          <w:szCs w:val="15"/>
          <w:u w:val="single" w:color="auto"/>
          <w:color w:val="auto"/>
        </w:rPr>
        <w:t>Territory B</w:t>
      </w:r>
      <w:r>
        <w:rPr>
          <w:rFonts w:ascii="Arial" w:cs="Arial" w:eastAsia="Arial" w:hAnsi="Arial"/>
          <w:sz w:val="15"/>
          <w:szCs w:val="15"/>
          <w:color w:val="auto"/>
        </w:rPr>
        <w:t>. In Territory B, unless prohibited by applicable laws and regulations, Genzyme shall have sole responsibility for direct, front-line</w:t>
      </w:r>
      <w:r>
        <w:rPr>
          <w:rFonts w:ascii="Arial" w:cs="Arial" w:eastAsia="Arial" w:hAnsi="Arial"/>
          <w:sz w:val="15"/>
          <w:szCs w:val="15"/>
          <w:u w:val="single" w:color="auto"/>
          <w:color w:val="auto"/>
        </w:rPr>
        <w:t xml:space="preserve"> </w:t>
      </w:r>
      <w:r>
        <w:rPr>
          <w:rFonts w:ascii="Arial" w:cs="Arial" w:eastAsia="Arial" w:hAnsi="Arial"/>
          <w:sz w:val="15"/>
          <w:szCs w:val="15"/>
          <w:color w:val="auto"/>
        </w:rPr>
        <w:t>customer support. Genzyme shall perform these activities in a manner consistent with the responsibilities outlined in Exhibit C hereto. Such activities shall be at Genzyme’s sole cost and expense. Genzyme shall reasonably consider any input provided by Veracyte regarding such customer support. Veracyte shall provide reasonable support and assistance to Genzyme as requested at Genzyme’s cost and expense, subject to the availability of such resources. Genzyme shall refer any medical information and technical support requests or inquiries directly to Veracyte.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3.7.3</w:t>
      </w:r>
      <w:r>
        <w:rPr>
          <w:sz w:val="20"/>
          <w:szCs w:val="20"/>
          <w:color w:val="auto"/>
        </w:rPr>
        <w:tab/>
      </w:r>
      <w:r>
        <w:rPr>
          <w:rFonts w:ascii="Arial" w:cs="Arial" w:eastAsia="Arial" w:hAnsi="Arial"/>
          <w:sz w:val="16"/>
          <w:szCs w:val="16"/>
          <w:u w:val="single" w:color="auto"/>
          <w:color w:val="auto"/>
        </w:rPr>
        <w:t>Complaints</w:t>
      </w:r>
      <w:r>
        <w:rPr>
          <w:rFonts w:ascii="Arial" w:cs="Arial" w:eastAsia="Arial" w:hAnsi="Arial"/>
          <w:sz w:val="16"/>
          <w:szCs w:val="16"/>
          <w:color w:val="auto"/>
        </w:rPr>
        <w:t>.</w:t>
      </w:r>
    </w:p>
    <w:p>
      <w:pPr>
        <w:spacing w:after="0" w:line="224" w:lineRule="exact"/>
        <w:rPr>
          <w:sz w:val="20"/>
          <w:szCs w:val="20"/>
          <w:color w:val="auto"/>
        </w:rPr>
      </w:pPr>
    </w:p>
    <w:p>
      <w:pPr>
        <w:ind w:left="1960" w:right="420" w:hanging="655"/>
        <w:spacing w:after="0" w:line="289" w:lineRule="auto"/>
        <w:tabs>
          <w:tab w:leader="none" w:pos="1965"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Genzyme or any of its Affiliates becomes aware of any Complaint or concern regarding the Test (including, without limitation, accuracy, quality or performance of the Test or any complaints or concerns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60" w:right="120"/>
        <w:spacing w:after="0" w:line="281" w:lineRule="auto"/>
        <w:rPr>
          <w:sz w:val="20"/>
          <w:szCs w:val="20"/>
          <w:color w:val="auto"/>
        </w:rPr>
      </w:pPr>
      <w:r>
        <w:rPr>
          <w:rFonts w:ascii="Arial" w:cs="Arial" w:eastAsia="Arial" w:hAnsi="Arial"/>
          <w:sz w:val="16"/>
          <w:szCs w:val="16"/>
          <w:color w:val="auto"/>
        </w:rPr>
        <w:t>regarding the sales, promotion, or marketing of the Test), whether in Territory A or in Territory B, Genzyme shall submit a written report of such Complaint or concern, along with any documentation involved with the Complaint, if available, to Veracyte within two</w:t>
      </w:r>
    </w:p>
    <w:p>
      <w:pPr>
        <w:spacing w:after="0" w:line="1" w:lineRule="exact"/>
        <w:rPr>
          <w:sz w:val="20"/>
          <w:szCs w:val="20"/>
          <w:color w:val="auto"/>
        </w:rPr>
      </w:pPr>
    </w:p>
    <w:p>
      <w:pPr>
        <w:ind w:left="1960" w:right="240" w:firstLine="8"/>
        <w:spacing w:after="0" w:line="307" w:lineRule="auto"/>
        <w:tabs>
          <w:tab w:leader="none" w:pos="2207" w:val="left"/>
        </w:tabs>
        <w:numPr>
          <w:ilvl w:val="0"/>
          <w:numId w:val="99"/>
        </w:numPr>
        <w:rPr>
          <w:rFonts w:ascii="Arial" w:cs="Arial" w:eastAsia="Arial" w:hAnsi="Arial"/>
          <w:sz w:val="16"/>
          <w:szCs w:val="16"/>
          <w:color w:val="auto"/>
        </w:rPr>
      </w:pPr>
      <w:r>
        <w:rPr>
          <w:rFonts w:ascii="Arial" w:cs="Arial" w:eastAsia="Arial" w:hAnsi="Arial"/>
          <w:sz w:val="16"/>
          <w:szCs w:val="16"/>
          <w:color w:val="auto"/>
        </w:rPr>
        <w:t>business days after receipt of such notice by Genzyme. As between the parties, Veracyte shall have the sole authority and responsibility to respond to any governmental agency or Regulatory Authority including, without limitation, the FDA, to respond to</w:t>
      </w:r>
    </w:p>
    <w:p>
      <w:pPr>
        <w:sectPr>
          <w:pgSz w:w="11900" w:h="16922" w:orient="portrait"/>
          <w:cols w:equalWidth="0" w:num="1">
            <w:col w:w="11420"/>
          </w:cols>
          <w:pgMar w:left="240" w:top="127" w:right="239" w:bottom="0" w:gutter="0" w:footer="0" w:header="0"/>
        </w:sectPr>
      </w:pPr>
    </w:p>
    <w:bookmarkStart w:id="189" w:name="page190"/>
    <w:bookmarkEnd w:id="189"/>
    <w:p>
      <w:pPr>
        <w:ind w:left="1960" w:right="60"/>
        <w:spacing w:after="0" w:line="285" w:lineRule="auto"/>
        <w:rPr>
          <w:sz w:val="20"/>
          <w:szCs w:val="20"/>
          <w:color w:val="auto"/>
        </w:rPr>
      </w:pPr>
      <w:r>
        <w:rPr>
          <w:rFonts w:ascii="Arial" w:cs="Arial" w:eastAsia="Arial" w:hAnsi="Arial"/>
          <w:sz w:val="16"/>
          <w:szCs w:val="16"/>
          <w:color w:val="auto"/>
        </w:rPr>
        <w:t xml:space="preserve">Complaints, and to handle all returns field alerts, recalls or market withdrawals of the Test in accordance with applicable law;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foregoing shall not be construed to prevent Genzyme or its Affiliates in any way from complying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agency or Regulatory Authority or applicable laws, rules or regulations or from responding to governmental agencies or Regulatory Authorities, including without limitation the FDA, with respect to Complaints regarding the conduct of Genzyme’s or its Affiliates’ sales force or the portion of any content of Ad/Prom Materials related to Genzyme’s or its Affiliates’ products.</w:t>
      </w:r>
    </w:p>
    <w:p>
      <w:pPr>
        <w:spacing w:after="0" w:line="166" w:lineRule="exact"/>
        <w:rPr>
          <w:sz w:val="20"/>
          <w:szCs w:val="20"/>
          <w:color w:val="auto"/>
        </w:rPr>
      </w:pPr>
    </w:p>
    <w:p>
      <w:pPr>
        <w:ind w:left="1980" w:hanging="675"/>
        <w:spacing w:after="0"/>
        <w:tabs>
          <w:tab w:leader="none" w:pos="19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Genzyme or its Affiliates shall forward all Complaints and inquiries to Veracyte in a timely manner as set forth in</w:t>
      </w:r>
    </w:p>
    <w:p>
      <w:pPr>
        <w:spacing w:after="0" w:line="26" w:lineRule="exact"/>
        <w:rPr>
          <w:rFonts w:ascii="Arial" w:cs="Arial" w:eastAsia="Arial" w:hAnsi="Arial"/>
          <w:sz w:val="17"/>
          <w:szCs w:val="17"/>
          <w:color w:val="auto"/>
        </w:rPr>
      </w:pPr>
    </w:p>
    <w:p>
      <w:pPr>
        <w:ind w:left="1960"/>
        <w:spacing w:after="0" w:line="260" w:lineRule="auto"/>
        <w:rPr>
          <w:rFonts w:ascii="Arial" w:cs="Arial" w:eastAsia="Arial" w:hAnsi="Arial"/>
          <w:sz w:val="17"/>
          <w:szCs w:val="17"/>
          <w:color w:val="auto"/>
        </w:rPr>
      </w:pPr>
      <w:r>
        <w:rPr>
          <w:rFonts w:ascii="Arial" w:cs="Arial" w:eastAsia="Arial" w:hAnsi="Arial"/>
          <w:sz w:val="17"/>
          <w:szCs w:val="17"/>
          <w:color w:val="auto"/>
        </w:rPr>
        <w:t>Section 3.8.3(a) hereof and shall follow any reasonable and timely directions Veracyte may provide in that respect including, without limitation, to allow Veracyte to comply with applicable local laws and regulations in the Territory. If an investigation by Veracyte is needed in response to a Complaint or inquiry, Genzyme and its Affiliates shall assist Veracyte as reasonably requested by Veracyte and Veracyte shall forward the results of the investigation to Genzyme within a reasonable timeframe to allow Genzyme to comply with applicable local laws and regulations in a relevant Country in the Territory. Genzyme and its Affiliates shall retain records of all Complaints and inquiries for a period of not less than three (3) years beyond the expiration or termination date of this Agreement or for such longer period as may be required by applicable law.</w:t>
      </w:r>
    </w:p>
    <w:p>
      <w:pPr>
        <w:spacing w:after="0" w:line="184" w:lineRule="exact"/>
        <w:rPr>
          <w:sz w:val="20"/>
          <w:szCs w:val="20"/>
          <w:color w:val="auto"/>
        </w:rPr>
      </w:pPr>
    </w:p>
    <w:p>
      <w:pPr>
        <w:ind w:left="660" w:right="100" w:hanging="653"/>
        <w:spacing w:after="0" w:line="263" w:lineRule="auto"/>
        <w:tabs>
          <w:tab w:leader="none" w:pos="64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u w:val="single" w:color="auto"/>
          <w:color w:val="auto"/>
        </w:rPr>
        <w:t>Audit</w:t>
      </w:r>
      <w:r>
        <w:rPr>
          <w:rFonts w:ascii="Arial" w:cs="Arial" w:eastAsia="Arial" w:hAnsi="Arial"/>
          <w:sz w:val="17"/>
          <w:szCs w:val="17"/>
          <w:color w:val="auto"/>
        </w:rPr>
        <w:t>. Upon reasonable prior written notification, either party shall, during regular business hours, provide authorized representatives of the other party</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access to its facilities (including those owned or operated by a third party), systems, personnel, books and records (including books and records regarding Net Revenues) as reasonably necessary to enable the representatives to audit such party’s compliance with its duties and responsibilities under this Agreement. Each party shall be limited to one (1) audit per Contract Year during the Term and once during the three (3) year period following the expiration or termination of this Agreement. The records and Net Revenue reports for any particular calendar quarter may not be examined under this Section 3.8 more than once.</w:t>
      </w:r>
    </w:p>
    <w:p>
      <w:pPr>
        <w:spacing w:after="0" w:line="183" w:lineRule="exact"/>
        <w:rPr>
          <w:sz w:val="20"/>
          <w:szCs w:val="20"/>
          <w:color w:val="auto"/>
        </w:rPr>
      </w:pPr>
    </w:p>
    <w:p>
      <w:pPr>
        <w:ind w:left="660" w:right="40" w:hanging="653"/>
        <w:spacing w:after="0" w:line="289" w:lineRule="auto"/>
        <w:tabs>
          <w:tab w:leader="none" w:pos="64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7"/>
          <w:szCs w:val="17"/>
          <w:u w:val="single" w:color="auto"/>
          <w:color w:val="auto"/>
        </w:rPr>
        <w:t>Non-solicitation</w:t>
      </w:r>
      <w:r>
        <w:rPr>
          <w:rFonts w:ascii="Arial" w:cs="Arial" w:eastAsia="Arial" w:hAnsi="Arial"/>
          <w:sz w:val="17"/>
          <w:szCs w:val="17"/>
          <w:color w:val="auto"/>
        </w:rPr>
        <w:t>. Neither party shall, directly or indirectly, take any action to cause the other party to lose any of its employees, agents, customer contacts</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other elements of 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60"/>
        <w:spacing w:after="0" w:line="268" w:lineRule="auto"/>
        <w:rPr>
          <w:sz w:val="20"/>
          <w:szCs w:val="20"/>
          <w:color w:val="auto"/>
        </w:rPr>
      </w:pPr>
      <w:r>
        <w:rPr>
          <w:rFonts w:ascii="Arial" w:cs="Arial" w:eastAsia="Arial" w:hAnsi="Arial"/>
          <w:sz w:val="17"/>
          <w:szCs w:val="17"/>
          <w:color w:val="auto"/>
        </w:rPr>
        <w:t xml:space="preserve">goodwill,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shall not apply with respect to (i) any person as to whom conversations were initiated by such party after such person terminated his or her employment with the other party, (ii) any public advertisement in any general or industry publication, or (iii) any solicitation made through a recruiting or search firm retained by such party using a database of candidates without targeting the other party or specific individuals.</w:t>
      </w:r>
    </w:p>
    <w:p>
      <w:pPr>
        <w:spacing w:after="0" w:line="176" w:lineRule="exact"/>
        <w:rPr>
          <w:sz w:val="20"/>
          <w:szCs w:val="20"/>
          <w:color w:val="auto"/>
        </w:rPr>
      </w:pPr>
    </w:p>
    <w:p>
      <w:pPr>
        <w:ind w:left="660" w:right="20" w:hanging="653"/>
        <w:spacing w:after="0" w:line="294" w:lineRule="auto"/>
        <w:tabs>
          <w:tab w:leader="none" w:pos="64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5"/>
          <w:szCs w:val="15"/>
          <w:u w:val="single" w:color="auto"/>
          <w:color w:val="auto"/>
        </w:rPr>
        <w:t>Performance by Genzyme Affiliates</w:t>
      </w:r>
      <w:r>
        <w:rPr>
          <w:rFonts w:ascii="Arial" w:cs="Arial" w:eastAsia="Arial" w:hAnsi="Arial"/>
          <w:sz w:val="15"/>
          <w:szCs w:val="15"/>
          <w:color w:val="auto"/>
        </w:rPr>
        <w:t>. Notwithstanding anything to the contrary contained in this Agreement, any Genzyme obligation hereunder may be</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assumed and performed by one or more of its Affiliates, and Genzyme may, at its election, delegate to any one or more of its Affiliates any duty or responsibility set forth in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Genzyme shall remain responsible for any and all acts and omissions by such Affiliate(s) to the same extent as if such were performed, taken or made by Genzyme. In the event that Genzyme desires to perform its obligations in any country through distributors (rather than through direct employees), Genzyme may make a written proposal to Veracyte for its consideration and if Veracyte agrees, (i) the parties will memorialize such agreement in writing, (ii) such Country shall be added to Territory B as provided in such written agreement and</w:t>
      </w:r>
    </w:p>
    <w:p>
      <w:pPr>
        <w:spacing w:after="0" w:line="3" w:lineRule="exact"/>
        <w:rPr>
          <w:sz w:val="20"/>
          <w:szCs w:val="20"/>
          <w:color w:val="auto"/>
        </w:rPr>
      </w:pPr>
    </w:p>
    <w:p>
      <w:pPr>
        <w:ind w:left="660" w:right="40" w:hanging="2"/>
        <w:spacing w:after="0" w:line="275" w:lineRule="auto"/>
        <w:tabs>
          <w:tab w:leader="none" w:pos="96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Genzyme shall remain responsible for any and all acts and omissions by such distributor to the same extent as if such were performed, taken or made by Genzyme.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 VERACYTE’S UNDERTAKINGS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Roles and Responsibilities</w:t>
      </w:r>
      <w:r>
        <w:rPr>
          <w:rFonts w:ascii="Arial" w:cs="Arial" w:eastAsia="Arial" w:hAnsi="Arial"/>
          <w:sz w:val="15"/>
          <w:szCs w:val="15"/>
          <w:color w:val="auto"/>
        </w:rPr>
        <w:t>.</w:t>
      </w:r>
    </w:p>
    <w:p>
      <w:pPr>
        <w:spacing w:after="0" w:line="224" w:lineRule="exact"/>
        <w:rPr>
          <w:sz w:val="20"/>
          <w:szCs w:val="20"/>
          <w:color w:val="auto"/>
        </w:rPr>
      </w:pPr>
    </w:p>
    <w:p>
      <w:pPr>
        <w:jc w:val="both"/>
        <w:ind w:left="660" w:firstLine="11"/>
        <w:spacing w:after="0" w:line="298" w:lineRule="auto"/>
        <w:rPr>
          <w:sz w:val="20"/>
          <w:szCs w:val="20"/>
          <w:color w:val="auto"/>
        </w:rPr>
      </w:pPr>
      <w:r>
        <w:rPr>
          <w:rFonts w:ascii="Arial" w:cs="Arial" w:eastAsia="Arial" w:hAnsi="Arial"/>
          <w:sz w:val="16"/>
          <w:szCs w:val="16"/>
          <w:color w:val="auto"/>
        </w:rPr>
        <w:t>4.1.1 Subject to the provisions of, and during the Term of, this Agreement, Veracyte and its Affiliates shall use Commercially Reasonable Efforts to offer and provide the Test beginning on the Effective Date in Territory A and in accordance with the then-current Annual Commercial Plan in the Countries in the Territory B. This means, among other things, that Veracyte and its Affiliates shall use their respective Commercially Reasonable Efforts:</w:t>
      </w:r>
    </w:p>
    <w:p>
      <w:pPr>
        <w:spacing w:after="0" w:line="154" w:lineRule="exact"/>
        <w:rPr>
          <w:sz w:val="20"/>
          <w:szCs w:val="20"/>
          <w:color w:val="auto"/>
        </w:rPr>
      </w:pPr>
    </w:p>
    <w:p>
      <w:pPr>
        <w:ind w:left="1960" w:right="160" w:hanging="648"/>
        <w:spacing w:after="0" w:line="289" w:lineRule="auto"/>
        <w:tabs>
          <w:tab w:leader="none" w:pos="195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conduct and process the Test in accordance with the Test specifications, including without limitation as contained in the applicable Marketing Authorization (if any);</w:t>
      </w:r>
    </w:p>
    <w:p>
      <w:pPr>
        <w:spacing w:after="0" w:line="158" w:lineRule="exact"/>
        <w:rPr>
          <w:rFonts w:ascii="Arial" w:cs="Arial" w:eastAsia="Arial" w:hAnsi="Arial"/>
          <w:sz w:val="17"/>
          <w:szCs w:val="17"/>
          <w:color w:val="auto"/>
        </w:rPr>
      </w:pPr>
    </w:p>
    <w:p>
      <w:pPr>
        <w:ind w:left="1980" w:hanging="668"/>
        <w:spacing w:after="0"/>
        <w:tabs>
          <w:tab w:leader="none" w:pos="19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handle and process all aspects of the Tests including receipt of Collection Kits, processing samples, and issuing patient reports;</w:t>
      </w:r>
    </w:p>
    <w:p>
      <w:pPr>
        <w:spacing w:after="0" w:line="235" w:lineRule="exact"/>
        <w:rPr>
          <w:rFonts w:ascii="Arial" w:cs="Arial" w:eastAsia="Arial" w:hAnsi="Arial"/>
          <w:sz w:val="16"/>
          <w:szCs w:val="16"/>
          <w:color w:val="auto"/>
        </w:rPr>
      </w:pPr>
    </w:p>
    <w:p>
      <w:pPr>
        <w:ind w:left="1980" w:hanging="668"/>
        <w:spacing w:after="0"/>
        <w:tabs>
          <w:tab w:leader="none" w:pos="1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provide all central lab testing and processing required for provision of the Test and communicating Test results;</w:t>
      </w:r>
    </w:p>
    <w:p>
      <w:pPr>
        <w:spacing w:after="0" w:line="224" w:lineRule="exact"/>
        <w:rPr>
          <w:rFonts w:ascii="Arial" w:cs="Arial" w:eastAsia="Arial" w:hAnsi="Arial"/>
          <w:sz w:val="17"/>
          <w:szCs w:val="17"/>
          <w:color w:val="auto"/>
        </w:rPr>
      </w:pPr>
    </w:p>
    <w:p>
      <w:pPr>
        <w:ind w:left="1960" w:right="120" w:hanging="648"/>
        <w:spacing w:after="0" w:line="289" w:lineRule="auto"/>
        <w:tabs>
          <w:tab w:leader="none" w:pos="196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seek to obtain and maintain reimbursement (including Positive Coverage) and Marketing Authorization for the Test in Countries in the Territories in accordance with the then-current Annual Commercial Plan;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60" w:right="160" w:hanging="648"/>
        <w:spacing w:after="0" w:line="268" w:lineRule="auto"/>
        <w:tabs>
          <w:tab w:leader="none" w:pos="197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obtain and maintain all licenses, permits and certifications required to perform the foregoing responsibilities, including without limitation Clinical Laboratories Improvements Amendments (“CLIA”) certification, and ensure that any third party laboratories used by Veracyte to perform such responsibilities also have the requisite licenses, permits and certifications at all times while performing services on behalf of Veracyte.</w:t>
      </w:r>
    </w:p>
    <w:p>
      <w:pPr>
        <w:spacing w:after="0" w:line="176"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 xml:space="preserve">4.1.2 Veracyte shall have the right to establish and modify (in its sole right and responsibility) terms and conditions regarding the sale and provision of the Test in each Country, including the price of the Test will be sold, any discounts offered or applied, the availability of the Test, and contracting;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all matters relating to pricing of the Test will be discussed by the Steering Committee and Genzyme’s input will be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by Veracyte.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u w:val="single" w:color="auto"/>
          <w:color w:val="auto"/>
        </w:rPr>
        <w:t>Veracyte Co-Promotion Right; Advertising and Promotional Materials; Medical Affairs</w:t>
      </w:r>
      <w:r>
        <w:rPr>
          <w:rFonts w:ascii="Arial" w:cs="Arial" w:eastAsia="Arial" w:hAnsi="Arial"/>
          <w:sz w:val="16"/>
          <w:szCs w:val="16"/>
          <w:color w:val="auto"/>
        </w:rPr>
        <w:t>.</w:t>
      </w:r>
    </w:p>
    <w:p>
      <w:pPr>
        <w:sectPr>
          <w:pgSz w:w="11900" w:h="16838" w:orient="portrait"/>
          <w:cols w:equalWidth="0" w:num="1">
            <w:col w:w="11420"/>
          </w:cols>
          <w:pgMar w:left="240" w:top="127" w:right="239" w:bottom="88" w:gutter="0" w:footer="0" w:header="0"/>
        </w:sectPr>
      </w:pPr>
    </w:p>
    <w:bookmarkStart w:id="190" w:name="page191"/>
    <w:bookmarkEnd w:id="190"/>
    <w:p>
      <w:pPr>
        <w:spacing w:after="0" w:line="55" w:lineRule="exact"/>
        <w:rPr>
          <w:sz w:val="20"/>
          <w:szCs w:val="20"/>
          <w:color w:val="auto"/>
        </w:rPr>
      </w:pPr>
    </w:p>
    <w:p>
      <w:pPr>
        <w:ind w:left="1300" w:right="60" w:hanging="653"/>
        <w:spacing w:after="0" w:line="279" w:lineRule="auto"/>
        <w:tabs>
          <w:tab w:leader="none" w:pos="128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6"/>
          <w:szCs w:val="16"/>
          <w:color w:val="auto"/>
        </w:rPr>
        <w:t>Veracyte shall have the right, but not the obligation, to market, promote, and detail the Test in the Territories with Genzyme. Veracyte has elected to exercise this right as to Territory A effective immediately. If Veracyte chooses to further exercise this right, Veracyte shall deliver written notice of such election to Genzyme and Veracyte and its Affiliates shall (and cause their respective employees and agents to) comply with all applicable regulatory, professional and legal requirements which may be applicable to Veracyte’s and its Affiliates’ marketing, promotion, and detail of the Test and its other obligations hereunder. Neither Veracyte nor its Affiliates, nor any of their respective employees or agents, shall make any representation, statement, warranty or guaranty with respect to the Test that is inconsistent with the then current Labeled Uses of the Test, this Agreement or the Ad/Prom Materials approved by the Steering Committee, that is deceptive or misleading or that disparages the Test or the good name, goodwill and reputation of Genzyme. Each of Veracyte and its Affiliates shall use Commercially Reasonable Efforts to ensure that its services hereunder will be provided in a professional, ethical and competent manner.</w:t>
      </w:r>
    </w:p>
    <w:p>
      <w:pPr>
        <w:spacing w:after="0" w:line="173" w:lineRule="exact"/>
        <w:rPr>
          <w:sz w:val="20"/>
          <w:szCs w:val="20"/>
          <w:color w:val="auto"/>
        </w:rPr>
      </w:pPr>
    </w:p>
    <w:p>
      <w:pPr>
        <w:ind w:left="1300" w:right="180" w:hanging="653"/>
        <w:spacing w:after="0" w:line="262" w:lineRule="auto"/>
        <w:tabs>
          <w:tab w:leader="none" w:pos="128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 xml:space="preserve">Veracyte shall provide marketing and brand strategy for the Test in accordance with the Annual Commercial Plan and any directions or instructions provided from time to time by the Steering Committee, and shall reasonably consider any input provided by Genzyme. In all Countries in the Territories in accordance with the Annual Commercial Plan, Veracyte will create and develop in English language (i) all slide decks and other materials for utilization by Genzyme and its Affiliates as set forth in Section 3.6.3 hereof, and (ii) all content for Ad/Prom Materials for use in any and all Countries in the Territories in accordance with the Annual Commercial Plan and Section 3.6.1 hereof, at Veracyte’s sole cost and expense,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such materials shall be approved by the Steering Committee in accordance with Section 3.1.7 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53"/>
        <w:spacing w:after="0" w:line="276" w:lineRule="auto"/>
        <w:tabs>
          <w:tab w:leader="none" w:pos="6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u w:val="single" w:color="auto"/>
          <w:color w:val="auto"/>
        </w:rPr>
        <w:t>Education and Training</w:t>
      </w:r>
      <w:r>
        <w:rPr>
          <w:rFonts w:ascii="Arial" w:cs="Arial" w:eastAsia="Arial" w:hAnsi="Arial"/>
          <w:sz w:val="16"/>
          <w:szCs w:val="16"/>
          <w:color w:val="auto"/>
        </w:rPr>
        <w:t>. Unless otherwise agreed upon by the Steering Committee, Veracyte shall educate and train Genzyme’s and, to the extent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Affiliates employ sales and marketing personnel used to promote, market and detail the Test, such Affiliates’ sales and marketing representatives regarding the Test (with the initial training of Genzyme’s U.S. personnel to be completed by no later than ninety (90) days after the Effective Date), it being understood that (i) Veracyte will provide Genzyme, free of charge, with reasonable quantities of training materials which have been created and developed by Veracyte relating to the Test, and (ii) Genzyme and its Affiliates shall not permit any of their respective sales personnel to promote, market and detail the Test unless such sales personnel have been trained by Veracyte (or Genzyme as provided below in this Section 4.3) and qualified under criteria and/or standards supplied by Veracyte. Genzyme and its Affiliates referenced above shall make their respective sales representatives available for such training and participate in conducting such training. As between the parties hereto and except as expressly provided otherwise elsewhere in this Agreement, Veracyte shall exclusively own all right, title and interest in training materials developed under this Agreement except for any content specifically related to Thyrogen or other Genzyme products and any Genzyme Trademarks (which shall be exclusively owned by Genzyme). Training shall be carried out at times and locations that are mutually acceptable to the parties. As additional members are added to Genzyme’s or its Affiliates’ sales forces responsible for marketing and promoting the Test, training will be provided to such newly added members by either Veracyte or Genzyme using the training materials initially developed by Veracyte, as mutually agreed upon by the parties. For the avoidance of doubt, any trainings subsequent to the initial training and associated new training materials related to the Tests or Improvements shall be provided by Veracyte in accordance with the terms set forth above in this Section 4.3. The parties shall mutually decide where the training of such sales representatives will occur and, unless the parties agree otherwise in writing, Genzyme and Veracyte will be responsible for the costs of transporting, housing and maintaining their respective personnel conducting or receiving such training.</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u w:val="single" w:color="auto"/>
          <w:color w:val="auto"/>
        </w:rPr>
        <w:t>Recalls</w:t>
      </w:r>
      <w:r>
        <w:rPr>
          <w:rFonts w:ascii="Arial" w:cs="Arial" w:eastAsia="Arial" w:hAnsi="Arial"/>
          <w:sz w:val="15"/>
          <w:szCs w:val="15"/>
          <w:color w:val="auto"/>
        </w:rPr>
        <w:t>.</w:t>
      </w:r>
    </w:p>
    <w:p>
      <w:pPr>
        <w:spacing w:after="0" w:line="224" w:lineRule="exact"/>
        <w:rPr>
          <w:sz w:val="20"/>
          <w:szCs w:val="20"/>
          <w:color w:val="auto"/>
        </w:rPr>
      </w:pPr>
    </w:p>
    <w:p>
      <w:pPr>
        <w:ind w:left="1300" w:right="40" w:hanging="655"/>
        <w:spacing w:after="0" w:line="265" w:lineRule="auto"/>
        <w:tabs>
          <w:tab w:leader="none" w:pos="1280" w:val="left"/>
        </w:tabs>
        <w:rPr>
          <w:sz w:val="20"/>
          <w:szCs w:val="20"/>
          <w:color w:val="auto"/>
        </w:rPr>
      </w:pPr>
      <w:r>
        <w:rPr>
          <w:rFonts w:ascii="Arial" w:cs="Arial" w:eastAsia="Arial" w:hAnsi="Arial"/>
          <w:sz w:val="17"/>
          <w:szCs w:val="17"/>
          <w:color w:val="auto"/>
        </w:rPr>
        <w:t>4.4.1</w:t>
      </w:r>
      <w:r>
        <w:rPr>
          <w:sz w:val="20"/>
          <w:szCs w:val="20"/>
          <w:color w:val="auto"/>
        </w:rPr>
        <w:tab/>
      </w:r>
      <w:r>
        <w:rPr>
          <w:rFonts w:ascii="Arial" w:cs="Arial" w:eastAsia="Arial" w:hAnsi="Arial"/>
          <w:sz w:val="17"/>
          <w:szCs w:val="17"/>
          <w:color w:val="auto"/>
        </w:rPr>
        <w:t>Each party shall promptly (but in any case, not later than forty-eight (48) hours) notify the other party in writing of any order, request or directive of a court or other governmental agency or Regulatory Authority to recall or withdraw the Test. Veracyte shall be responsible and have sole authority for handling all inquiries, Complaints, or recalls of the Test at its sole cost and expense, keeping Genzyme fully informed as to its plans and actions related to any such recall. If requested by Veracyte, Genzyme shall fully cooperate with a Test recall in the Territory and follow all instructions given by Veracyte in that regard.</w:t>
      </w:r>
    </w:p>
    <w:p>
      <w:pPr>
        <w:spacing w:after="0" w:line="179" w:lineRule="exact"/>
        <w:rPr>
          <w:sz w:val="20"/>
          <w:szCs w:val="20"/>
          <w:color w:val="auto"/>
        </w:rPr>
      </w:pPr>
    </w:p>
    <w:p>
      <w:pPr>
        <w:ind w:left="1320" w:right="120" w:firstLine="3"/>
        <w:spacing w:after="0" w:line="273" w:lineRule="auto"/>
        <w:rPr>
          <w:sz w:val="20"/>
          <w:szCs w:val="20"/>
          <w:color w:val="auto"/>
        </w:rPr>
      </w:pPr>
      <w:r>
        <w:rPr>
          <w:rFonts w:ascii="Arial" w:cs="Arial" w:eastAsia="Arial" w:hAnsi="Arial"/>
          <w:sz w:val="17"/>
          <w:szCs w:val="17"/>
          <w:color w:val="auto"/>
        </w:rPr>
        <w:t>If a party (a) is contacted by any other Regulatory Authority or governmental agency for any purpose pertaining specifically to this Agreement or to the Test or (b) becomes aware of an impending inspection or audit of the facilities or operations involved with the Test, such party shall immediately notify the other party in writing. Genzyme agrees that it shall not respond to any such agency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20" w:right="80" w:firstLine="3"/>
        <w:spacing w:after="0" w:line="289" w:lineRule="auto"/>
        <w:rPr>
          <w:sz w:val="20"/>
          <w:szCs w:val="20"/>
          <w:color w:val="auto"/>
        </w:rPr>
      </w:pPr>
      <w:r>
        <w:rPr>
          <w:rFonts w:ascii="Arial" w:cs="Arial" w:eastAsia="Arial" w:hAnsi="Arial"/>
          <w:sz w:val="17"/>
          <w:szCs w:val="17"/>
          <w:color w:val="auto"/>
        </w:rPr>
        <w:t xml:space="preserve">making an inquiry of it until and only as directed by Veracyte;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be construed to prevent Genzyme in any way from complying with any governmental agency or Regulatory Authority or applicable laws, rules or regulations.</w:t>
      </w:r>
    </w:p>
    <w:p>
      <w:pPr>
        <w:spacing w:after="0" w:line="158" w:lineRule="exact"/>
        <w:rPr>
          <w:sz w:val="20"/>
          <w:szCs w:val="20"/>
          <w:color w:val="auto"/>
        </w:rPr>
      </w:pPr>
    </w:p>
    <w:p>
      <w:pPr>
        <w:ind w:left="1300" w:right="180" w:hanging="655"/>
        <w:spacing w:after="0" w:line="273" w:lineRule="auto"/>
        <w:tabs>
          <w:tab w:leader="none" w:pos="1280" w:val="left"/>
        </w:tabs>
        <w:rPr>
          <w:sz w:val="20"/>
          <w:szCs w:val="20"/>
          <w:color w:val="auto"/>
        </w:rPr>
      </w:pPr>
      <w:r>
        <w:rPr>
          <w:rFonts w:ascii="Arial" w:cs="Arial" w:eastAsia="Arial" w:hAnsi="Arial"/>
          <w:sz w:val="17"/>
          <w:szCs w:val="17"/>
          <w:color w:val="auto"/>
        </w:rPr>
        <w:t>4.4.2</w:t>
      </w:r>
      <w:r>
        <w:rPr>
          <w:sz w:val="20"/>
          <w:szCs w:val="20"/>
          <w:color w:val="auto"/>
        </w:rPr>
        <w:tab/>
      </w:r>
      <w:r>
        <w:rPr>
          <w:rFonts w:ascii="Arial" w:cs="Arial" w:eastAsia="Arial" w:hAnsi="Arial"/>
          <w:sz w:val="17"/>
          <w:szCs w:val="17"/>
          <w:color w:val="auto"/>
        </w:rPr>
        <w:t>In the event that Veracyte considers initiating a voluntarily recall of the Test in any Country, Veracyte shall promptly inform Genzyme of such deliberations (including the contributing facts and circumstances leading up to such deliberations) and of its final determination, and keep Genzyme fully informed as to its plans and actions related to any such voluntary recall.</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u w:val="single" w:color="auto"/>
          <w:color w:val="auto"/>
        </w:rPr>
        <w:t>Test Shortage and/or Supply Interruption</w:t>
      </w:r>
      <w:r>
        <w:rPr>
          <w:rFonts w:ascii="Arial" w:cs="Arial" w:eastAsia="Arial" w:hAnsi="Arial"/>
          <w:sz w:val="15"/>
          <w:szCs w:val="15"/>
          <w:color w:val="auto"/>
        </w:rPr>
        <w:t>.</w:t>
      </w:r>
    </w:p>
    <w:p>
      <w:pPr>
        <w:spacing w:after="0" w:line="224" w:lineRule="exact"/>
        <w:rPr>
          <w:sz w:val="20"/>
          <w:szCs w:val="20"/>
          <w:color w:val="auto"/>
        </w:rPr>
      </w:pPr>
    </w:p>
    <w:p>
      <w:pPr>
        <w:jc w:val="both"/>
        <w:ind w:left="1300" w:right="180" w:hanging="653"/>
        <w:spacing w:after="0" w:line="314" w:lineRule="auto"/>
        <w:tabs>
          <w:tab w:leader="none" w:pos="1280" w:val="left"/>
        </w:tabs>
        <w:rPr>
          <w:sz w:val="20"/>
          <w:szCs w:val="20"/>
          <w:color w:val="auto"/>
        </w:rPr>
      </w:pPr>
      <w:r>
        <w:rPr>
          <w:rFonts w:ascii="Arial" w:cs="Arial" w:eastAsia="Arial" w:hAnsi="Arial"/>
          <w:sz w:val="17"/>
          <w:szCs w:val="17"/>
          <w:color w:val="auto"/>
        </w:rPr>
        <w:t>4.5.1</w:t>
      </w:r>
      <w:r>
        <w:rPr>
          <w:sz w:val="20"/>
          <w:szCs w:val="20"/>
          <w:color w:val="auto"/>
        </w:rPr>
        <w:tab/>
      </w:r>
      <w:r>
        <w:rPr>
          <w:rFonts w:ascii="Arial" w:cs="Arial" w:eastAsia="Arial" w:hAnsi="Arial"/>
          <w:sz w:val="15"/>
          <w:szCs w:val="15"/>
          <w:color w:val="auto"/>
        </w:rPr>
        <w:t>If Veracyte is unable to meet the volume of requisitions for the Test in any Country in the Territory, Veracyte shall allocate supply of the Test among all Countries where the Test is sold in a fair and equitable manner as reasonably determined by Veracyte. If any such allocation would lead to a material shortage of the Test in a particular Country in the Territory, the implications thereof in terms of the promotional, marketing and detailing efforts of each party under this Agreement shall be discussed and decided by the Steering Committee as soon as practicable.</w:t>
      </w:r>
    </w:p>
    <w:p>
      <w:pPr>
        <w:spacing w:after="0" w:line="146" w:lineRule="exact"/>
        <w:rPr>
          <w:sz w:val="20"/>
          <w:szCs w:val="20"/>
          <w:color w:val="auto"/>
        </w:rPr>
      </w:pPr>
    </w:p>
    <w:p>
      <w:pPr>
        <w:jc w:val="both"/>
        <w:ind w:left="1300" w:right="120" w:hanging="653"/>
        <w:spacing w:after="0" w:line="268" w:lineRule="auto"/>
        <w:tabs>
          <w:tab w:leader="none" w:pos="1280" w:val="left"/>
        </w:tabs>
        <w:rPr>
          <w:sz w:val="20"/>
          <w:szCs w:val="20"/>
          <w:color w:val="auto"/>
        </w:rPr>
      </w:pPr>
      <w:r>
        <w:rPr>
          <w:rFonts w:ascii="Arial" w:cs="Arial" w:eastAsia="Arial" w:hAnsi="Arial"/>
          <w:sz w:val="17"/>
          <w:szCs w:val="17"/>
          <w:color w:val="auto"/>
        </w:rPr>
        <w:t>4.5.2</w:t>
      </w:r>
      <w:r>
        <w:rPr>
          <w:sz w:val="20"/>
          <w:szCs w:val="20"/>
          <w:color w:val="auto"/>
        </w:rPr>
        <w:tab/>
      </w:r>
      <w:r>
        <w:rPr>
          <w:rFonts w:ascii="Arial" w:cs="Arial" w:eastAsia="Arial" w:hAnsi="Arial"/>
          <w:sz w:val="17"/>
          <w:szCs w:val="17"/>
          <w:color w:val="auto"/>
        </w:rPr>
        <w:t>In case of a long term inability of Veracyte to provide the Test in any Country in the Territory, each party is entitled, pending a decision by the Steering Committee in accordance with Section 4.5.1 above, to unilaterally decrease its promotional, marketing and detailing efforts under this Agreement in that particular Country in a way that is fair and proportionate to the shortage or interruption, given the nature and the anticipated duration of the shortage or interruption.</w:t>
      </w:r>
    </w:p>
    <w:p>
      <w:pPr>
        <w:spacing w:after="0" w:line="176" w:lineRule="exact"/>
        <w:rPr>
          <w:sz w:val="20"/>
          <w:szCs w:val="20"/>
          <w:color w:val="auto"/>
        </w:rPr>
      </w:pPr>
    </w:p>
    <w:p>
      <w:pPr>
        <w:ind w:left="660" w:right="80" w:hanging="653"/>
        <w:spacing w:after="0" w:line="326" w:lineRule="auto"/>
        <w:tabs>
          <w:tab w:leader="none" w:pos="64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u w:val="single" w:color="auto"/>
          <w:color w:val="auto"/>
        </w:rPr>
        <w:t>Communications</w:t>
      </w:r>
      <w:r>
        <w:rPr>
          <w:rFonts w:ascii="Arial" w:cs="Arial" w:eastAsia="Arial" w:hAnsi="Arial"/>
          <w:sz w:val="15"/>
          <w:szCs w:val="15"/>
          <w:color w:val="auto"/>
        </w:rPr>
        <w:t>. Genzyme may from time to time develop and issue press releases pertaining to this Agreement and/or the Test. Such press releases</w:t>
      </w:r>
      <w:r>
        <w:rPr>
          <w:rFonts w:ascii="Arial" w:cs="Arial" w:eastAsia="Arial" w:hAnsi="Arial"/>
          <w:sz w:val="15"/>
          <w:szCs w:val="15"/>
          <w:u w:val="single" w:color="auto"/>
          <w:color w:val="auto"/>
        </w:rPr>
        <w:t xml:space="preserve"> </w:t>
      </w:r>
      <w:r>
        <w:rPr>
          <w:rFonts w:ascii="Arial" w:cs="Arial" w:eastAsia="Arial" w:hAnsi="Arial"/>
          <w:sz w:val="15"/>
          <w:szCs w:val="15"/>
          <w:color w:val="auto"/>
        </w:rPr>
        <w:t>shall contain both parties’ names and logos and shall not be published in any manner or form without prior written approval by Veracyte, such approval not to be unreasonably withheld, conditioned or delayed, and in accordance with Section 12.7 hereof. Veracyte may from time to time develop and issue</w:t>
      </w:r>
    </w:p>
    <w:p>
      <w:pPr>
        <w:sectPr>
          <w:pgSz w:w="11900" w:h="16893" w:orient="portrait"/>
          <w:cols w:equalWidth="0" w:num="1">
            <w:col w:w="11420"/>
          </w:cols>
          <w:pgMar w:left="240" w:top="127" w:right="239" w:bottom="0" w:gutter="0" w:footer="0" w:header="0"/>
        </w:sectPr>
      </w:pPr>
    </w:p>
    <w:bookmarkStart w:id="191" w:name="page192"/>
    <w:bookmarkEnd w:id="191"/>
    <w:p>
      <w:pPr>
        <w:spacing w:after="0" w:line="25" w:lineRule="exact"/>
        <w:rPr>
          <w:sz w:val="20"/>
          <w:szCs w:val="20"/>
          <w:color w:val="auto"/>
        </w:rPr>
      </w:pPr>
    </w:p>
    <w:p>
      <w:pPr>
        <w:ind w:left="660" w:right="80"/>
        <w:spacing w:after="0" w:line="308" w:lineRule="auto"/>
        <w:rPr>
          <w:sz w:val="20"/>
          <w:szCs w:val="20"/>
          <w:color w:val="auto"/>
        </w:rPr>
      </w:pPr>
      <w:r>
        <w:rPr>
          <w:rFonts w:ascii="Arial" w:cs="Arial" w:eastAsia="Arial" w:hAnsi="Arial"/>
          <w:sz w:val="15"/>
          <w:szCs w:val="15"/>
          <w:color w:val="auto"/>
        </w:rPr>
        <w:t>press releases pertaining to this Agreement. Such press releases shall contain both parties’ names and logos and shall not be published in any manner or form without prior written approval by Genzyme, such approval not to be unreasonably withheld, conditioned or delayed, and in accordance with Section 12.7 hereof. Notwithstanding the foregoing, Veracyte may from time to time issue press releases pertaining to the Test or any Improvements, including research studies, publications, announcements or other materials. Such Test related press releases may be done only with Veracyte’s name and logo but will still require the prior written approval by Genzyme, such approval shall not be unreasonably withheld, conditioned or delayed.</w:t>
      </w:r>
    </w:p>
    <w:p>
      <w:pPr>
        <w:spacing w:after="0" w:line="152" w:lineRule="exact"/>
        <w:rPr>
          <w:sz w:val="20"/>
          <w:szCs w:val="20"/>
          <w:color w:val="auto"/>
        </w:rPr>
      </w:pPr>
    </w:p>
    <w:p>
      <w:pPr>
        <w:ind w:left="620" w:right="360" w:hanging="628"/>
        <w:spacing w:after="0" w:line="289" w:lineRule="auto"/>
        <w:tabs>
          <w:tab w:leader="none" w:pos="60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7"/>
          <w:szCs w:val="17"/>
          <w:u w:val="single" w:color="auto"/>
          <w:color w:val="auto"/>
        </w:rPr>
        <w:t>Periodic Reporting</w:t>
      </w:r>
      <w:r>
        <w:rPr>
          <w:rFonts w:ascii="Arial" w:cs="Arial" w:eastAsia="Arial" w:hAnsi="Arial"/>
          <w:sz w:val="17"/>
          <w:szCs w:val="17"/>
          <w:color w:val="auto"/>
        </w:rPr>
        <w:t>. Veracyte shall provide Genzyme with aggregate data regarding (without limitation) Test orders, Test status, Test volume and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40"/>
        <w:spacing w:after="0" w:line="283" w:lineRule="auto"/>
        <w:rPr>
          <w:sz w:val="20"/>
          <w:szCs w:val="20"/>
          <w:color w:val="auto"/>
        </w:rPr>
      </w:pPr>
      <w:r>
        <w:rPr>
          <w:rFonts w:ascii="Arial" w:cs="Arial" w:eastAsia="Arial" w:hAnsi="Arial"/>
          <w:sz w:val="16"/>
          <w:szCs w:val="16"/>
          <w:color w:val="auto"/>
        </w:rPr>
        <w:t>reasonably requested by Genzyme on a periodic schedule (which may vary by type of information required), to be set forth in the Annual Commercial Plan. In addition, to the extent Veracyte is promoting the Test in any Country in the Territory, Veracyte shall also provide Genzyme with data consistent with the Genzyme Detail Report as set forth in Section 3.5 hereof on the timeline set forth therein. Any such data shall be treated as Confidential Information of Veracyte and shall be maintained by Genzyme in accordance with Section 7 hereof. Notwithstanding the foregoing or any other provision in this Agreement, in no case shall Veracyte be required to provide or disclose to Genzyme any information that would violate any applicable laws and regulations, including, without limitation, the Health Insurance Portability and Accountability Act (HIPAA) of 1996.</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6"/>
          <w:szCs w:val="16"/>
          <w:u w:val="single" w:color="auto"/>
          <w:color w:val="auto"/>
        </w:rPr>
        <w:t>Complaint Reporting; Result Errors and CAPAs</w:t>
      </w:r>
      <w:r>
        <w:rPr>
          <w:rFonts w:ascii="Arial" w:cs="Arial" w:eastAsia="Arial" w:hAnsi="Arial"/>
          <w:sz w:val="16"/>
          <w:szCs w:val="16"/>
          <w:color w:val="auto"/>
        </w:rPr>
        <w:t>.</w:t>
      </w:r>
    </w:p>
    <w:p>
      <w:pPr>
        <w:spacing w:after="0" w:line="224" w:lineRule="exact"/>
        <w:rPr>
          <w:sz w:val="20"/>
          <w:szCs w:val="20"/>
          <w:color w:val="auto"/>
        </w:rPr>
      </w:pPr>
    </w:p>
    <w:p>
      <w:pPr>
        <w:ind w:left="1300" w:right="220" w:hanging="653"/>
        <w:spacing w:after="0" w:line="268" w:lineRule="auto"/>
        <w:tabs>
          <w:tab w:leader="none" w:pos="1280" w:val="left"/>
        </w:tabs>
        <w:rPr>
          <w:sz w:val="20"/>
          <w:szCs w:val="20"/>
          <w:color w:val="auto"/>
        </w:rPr>
      </w:pPr>
      <w:r>
        <w:rPr>
          <w:rFonts w:ascii="Arial" w:cs="Arial" w:eastAsia="Arial" w:hAnsi="Arial"/>
          <w:sz w:val="17"/>
          <w:szCs w:val="17"/>
          <w:color w:val="auto"/>
        </w:rPr>
        <w:t>4.8.1</w:t>
      </w:r>
      <w:r>
        <w:rPr>
          <w:sz w:val="20"/>
          <w:szCs w:val="20"/>
          <w:color w:val="auto"/>
        </w:rPr>
        <w:tab/>
      </w:r>
      <w:r>
        <w:rPr>
          <w:rFonts w:ascii="Arial" w:cs="Arial" w:eastAsia="Arial" w:hAnsi="Arial"/>
          <w:sz w:val="17"/>
          <w:szCs w:val="17"/>
          <w:color w:val="auto"/>
        </w:rPr>
        <w:t>Veracyte shall be responsible for evaluating and reporting any Complaints to Regulatory Authorities or other entities in the Territories as required by applicable laws and regulations. In addition, Veracyte shall provide Genzyme with any and all Complaints and other related information obtained by Veracyte regarding the Test as well as all correspondence to and from Regulatory Authorities or other entities related thereto.</w:t>
      </w:r>
    </w:p>
    <w:p>
      <w:pPr>
        <w:spacing w:after="0" w:line="176" w:lineRule="exact"/>
        <w:rPr>
          <w:sz w:val="20"/>
          <w:szCs w:val="20"/>
          <w:color w:val="auto"/>
        </w:rPr>
      </w:pPr>
    </w:p>
    <w:p>
      <w:pPr>
        <w:ind w:left="1300" w:right="20" w:hanging="653"/>
        <w:spacing w:after="0" w:line="263" w:lineRule="auto"/>
        <w:tabs>
          <w:tab w:leader="none" w:pos="1280" w:val="left"/>
        </w:tabs>
        <w:rPr>
          <w:sz w:val="20"/>
          <w:szCs w:val="20"/>
          <w:color w:val="auto"/>
        </w:rPr>
      </w:pPr>
      <w:r>
        <w:rPr>
          <w:rFonts w:ascii="Arial" w:cs="Arial" w:eastAsia="Arial" w:hAnsi="Arial"/>
          <w:sz w:val="17"/>
          <w:szCs w:val="17"/>
          <w:color w:val="auto"/>
        </w:rPr>
        <w:t>4.8.2</w:t>
      </w:r>
      <w:r>
        <w:rPr>
          <w:sz w:val="20"/>
          <w:szCs w:val="20"/>
          <w:color w:val="auto"/>
        </w:rPr>
        <w:tab/>
      </w:r>
      <w:r>
        <w:rPr>
          <w:rFonts w:ascii="Arial" w:cs="Arial" w:eastAsia="Arial" w:hAnsi="Arial"/>
          <w:sz w:val="17"/>
          <w:szCs w:val="17"/>
          <w:color w:val="auto"/>
        </w:rPr>
        <w:t>Veracyte shall provide Genzyme with (i) reports regarding all patient result errors, (ii) all Corrective Actions/Preventative Actions (“CAPAs”) that relate to matters that would reasonably be deemed material to the normal commercialization of the Test and (iii) copies of all similar reports submitted to Regulatory Authorities or other entities as well as all correspondence to and from Regulatory Authorities or other entities related thereto. Notwithstanding the foregoing or anything to the contrary, Veracyte will not be required to provide Genzyme with any information or data that would violate any applicable rule or regulation including HIPAA or any other rule regarding the confidentiality or non-disclosure of patient information or data.</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4" w:lineRule="exact"/>
        <w:rPr>
          <w:sz w:val="20"/>
          <w:szCs w:val="20"/>
          <w:color w:val="auto"/>
        </w:rPr>
      </w:pPr>
    </w:p>
    <w:p>
      <w:pPr>
        <w:ind w:left="1300" w:right="380" w:hanging="653"/>
        <w:spacing w:after="0" w:line="290" w:lineRule="auto"/>
        <w:tabs>
          <w:tab w:leader="none" w:pos="1280" w:val="left"/>
        </w:tabs>
        <w:rPr>
          <w:sz w:val="20"/>
          <w:szCs w:val="20"/>
          <w:color w:val="auto"/>
        </w:rPr>
      </w:pPr>
      <w:r>
        <w:rPr>
          <w:rFonts w:ascii="Arial" w:cs="Arial" w:eastAsia="Arial" w:hAnsi="Arial"/>
          <w:sz w:val="17"/>
          <w:szCs w:val="17"/>
          <w:color w:val="auto"/>
        </w:rPr>
        <w:t>4.9.1</w:t>
      </w:r>
      <w:r>
        <w:rPr>
          <w:sz w:val="20"/>
          <w:szCs w:val="20"/>
          <w:color w:val="auto"/>
        </w:rPr>
        <w:tab/>
      </w:r>
      <w:r>
        <w:rPr>
          <w:rFonts w:ascii="Arial" w:cs="Arial" w:eastAsia="Arial" w:hAnsi="Arial"/>
          <w:sz w:val="16"/>
          <w:szCs w:val="16"/>
          <w:color w:val="auto"/>
        </w:rPr>
        <w:t>Veracyte shall be responsible and have sole authority for seeking, obtaining and maintaining Marketing Authorization for the Test in each Country in the Territories in accordance with the then current Annual Commercial Plan. Such activities shall be at Veracyte’s sole cost and expense. Genzyme shall provide such assistance as may be reasonably required for the purpose of seeking, obtaining and maintaining Marketing Authorization for the Test in Territory B subject to the availability of such resources and at Veracyte’s expense.</w:t>
      </w:r>
    </w:p>
    <w:p>
      <w:pPr>
        <w:spacing w:after="0" w:line="159" w:lineRule="exact"/>
        <w:rPr>
          <w:sz w:val="20"/>
          <w:szCs w:val="20"/>
          <w:color w:val="auto"/>
        </w:rPr>
      </w:pPr>
    </w:p>
    <w:p>
      <w:pPr>
        <w:jc w:val="both"/>
        <w:ind w:left="1300" w:right="20" w:hanging="653"/>
        <w:spacing w:after="0" w:line="273" w:lineRule="auto"/>
        <w:tabs>
          <w:tab w:leader="none" w:pos="1280" w:val="left"/>
        </w:tabs>
        <w:rPr>
          <w:sz w:val="20"/>
          <w:szCs w:val="20"/>
          <w:color w:val="auto"/>
        </w:rPr>
      </w:pPr>
      <w:r>
        <w:rPr>
          <w:rFonts w:ascii="Arial" w:cs="Arial" w:eastAsia="Arial" w:hAnsi="Arial"/>
          <w:sz w:val="17"/>
          <w:szCs w:val="17"/>
          <w:color w:val="auto"/>
        </w:rPr>
        <w:t>4.9.2</w:t>
      </w:r>
      <w:r>
        <w:rPr>
          <w:sz w:val="20"/>
          <w:szCs w:val="20"/>
          <w:color w:val="auto"/>
        </w:rPr>
        <w:tab/>
      </w:r>
      <w:r>
        <w:rPr>
          <w:rFonts w:ascii="Arial" w:cs="Arial" w:eastAsia="Arial" w:hAnsi="Arial"/>
          <w:sz w:val="17"/>
          <w:szCs w:val="17"/>
          <w:color w:val="auto"/>
        </w:rPr>
        <w:t>Veracyte shall be responsible and have sole authority for seeking, obtaining and maintaining pricing approval and reimbursement for the Test in each Country in the Territories in accordance with the then current Annual Commercial Plan. Such activities shall be at Veracyte’s sole cost and expense. Genzyme shall provide such assistance as may be reasonably required for the purpose of seeking,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300"/>
        <w:spacing w:after="0" w:line="289" w:lineRule="auto"/>
        <w:rPr>
          <w:sz w:val="20"/>
          <w:szCs w:val="20"/>
          <w:color w:val="auto"/>
        </w:rPr>
      </w:pPr>
      <w:r>
        <w:rPr>
          <w:rFonts w:ascii="Arial" w:cs="Arial" w:eastAsia="Arial" w:hAnsi="Arial"/>
          <w:sz w:val="17"/>
          <w:szCs w:val="17"/>
          <w:color w:val="auto"/>
        </w:rPr>
        <w:t>obtaining and maintaining pricing approval and reimbursement in any Country, subject to the availability of such resources and at Veracyte’s expense.</w:t>
      </w:r>
    </w:p>
    <w:p>
      <w:pPr>
        <w:spacing w:after="0" w:line="158" w:lineRule="exact"/>
        <w:rPr>
          <w:sz w:val="20"/>
          <w:szCs w:val="20"/>
          <w:color w:val="auto"/>
        </w:rPr>
      </w:pPr>
    </w:p>
    <w:p>
      <w:pPr>
        <w:ind w:left="660" w:right="40" w:hanging="653"/>
        <w:spacing w:after="0" w:line="305" w:lineRule="auto"/>
        <w:tabs>
          <w:tab w:leader="none" w:pos="64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5"/>
          <w:szCs w:val="15"/>
          <w:u w:val="single" w:color="auto"/>
          <w:color w:val="auto"/>
        </w:rPr>
        <w:t>Performance by Veracyte Affiliates and Subcontractors</w:t>
      </w:r>
      <w:r>
        <w:rPr>
          <w:rFonts w:ascii="Arial" w:cs="Arial" w:eastAsia="Arial" w:hAnsi="Arial"/>
          <w:sz w:val="15"/>
          <w:szCs w:val="15"/>
          <w:color w:val="auto"/>
        </w:rPr>
        <w:t>. Notwithstanding anything to the contrary contained in this Agreement, any Veracyte obligation</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hereunder may be assumed and performed by one or more of its Affiliates, and Veracyte may, at its election, delegate to any one or more of its Affiliates any duty or responsibility set forth in this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Veracyte shall remain responsible for any and all acts and omissions by such Affiliate(s) to the same extent as if such were performed, taken or made by Veracyte. Furthermore, it is anticipated that Veracyte may perform certain of its obligations hereunder through third party laboratories and other subcontractors. In such event, as between the parties, Veracyte shall remain responsible for any and all acts and omissions by such third parties to the same extent as if such were performed, taken or made by Veracyte.</w:t>
      </w:r>
    </w:p>
    <w:p>
      <w:pPr>
        <w:spacing w:after="0" w:line="153" w:lineRule="exact"/>
        <w:rPr>
          <w:sz w:val="20"/>
          <w:szCs w:val="20"/>
          <w:color w:val="auto"/>
        </w:rPr>
      </w:pPr>
    </w:p>
    <w:p>
      <w:pPr>
        <w:ind w:left="640" w:hanging="653"/>
        <w:spacing w:after="0" w:line="263" w:lineRule="auto"/>
        <w:tabs>
          <w:tab w:leader="none" w:pos="62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u w:val="single" w:color="auto"/>
          <w:color w:val="auto"/>
        </w:rPr>
        <w:t>Billing and Collections</w:t>
      </w:r>
      <w:r>
        <w:rPr>
          <w:rFonts w:ascii="Arial" w:cs="Arial" w:eastAsia="Arial" w:hAnsi="Arial"/>
          <w:sz w:val="17"/>
          <w:szCs w:val="17"/>
          <w:color w:val="auto"/>
        </w:rPr>
        <w:t>. Unless otherwise required by applicable laws and regulations, Veracyte and its Affiliates shall be responsible for the billing,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invoicing, claims submissions, and collection of receivables and amounts due resulting from the sales of the Test in the Territories (collectively, “Collection Activities”), and such activities shall be at Veracyte’s cost and expense. Veracyte and its Affiliates shall use Commercially Reasonable Efforts in performing the Collection Activities. Genzyme shall provide reasonable support and assistance to Veracyte as requested by Veracyte (including if Veracyte and its Affiliates are prohibited from performing Collection Activities in a particular Country under applicable laws and regulations) at Veracyte’s cost and expense, subject to the availability of such resources.</w:t>
      </w:r>
    </w:p>
    <w:p>
      <w:pPr>
        <w:spacing w:after="0" w:line="183" w:lineRule="exact"/>
        <w:rPr>
          <w:sz w:val="20"/>
          <w:szCs w:val="20"/>
          <w:color w:val="auto"/>
        </w:rPr>
      </w:pPr>
    </w:p>
    <w:p>
      <w:pPr>
        <w:ind w:left="660" w:right="260" w:hanging="653"/>
        <w:spacing w:after="0" w:line="268" w:lineRule="auto"/>
        <w:tabs>
          <w:tab w:leader="none" w:pos="64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u w:val="single" w:color="auto"/>
          <w:color w:val="auto"/>
        </w:rPr>
        <w:t>Test Collection Kits</w:t>
      </w:r>
      <w:r>
        <w:rPr>
          <w:rFonts w:ascii="Arial" w:cs="Arial" w:eastAsia="Arial" w:hAnsi="Arial"/>
          <w:sz w:val="17"/>
          <w:szCs w:val="17"/>
          <w:color w:val="auto"/>
        </w:rPr>
        <w:t>. Veracyte shall be responsible for managing Collection Kit supply, inventory, tracking, and distribution in the Territories,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responsible for the costs associated with the supply and distribution of Collection Kits, and shall use its Commercially Reasonable Efforts in such activities. The Steering Committee shall determine the number of Collection Kits that will be provided to each sales representative in Territory A and Territory B (at Veracyte’s cost) as demonstration samples.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 MANAGEMENT AND GOVERNANCE</w:t>
      </w:r>
    </w:p>
    <w:p>
      <w:pPr>
        <w:spacing w:after="0" w:line="230" w:lineRule="exact"/>
        <w:rPr>
          <w:sz w:val="20"/>
          <w:szCs w:val="20"/>
          <w:color w:val="auto"/>
        </w:rPr>
      </w:pPr>
    </w:p>
    <w:p>
      <w:pPr>
        <w:ind w:left="660" w:right="160" w:hanging="653"/>
        <w:spacing w:after="0" w:line="285" w:lineRule="auto"/>
        <w:tabs>
          <w:tab w:leader="none" w:pos="6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u w:val="single" w:color="auto"/>
          <w:color w:val="auto"/>
        </w:rPr>
        <w:t>Steering Committee</w:t>
      </w:r>
      <w:r>
        <w:rPr>
          <w:rFonts w:ascii="Arial" w:cs="Arial" w:eastAsia="Arial" w:hAnsi="Arial"/>
          <w:sz w:val="16"/>
          <w:szCs w:val="16"/>
          <w:color w:val="auto"/>
        </w:rPr>
        <w:t>. The sales and marketing program for the Test will be managed by a steering committee having equal representation of the parties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“Steering Committee”). The Steering Committee will include three (3) members from each party and will meet in-person at least quarterly while more frequent meetings or teleconferences will be held anytime they are needed and requested by the Steering Committee’s members of either party. If an in-person meeting is impracticable, meetings may be held by videoconference or teleconference. When meetings are held in person, individual members of the Steering Committee may nonetheless participate by videoconference or teleconference. If unable to attend in person or by</w:t>
      </w:r>
    </w:p>
    <w:p>
      <w:pPr>
        <w:sectPr>
          <w:pgSz w:w="11900" w:h="16863" w:orient="portrait"/>
          <w:cols w:equalWidth="0" w:num="1">
            <w:col w:w="11420"/>
          </w:cols>
          <w:pgMar w:left="240" w:top="127" w:right="239" w:bottom="0" w:gutter="0" w:footer="0" w:header="0"/>
        </w:sectPr>
      </w:pPr>
    </w:p>
    <w:bookmarkStart w:id="192" w:name="page193"/>
    <w:bookmarkEnd w:id="192"/>
    <w:p>
      <w:pPr>
        <w:ind w:left="660" w:right="340"/>
        <w:spacing w:after="0" w:line="289" w:lineRule="auto"/>
        <w:rPr>
          <w:sz w:val="20"/>
          <w:szCs w:val="20"/>
          <w:color w:val="auto"/>
        </w:rPr>
      </w:pPr>
      <w:r>
        <w:rPr>
          <w:rFonts w:ascii="Arial" w:cs="Arial" w:eastAsia="Arial" w:hAnsi="Arial"/>
          <w:sz w:val="17"/>
          <w:szCs w:val="17"/>
          <w:color w:val="auto"/>
        </w:rPr>
        <w:t>videoconference or teleconference, an individual member of the Steering Committee may grant a proxy to another individual member of the Steering Committee in order to act on his or her behalf on any matter to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20"/>
        <w:spacing w:after="0" w:line="296" w:lineRule="auto"/>
        <w:rPr>
          <w:sz w:val="20"/>
          <w:szCs w:val="20"/>
          <w:color w:val="auto"/>
        </w:rPr>
      </w:pPr>
      <w:r>
        <w:rPr>
          <w:rFonts w:ascii="Arial" w:cs="Arial" w:eastAsia="Arial" w:hAnsi="Arial"/>
          <w:sz w:val="15"/>
          <w:szCs w:val="15"/>
          <w:color w:val="auto"/>
        </w:rPr>
        <w:t>acted upon at any meeting of the Steering Committee. Other representatives of the parties may attend Steering Committee meetings as non-voting participants. At least one week prior to any meeting of the Steering Committee, the parties shall agree upon a proposed agenda of the matters to be discussed at such meeting. The parties shall agree, at the first meeting of the Steering Committee, upon procedures for maintaining meeting minutes. The Steering Committee may take action on a matter at a meeting only if a quorum exists with respect to that matter. The attendance of at least two</w:t>
      </w:r>
    </w:p>
    <w:p>
      <w:pPr>
        <w:ind w:left="660" w:hanging="1"/>
        <w:spacing w:after="0" w:line="260" w:lineRule="auto"/>
        <w:tabs>
          <w:tab w:leader="none" w:pos="90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members of the Steering Committee of each party at a meeting shall constitute a quorum for the transaction of business. Each member of the Steering Committee shall be entitled to cast one (1) vote, either in person or by proxy, on any matter to be acted upon at any meeting of the Steering Committee. All decisions made by the Steering Committee shall require a majority vote by the members of the Steering Committee, either in person or by proxy. Any action required or permitted to be taken at any meeting of the Steering Committee may be taken without a meeting if the action is taken by all members of the Steering Committee. Such action must be evidenced by one or more written consents describing the action taken and signed by each member of the Steering Committee. In the event the Steering Committee is unable to achieve a majority vote on any issue, then the dispute resolution process set forth in Section 5.3 hereof will be followed with respect to such issue.</w:t>
      </w:r>
    </w:p>
    <w:p>
      <w:pPr>
        <w:spacing w:after="0" w:line="184" w:lineRule="exact"/>
        <w:rPr>
          <w:sz w:val="20"/>
          <w:szCs w:val="20"/>
          <w:color w:val="auto"/>
        </w:rPr>
      </w:pPr>
    </w:p>
    <w:p>
      <w:pPr>
        <w:ind w:left="660" w:right="320" w:hanging="653"/>
        <w:spacing w:after="0" w:line="289" w:lineRule="auto"/>
        <w:tabs>
          <w:tab w:leader="none" w:pos="6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u w:val="single" w:color="auto"/>
          <w:color w:val="auto"/>
        </w:rPr>
        <w:t>Responsibilities</w:t>
      </w:r>
      <w:r>
        <w:rPr>
          <w:rFonts w:ascii="Arial" w:cs="Arial" w:eastAsia="Arial" w:hAnsi="Arial"/>
          <w:sz w:val="17"/>
          <w:szCs w:val="17"/>
          <w:color w:val="auto"/>
        </w:rPr>
        <w:t>. The responsibilities of the Steering Committee (which may be delegated to sub-groups by approval of the Steering Committee) will</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include, without limitation: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6"/>
          <w:szCs w:val="16"/>
          <w:color w:val="auto"/>
        </w:rPr>
        <w:t>approving the Annual Commercial Plan (including the budget therein);</w:t>
      </w:r>
    </w:p>
    <w:p>
      <w:pPr>
        <w:spacing w:after="0" w:line="224" w:lineRule="exact"/>
        <w:rPr>
          <w:sz w:val="20"/>
          <w:szCs w:val="20"/>
          <w:color w:val="auto"/>
        </w:rPr>
      </w:pPr>
    </w:p>
    <w:p>
      <w:pPr>
        <w:ind w:left="1300" w:right="40" w:hanging="653"/>
        <w:spacing w:after="0" w:line="273" w:lineRule="auto"/>
        <w:tabs>
          <w:tab w:leader="none" w:pos="1280" w:val="left"/>
        </w:tabs>
        <w:rPr>
          <w:sz w:val="20"/>
          <w:szCs w:val="20"/>
          <w:color w:val="auto"/>
        </w:rPr>
      </w:pPr>
      <w:r>
        <w:rPr>
          <w:rFonts w:ascii="Arial" w:cs="Arial" w:eastAsia="Arial" w:hAnsi="Arial"/>
          <w:sz w:val="17"/>
          <w:szCs w:val="17"/>
          <w:color w:val="auto"/>
        </w:rPr>
        <w:t>5.2.2</w:t>
      </w:r>
      <w:r>
        <w:rPr>
          <w:sz w:val="20"/>
          <w:szCs w:val="20"/>
          <w:color w:val="auto"/>
        </w:rPr>
        <w:tab/>
      </w:r>
      <w:r>
        <w:rPr>
          <w:rFonts w:ascii="Arial" w:cs="Arial" w:eastAsia="Arial" w:hAnsi="Arial"/>
          <w:sz w:val="17"/>
          <w:szCs w:val="17"/>
          <w:color w:val="auto"/>
        </w:rPr>
        <w:t>determining the types and forms of Ad/Prom Materials to be created (e.g., printed materials, television media, digital media such as website content or e-marketing) and reviewing and approving all Ad/Prom Materials for the Test and sales force training materials before first use in the Territories;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5.2.3</w:t>
      </w:r>
      <w:r>
        <w:rPr>
          <w:sz w:val="20"/>
          <w:szCs w:val="20"/>
          <w:color w:val="auto"/>
        </w:rPr>
        <w:tab/>
      </w:r>
      <w:r>
        <w:rPr>
          <w:rFonts w:ascii="Arial" w:cs="Arial" w:eastAsia="Arial" w:hAnsi="Arial"/>
          <w:sz w:val="16"/>
          <w:szCs w:val="16"/>
          <w:color w:val="auto"/>
        </w:rPr>
        <w:t>approving Test launch order and timing for Countries in Territory B;</w:t>
      </w:r>
    </w:p>
    <w:p>
      <w:pPr>
        <w:spacing w:after="0" w:line="224" w:lineRule="exact"/>
        <w:rPr>
          <w:sz w:val="20"/>
          <w:szCs w:val="20"/>
          <w:color w:val="auto"/>
        </w:rPr>
      </w:pPr>
    </w:p>
    <w:p>
      <w:pPr>
        <w:ind w:left="1300" w:right="720" w:hanging="653"/>
        <w:spacing w:after="0" w:line="289" w:lineRule="auto"/>
        <w:tabs>
          <w:tab w:leader="none" w:pos="1280" w:val="left"/>
        </w:tabs>
        <w:rPr>
          <w:sz w:val="20"/>
          <w:szCs w:val="20"/>
          <w:color w:val="auto"/>
        </w:rPr>
      </w:pPr>
      <w:r>
        <w:rPr>
          <w:rFonts w:ascii="Arial" w:cs="Arial" w:eastAsia="Arial" w:hAnsi="Arial"/>
          <w:sz w:val="17"/>
          <w:szCs w:val="17"/>
          <w:color w:val="auto"/>
        </w:rPr>
        <w:t>5.2.4</w:t>
      </w:r>
      <w:r>
        <w:rPr>
          <w:sz w:val="20"/>
          <w:szCs w:val="20"/>
          <w:color w:val="auto"/>
        </w:rPr>
        <w:tab/>
      </w:r>
      <w:r>
        <w:rPr>
          <w:rFonts w:ascii="Arial" w:cs="Arial" w:eastAsia="Arial" w:hAnsi="Arial"/>
          <w:sz w:val="17"/>
          <w:szCs w:val="17"/>
          <w:color w:val="auto"/>
        </w:rPr>
        <w:t>planning, monitoring and evaluating the overall sales and marketing program for the Test in each Country and ensuring the program is compliant with best practices in each Country and all applicable laws and regulations;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5.2.5</w:t>
      </w:r>
      <w:r>
        <w:rPr>
          <w:sz w:val="20"/>
          <w:szCs w:val="20"/>
          <w:color w:val="auto"/>
        </w:rPr>
        <w:tab/>
      </w:r>
      <w:r>
        <w:rPr>
          <w:rFonts w:ascii="Arial" w:cs="Arial" w:eastAsia="Arial" w:hAnsi="Arial"/>
          <w:sz w:val="16"/>
          <w:szCs w:val="16"/>
          <w:color w:val="auto"/>
        </w:rPr>
        <w:t>approving the allocation of Genzyme’s funding commitment to support clinical development in Territory B, as described in Section 3.4;</w:t>
      </w:r>
    </w:p>
    <w:p>
      <w:pPr>
        <w:spacing w:after="0" w:line="224" w:lineRule="exact"/>
        <w:rPr>
          <w:sz w:val="20"/>
          <w:szCs w:val="20"/>
          <w:color w:val="auto"/>
        </w:rPr>
      </w:pPr>
    </w:p>
    <w:p>
      <w:pPr>
        <w:ind w:left="1320" w:right="120" w:hanging="653"/>
        <w:spacing w:after="0" w:line="322" w:lineRule="auto"/>
        <w:tabs>
          <w:tab w:leader="none" w:pos="1300" w:val="left"/>
        </w:tabs>
        <w:rPr>
          <w:sz w:val="20"/>
          <w:szCs w:val="20"/>
          <w:color w:val="auto"/>
        </w:rPr>
      </w:pPr>
      <w:r>
        <w:rPr>
          <w:rFonts w:ascii="Arial" w:cs="Arial" w:eastAsia="Arial" w:hAnsi="Arial"/>
          <w:sz w:val="17"/>
          <w:szCs w:val="17"/>
          <w:color w:val="auto"/>
        </w:rPr>
        <w:t>5.2.6</w:t>
      </w:r>
      <w:r>
        <w:rPr>
          <w:sz w:val="20"/>
          <w:szCs w:val="20"/>
          <w:color w:val="auto"/>
        </w:rPr>
        <w:tab/>
      </w:r>
      <w:r>
        <w:rPr>
          <w:rFonts w:ascii="Arial" w:cs="Arial" w:eastAsia="Arial" w:hAnsi="Arial"/>
          <w:sz w:val="16"/>
          <w:szCs w:val="16"/>
          <w:color w:val="auto"/>
        </w:rPr>
        <w:t>implementing the marketing and promotion strategy for the Test in each Country, including the planned number of Calls for each calendar year and the targets for such Calls, in order to market, promote and detail the Test in the most effective and efficient fashion; and</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5.2.7</w:t>
      </w:r>
      <w:r>
        <w:rPr>
          <w:sz w:val="20"/>
          <w:szCs w:val="20"/>
          <w:color w:val="auto"/>
        </w:rPr>
        <w:tab/>
      </w:r>
      <w:r>
        <w:rPr>
          <w:rFonts w:ascii="Arial" w:cs="Arial" w:eastAsia="Arial" w:hAnsi="Arial"/>
          <w:sz w:val="16"/>
          <w:szCs w:val="16"/>
          <w:color w:val="auto"/>
        </w:rPr>
        <w:t>any other activities specifically provided for in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0"/>
        <w:spacing w:after="0" w:line="322" w:lineRule="auto"/>
        <w:rPr>
          <w:sz w:val="20"/>
          <w:szCs w:val="20"/>
          <w:color w:val="auto"/>
        </w:rPr>
      </w:pPr>
      <w:r>
        <w:rPr>
          <w:rFonts w:ascii="Arial" w:cs="Arial" w:eastAsia="Arial" w:hAnsi="Arial"/>
          <w:sz w:val="16"/>
          <w:szCs w:val="16"/>
          <w:color w:val="auto"/>
        </w:rPr>
        <w:t>The members of the Steering Committee from each party shall have the right to comment upon and make recommendations to the members of the other party regarding the other party’s activities under this Agreement, which recommendations the other party shall be reasonably considered.</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u w:val="single" w:color="auto"/>
          <w:color w:val="auto"/>
        </w:rPr>
        <w:t>Steering Committee Dispute Resolution</w:t>
      </w:r>
      <w:r>
        <w:rPr>
          <w:rFonts w:ascii="Arial" w:cs="Arial" w:eastAsia="Arial" w:hAnsi="Arial"/>
          <w:sz w:val="15"/>
          <w:szCs w:val="15"/>
          <w:color w:val="auto"/>
        </w:rPr>
        <w:t>.</w:t>
      </w:r>
    </w:p>
    <w:p>
      <w:pPr>
        <w:spacing w:after="0" w:line="224" w:lineRule="exact"/>
        <w:rPr>
          <w:sz w:val="20"/>
          <w:szCs w:val="20"/>
          <w:color w:val="auto"/>
        </w:rPr>
      </w:pPr>
    </w:p>
    <w:p>
      <w:pPr>
        <w:ind w:left="1320" w:hanging="653"/>
        <w:spacing w:after="0" w:line="281" w:lineRule="auto"/>
        <w:tabs>
          <w:tab w:leader="none" w:pos="1300" w:val="left"/>
        </w:tabs>
        <w:rPr>
          <w:sz w:val="20"/>
          <w:szCs w:val="20"/>
          <w:color w:val="auto"/>
        </w:rPr>
      </w:pPr>
      <w:r>
        <w:rPr>
          <w:rFonts w:ascii="Arial" w:cs="Arial" w:eastAsia="Arial" w:hAnsi="Arial"/>
          <w:sz w:val="17"/>
          <w:szCs w:val="17"/>
          <w:color w:val="auto"/>
        </w:rPr>
        <w:t>5.3.1</w:t>
      </w:r>
      <w:r>
        <w:rPr>
          <w:sz w:val="20"/>
          <w:szCs w:val="20"/>
          <w:color w:val="auto"/>
        </w:rPr>
        <w:tab/>
      </w:r>
      <w:r>
        <w:rPr>
          <w:rFonts w:ascii="Arial" w:cs="Arial" w:eastAsia="Arial" w:hAnsi="Arial"/>
          <w:sz w:val="16"/>
          <w:szCs w:val="16"/>
          <w:color w:val="auto"/>
        </w:rPr>
        <w:t>Should the Steering Committee be unable to reach a unanimous decision on any matter after ten (10) business days following the date on which the relevant meeting or teleconference has been held, the decision will be escalated to senior management representatives of the parties, who will have an additional ten (10) business days to reach a mutually agreeable decision. If the senior management representatives are unable to resolve such a dispute or issue within such ten (10) day period after being requested to resolve such dispute or issue, the dispute or issue shall be referred to the Chief Executive Officers of Veracyte and Genzyme, or their designees, for attempted good faith resolution by negotiation within thirty (30) calendar days after such referral. If the Chief Executive Officers of the parties, or their designees, are unable to resolve such dispute or issue, then the matter may be referred to mediation as set forth in Section 5.3.2 hereof.</w:t>
      </w:r>
    </w:p>
    <w:p>
      <w:pPr>
        <w:spacing w:after="0" w:line="170" w:lineRule="exact"/>
        <w:rPr>
          <w:sz w:val="20"/>
          <w:szCs w:val="20"/>
          <w:color w:val="auto"/>
        </w:rPr>
      </w:pPr>
    </w:p>
    <w:p>
      <w:pPr>
        <w:ind w:left="1320" w:right="40" w:hanging="653"/>
        <w:spacing w:after="0" w:line="279" w:lineRule="auto"/>
        <w:tabs>
          <w:tab w:leader="none" w:pos="1300" w:val="left"/>
        </w:tabs>
        <w:rPr>
          <w:sz w:val="20"/>
          <w:szCs w:val="20"/>
          <w:color w:val="auto"/>
        </w:rPr>
      </w:pPr>
      <w:r>
        <w:rPr>
          <w:rFonts w:ascii="Arial" w:cs="Arial" w:eastAsia="Arial" w:hAnsi="Arial"/>
          <w:sz w:val="17"/>
          <w:szCs w:val="17"/>
          <w:color w:val="auto"/>
        </w:rPr>
        <w:t>5.3.2</w:t>
      </w:r>
      <w:r>
        <w:rPr>
          <w:sz w:val="20"/>
          <w:szCs w:val="20"/>
          <w:color w:val="auto"/>
        </w:rPr>
        <w:tab/>
      </w:r>
      <w:r>
        <w:rPr>
          <w:rFonts w:ascii="Arial" w:cs="Arial" w:eastAsia="Arial" w:hAnsi="Arial"/>
          <w:sz w:val="16"/>
          <w:szCs w:val="16"/>
          <w:color w:val="auto"/>
        </w:rPr>
        <w:t xml:space="preserve">If a dispute cannot be resolved pursuant to Section 5.3.1 hereof, the parties shall in good faith attempt to resolve such dispute by non-binding mediation administered by JAMS End Dispute in accordance with its commercial mediation rules. The mediation will be conducted by a single mediator appointed by agreement of the parties or, failing such agreement, by JAMS End Dispute in accordance with its commercial mediation rules. Unless otherwise mutually agreed by the parties, the mediation proceedings will be conducted in Chicago, Illinois. The parties shall share equally the cost of the mediation including, without limitation, filing fees, hearing fees and the cost of the mediator(s). Each party will bear its own attorneys’ fees and associated costs and expenses. If the dispute has not been resolved by the means provided herein within one hundred eighty (180) calendar days of the initiation of such procedure, either party shall have the right to file a lawsuit to resolve the dispute; </w:t>
      </w:r>
      <w:r>
        <w:rPr>
          <w:rFonts w:ascii="Arial" w:cs="Arial" w:eastAsia="Arial" w:hAnsi="Arial"/>
          <w:sz w:val="16"/>
          <w:szCs w:val="16"/>
          <w:i w:val="1"/>
          <w:iCs w:val="1"/>
          <w:color w:val="auto"/>
        </w:rPr>
        <w:t>provided, however</w:t>
      </w:r>
      <w:r>
        <w:rPr>
          <w:rFonts w:ascii="Arial" w:cs="Arial" w:eastAsia="Arial" w:hAnsi="Arial"/>
          <w:sz w:val="16"/>
          <w:szCs w:val="16"/>
          <w:color w:val="auto"/>
        </w:rPr>
        <w:t>, if Veracyte files such lawsuit, it must be filed in the courts of Boston, Massachusetts and if Genzyme files such lawsuit, it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filed in the courts in San Francisco, California.</w:t>
      </w:r>
    </w:p>
    <w:p>
      <w:pPr>
        <w:spacing w:after="0" w:line="173" w:lineRule="exact"/>
        <w:rPr>
          <w:sz w:val="20"/>
          <w:szCs w:val="20"/>
          <w:color w:val="auto"/>
        </w:rPr>
      </w:pPr>
    </w:p>
    <w:p>
      <w:pPr>
        <w:ind w:left="660" w:right="20" w:hanging="653"/>
        <w:spacing w:after="0" w:line="273" w:lineRule="auto"/>
        <w:tabs>
          <w:tab w:leader="none" w:pos="6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u w:val="single" w:color="auto"/>
          <w:color w:val="auto"/>
        </w:rPr>
        <w:t>Coordination of Calls</w:t>
      </w:r>
      <w:r>
        <w:rPr>
          <w:rFonts w:ascii="Arial" w:cs="Arial" w:eastAsia="Arial" w:hAnsi="Arial"/>
          <w:sz w:val="17"/>
          <w:szCs w:val="17"/>
          <w:color w:val="auto"/>
        </w:rPr>
        <w:t>. Efforts will be made by the Steering Committee to coordinate the Calls by the Veracyte sales forces, if any and as applicable, with</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Calls by the Genzyme sales forces to ensure the most effective coverage of the target audiences and to minimize duplication of efforts to the extent practicable.</w:t>
      </w:r>
    </w:p>
    <w:p>
      <w:pPr>
        <w:spacing w:after="0" w:line="172" w:lineRule="exact"/>
        <w:rPr>
          <w:sz w:val="20"/>
          <w:szCs w:val="20"/>
          <w:color w:val="auto"/>
        </w:rPr>
      </w:pPr>
    </w:p>
    <w:p>
      <w:pPr>
        <w:ind w:left="660" w:right="140" w:hanging="653"/>
        <w:spacing w:after="0" w:line="289" w:lineRule="auto"/>
        <w:tabs>
          <w:tab w:leader="none" w:pos="6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u w:val="single" w:color="auto"/>
          <w:color w:val="auto"/>
        </w:rPr>
        <w:t>Participation Cost</w:t>
      </w:r>
      <w:r>
        <w:rPr>
          <w:rFonts w:ascii="Arial" w:cs="Arial" w:eastAsia="Arial" w:hAnsi="Arial"/>
          <w:sz w:val="17"/>
          <w:szCs w:val="17"/>
          <w:color w:val="auto"/>
        </w:rPr>
        <w:t>. Each party shall bear its own costs associated with its participation in the Steering Committee and its activities performed under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except as otherwise set forth herein.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9"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 FINANCIAL TERMS</w:t>
      </w:r>
    </w:p>
    <w:p>
      <w:pPr>
        <w:sectPr>
          <w:pgSz w:w="11900" w:h="16839" w:orient="portrait"/>
          <w:cols w:equalWidth="0" w:num="1">
            <w:col w:w="11420"/>
          </w:cols>
          <w:pgMar w:left="240" w:top="127" w:right="239" w:bottom="0" w:gutter="0" w:footer="0" w:header="0"/>
          <w:type w:val="continuous"/>
        </w:sectPr>
      </w:pPr>
    </w:p>
    <w:bookmarkStart w:id="193" w:name="page194"/>
    <w:bookmarkEnd w:id="193"/>
    <w:p>
      <w:pPr>
        <w:ind w:left="660" w:right="80" w:hanging="653"/>
        <w:spacing w:after="0" w:line="289" w:lineRule="auto"/>
        <w:tabs>
          <w:tab w:leader="none" w:pos="6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u w:val="single" w:color="auto"/>
          <w:color w:val="auto"/>
        </w:rPr>
        <w:t>Compensation to Genzyme</w:t>
      </w:r>
      <w:r>
        <w:rPr>
          <w:rFonts w:ascii="Arial" w:cs="Arial" w:eastAsia="Arial" w:hAnsi="Arial"/>
          <w:sz w:val="17"/>
          <w:szCs w:val="17"/>
          <w:color w:val="auto"/>
        </w:rPr>
        <w:t>. Subject to the provisions of and during the Term of this Agreement, as compensation for its marketing, promotion, and other</w:t>
      </w:r>
      <w:r>
        <w:rPr>
          <w:rFonts w:ascii="Arial" w:cs="Arial" w:eastAsia="Arial" w:hAnsi="Arial"/>
          <w:sz w:val="17"/>
          <w:szCs w:val="17"/>
          <w:u w:val="single" w:color="auto"/>
          <w:color w:val="auto"/>
        </w:rPr>
        <w:t xml:space="preserve"> </w:t>
      </w:r>
      <w:r>
        <w:rPr>
          <w:rFonts w:ascii="Arial" w:cs="Arial" w:eastAsia="Arial" w:hAnsi="Arial"/>
          <w:sz w:val="17"/>
          <w:szCs w:val="17"/>
          <w:color w:val="auto"/>
        </w:rPr>
        <w:t>activities and obligations under this Agreement, Genzyme shall receive a fee (the “Promotion Fees”) as follows:</w:t>
      </w:r>
    </w:p>
    <w:p>
      <w:pPr>
        <w:spacing w:after="0" w:line="158" w:lineRule="exact"/>
        <w:rPr>
          <w:sz w:val="20"/>
          <w:szCs w:val="20"/>
          <w:color w:val="auto"/>
        </w:rPr>
      </w:pPr>
    </w:p>
    <w:p>
      <w:pPr>
        <w:ind w:left="1300" w:right="140" w:hanging="653"/>
        <w:spacing w:after="0" w:line="301" w:lineRule="auto"/>
        <w:tabs>
          <w:tab w:leader="none" w:pos="128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7"/>
          <w:szCs w:val="17"/>
          <w:color w:val="auto"/>
        </w:rPr>
        <w:t>Fifty percent (50%) of Net Revenues received by Veracyte on the Test in Territory A and Territory B on and after the Effective Date but before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Effective Date;</w:t>
      </w:r>
    </w:p>
    <w:p>
      <w:pPr>
        <w:spacing w:after="0" w:line="67" w:lineRule="exact"/>
        <w:rPr>
          <w:sz w:val="20"/>
          <w:szCs w:val="20"/>
          <w:color w:val="auto"/>
        </w:rPr>
      </w:pPr>
    </w:p>
    <w:p>
      <w:pPr>
        <w:ind w:left="1300" w:right="200" w:hanging="653"/>
        <w:spacing w:after="0" w:line="246" w:lineRule="auto"/>
        <w:tabs>
          <w:tab w:leader="none" w:pos="128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7"/>
          <w:szCs w:val="17"/>
          <w:color w:val="auto"/>
        </w:rPr>
        <w:t>Forty percent (40%) of Net Revenues received by Veracyte on the Test in Territory A and Territory B on and after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Effective Date but before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Effective Date; and</w:t>
      </w:r>
    </w:p>
    <w:p>
      <w:pPr>
        <w:spacing w:after="0" w:line="111" w:lineRule="exact"/>
        <w:rPr>
          <w:sz w:val="20"/>
          <w:szCs w:val="20"/>
          <w:color w:val="auto"/>
        </w:rPr>
      </w:pPr>
    </w:p>
    <w:p>
      <w:pPr>
        <w:ind w:left="1300" w:right="660" w:hanging="653"/>
        <w:spacing w:after="0" w:line="258" w:lineRule="auto"/>
        <w:tabs>
          <w:tab w:leader="none" w:pos="128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6"/>
          <w:szCs w:val="16"/>
          <w:color w:val="auto"/>
        </w:rPr>
        <w:t>Thirty two percent (32%) of Net Revenues received by Veracyte on the Test in Territory A and Territory B on and after the second (2</w:t>
      </w:r>
      <w:r>
        <w:rPr>
          <w:rFonts w:ascii="Arial" w:cs="Arial" w:eastAsia="Arial" w:hAnsi="Arial"/>
          <w:sz w:val="20"/>
          <w:szCs w:val="20"/>
          <w:color w:val="auto"/>
          <w:vertAlign w:val="superscript"/>
        </w:rPr>
        <w:t>nd</w:t>
      </w:r>
      <w:r>
        <w:rPr>
          <w:rFonts w:ascii="Arial" w:cs="Arial" w:eastAsia="Arial" w:hAnsi="Arial"/>
          <w:sz w:val="16"/>
          <w:szCs w:val="16"/>
          <w:color w:val="auto"/>
        </w:rPr>
        <w:t>) anniversary of the Effective Date through the effective date of the expiration or termination of this Agreement (inclusive).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Such Promotion Fees shall be due on a quarterly basis as set forth in Section 6.3 below.</w:t>
      </w:r>
    </w:p>
    <w:p>
      <w:pPr>
        <w:spacing w:after="0" w:line="224" w:lineRule="exact"/>
        <w:rPr>
          <w:sz w:val="20"/>
          <w:szCs w:val="20"/>
          <w:color w:val="auto"/>
        </w:rPr>
      </w:pPr>
    </w:p>
    <w:p>
      <w:pPr>
        <w:ind w:left="660" w:right="280" w:hanging="653"/>
        <w:spacing w:after="0" w:line="273" w:lineRule="auto"/>
        <w:tabs>
          <w:tab w:leader="none" w:pos="6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u w:val="single" w:color="auto"/>
          <w:color w:val="auto"/>
        </w:rPr>
        <w:t>Quarterly Net Revenue Report</w:t>
      </w:r>
      <w:r>
        <w:rPr>
          <w:rFonts w:ascii="Arial" w:cs="Arial" w:eastAsia="Arial" w:hAnsi="Arial"/>
          <w:sz w:val="17"/>
          <w:szCs w:val="17"/>
          <w:color w:val="auto"/>
        </w:rPr>
        <w:t>. Within thirty (30) calendar days after the close of each calendar quarter that occurs during the Term of this Agreement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within thirty (30) calendar days after the end of the Term, Veracyte shall submit to Genzyme a statement (the “Quarterly Net Revenue Report”) showing, with respect to each Territory and each Country:</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5"/>
          <w:szCs w:val="15"/>
          <w:color w:val="auto"/>
        </w:rPr>
        <w:t>Net Revenues, with breakouts of revenues attributable to cytopathology versus molecular testing services and regional breakouts;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6.2.2</w:t>
      </w:r>
      <w:r>
        <w:rPr>
          <w:sz w:val="20"/>
          <w:szCs w:val="20"/>
          <w:color w:val="auto"/>
        </w:rPr>
        <w:tab/>
      </w:r>
      <w:r>
        <w:rPr>
          <w:rFonts w:ascii="Arial" w:cs="Arial" w:eastAsia="Arial" w:hAnsi="Arial"/>
          <w:sz w:val="15"/>
          <w:szCs w:val="15"/>
          <w:color w:val="auto"/>
        </w:rPr>
        <w:t>the amount billed and the amount reimbursed for each claim, and the payor associated with each such claim; and</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6.2.3</w:t>
      </w:r>
      <w:r>
        <w:rPr>
          <w:sz w:val="20"/>
          <w:szCs w:val="20"/>
          <w:color w:val="auto"/>
        </w:rPr>
        <w:tab/>
      </w:r>
      <w:r>
        <w:rPr>
          <w:rFonts w:ascii="Arial" w:cs="Arial" w:eastAsia="Arial" w:hAnsi="Arial"/>
          <w:sz w:val="15"/>
          <w:szCs w:val="15"/>
          <w:color w:val="auto"/>
        </w:rPr>
        <w:t>the calculation of the Promotion Fees due to Genzyme pursuant to Section 6.1.</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such Quarterly Net Revenue Report shall be treated as Confidential Information of Veracyte in accordance with Section 7 hereof.</w:t>
      </w:r>
    </w:p>
    <w:p>
      <w:pPr>
        <w:spacing w:after="0" w:line="224" w:lineRule="exact"/>
        <w:rPr>
          <w:sz w:val="20"/>
          <w:szCs w:val="20"/>
          <w:color w:val="auto"/>
        </w:rPr>
      </w:pPr>
    </w:p>
    <w:p>
      <w:pPr>
        <w:ind w:left="660" w:right="120" w:hanging="653"/>
        <w:spacing w:after="0" w:line="268" w:lineRule="auto"/>
        <w:tabs>
          <w:tab w:leader="none" w:pos="64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u w:val="single" w:color="auto"/>
          <w:color w:val="auto"/>
        </w:rPr>
        <w:t>Invoicing and Payment</w:t>
      </w:r>
      <w:r>
        <w:rPr>
          <w:rFonts w:ascii="Arial" w:cs="Arial" w:eastAsia="Arial" w:hAnsi="Arial"/>
          <w:sz w:val="17"/>
          <w:szCs w:val="17"/>
          <w:color w:val="auto"/>
        </w:rPr>
        <w:t>. Invoicing shall take place on a quarterly basis. Each invoice shall be based on the data contained in the Quarterly Net Revenue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Reports received by Genzyme in accordance with Section 6.2 above and payment shall be due not more than thirty (30) calendar days from the date of invoice and may be made in the form of a wire transfer. With respect to invoices for assistance and support provided by one party to the other party at such other party’s expense pursuant to the terms and conditions of this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Agreement, payment shall be due within thirty (30) calendar days after receipt of a reasonably detailed invoice for such assistance and support.</w:t>
      </w:r>
    </w:p>
    <w:p>
      <w:pPr>
        <w:spacing w:after="0" w:line="236" w:lineRule="exact"/>
        <w:rPr>
          <w:sz w:val="20"/>
          <w:szCs w:val="20"/>
          <w:color w:val="auto"/>
        </w:rPr>
      </w:pPr>
    </w:p>
    <w:p>
      <w:pPr>
        <w:jc w:val="both"/>
        <w:ind w:left="660" w:right="160" w:hanging="653"/>
        <w:spacing w:after="0" w:line="268" w:lineRule="auto"/>
        <w:tabs>
          <w:tab w:leader="none" w:pos="64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u w:val="single" w:color="auto"/>
          <w:color w:val="auto"/>
        </w:rPr>
        <w:t>Annual Reconciliation</w:t>
      </w:r>
      <w:r>
        <w:rPr>
          <w:rFonts w:ascii="Arial" w:cs="Arial" w:eastAsia="Arial" w:hAnsi="Arial"/>
          <w:sz w:val="17"/>
          <w:szCs w:val="17"/>
          <w:color w:val="auto"/>
        </w:rPr>
        <w:t>. The Quarterly Net Revenue Report for the fourth quarter of each calendar year shall contain an annual reconciliation indicating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difference, if any, between the annual Promotion Fees (calculated on the basis of the Net Revenue reported for the entire calendar year) and the sum of all quarterly Promotion Fees (calculated on the basis of the Net Revenue reported per calendar quarter). In case of a difference, the relevant amount shall be settled in Genzyme’s invoice for the fourth quarter of the relevant calendar year.</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u w:val="single" w:color="auto"/>
          <w:color w:val="auto"/>
        </w:rPr>
        <w:t>Territory B Reimbursement Exception</w:t>
      </w:r>
      <w:r>
        <w:rPr>
          <w:rFonts w:ascii="Arial" w:cs="Arial" w:eastAsia="Arial" w:hAnsi="Arial"/>
          <w:sz w:val="16"/>
          <w:szCs w:val="16"/>
          <w:color w:val="auto"/>
        </w:rPr>
        <w:t>.</w:t>
      </w:r>
    </w:p>
    <w:p>
      <w:pPr>
        <w:spacing w:after="0" w:line="224" w:lineRule="exact"/>
        <w:rPr>
          <w:sz w:val="20"/>
          <w:szCs w:val="20"/>
          <w:color w:val="auto"/>
        </w:rPr>
      </w:pPr>
    </w:p>
    <w:p>
      <w:pPr>
        <w:ind w:left="1320" w:right="60" w:hanging="677"/>
        <w:spacing w:after="0" w:line="294" w:lineRule="auto"/>
        <w:tabs>
          <w:tab w:leader="none" w:pos="1300" w:val="left"/>
        </w:tabs>
        <w:rPr>
          <w:sz w:val="20"/>
          <w:szCs w:val="20"/>
          <w:color w:val="auto"/>
        </w:rPr>
      </w:pPr>
      <w:r>
        <w:rPr>
          <w:rFonts w:ascii="Arial" w:cs="Arial" w:eastAsia="Arial" w:hAnsi="Arial"/>
          <w:sz w:val="17"/>
          <w:szCs w:val="17"/>
          <w:color w:val="auto"/>
        </w:rPr>
        <w:t>6.5.1</w:t>
      </w:r>
      <w:r>
        <w:rPr>
          <w:sz w:val="20"/>
          <w:szCs w:val="20"/>
          <w:color w:val="auto"/>
        </w:rPr>
        <w:tab/>
      </w:r>
      <w:r>
        <w:rPr>
          <w:rFonts w:ascii="Arial" w:cs="Arial" w:eastAsia="Arial" w:hAnsi="Arial"/>
          <w:sz w:val="15"/>
          <w:szCs w:val="15"/>
          <w:color w:val="auto"/>
        </w:rPr>
        <w:t>In the event that the average reimbursed price of the Test in a particular Country in Territory B is materially reduced for *** for reasons other than seasonal fluctuations, force majeure event, a recall or a supply shortage, then either party may request in writing that the Steering Committee meet and confer to determine in good faith whether the reduction in the reimbursed price is other than temporary and, if so, whether it is necessary or advisable to reduce the Promotion Fee for the relevant Country so as to make commercialization of the Test commercially feasible for both parties. For the purposes of clarity, it is the understanding of the parties that any reduction in the average reimbursed price would be a material reduction if it results in the average reimbursed price of the Test in a particular Country being lower than the sum of:</w:t>
      </w:r>
    </w:p>
    <w:p>
      <w:pPr>
        <w:spacing w:after="0" w:line="3" w:lineRule="exact"/>
        <w:rPr>
          <w:sz w:val="20"/>
          <w:szCs w:val="20"/>
          <w:color w:val="auto"/>
        </w:rPr>
      </w:pPr>
    </w:p>
    <w:p>
      <w:pPr>
        <w:ind w:left="1320" w:right="200" w:hanging="8"/>
        <w:spacing w:after="0" w:line="307" w:lineRule="auto"/>
        <w:tabs>
          <w:tab w:leader="none" w:pos="152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Veracyte’s Test Processing Costs for the Test in that Country at that time, (ii) the Promotion Fee of Genzyme for the Test in that Country at that time, and (iii) a minimum net margin of *** (as a percentage of Net Revenues in that Country at that time) to Veracyte.</w:t>
      </w:r>
    </w:p>
    <w:p>
      <w:pPr>
        <w:spacing w:after="0" w:line="147" w:lineRule="exact"/>
        <w:rPr>
          <w:sz w:val="20"/>
          <w:szCs w:val="20"/>
          <w:color w:val="auto"/>
        </w:rPr>
      </w:pPr>
    </w:p>
    <w:p>
      <w:pPr>
        <w:jc w:val="both"/>
        <w:ind w:left="1300" w:right="200" w:hanging="642"/>
        <w:spacing w:after="0" w:line="297" w:lineRule="auto"/>
        <w:tabs>
          <w:tab w:leader="none" w:pos="1280" w:val="left"/>
        </w:tabs>
        <w:rPr>
          <w:sz w:val="20"/>
          <w:szCs w:val="20"/>
          <w:color w:val="auto"/>
        </w:rPr>
      </w:pPr>
      <w:r>
        <w:rPr>
          <w:rFonts w:ascii="Arial" w:cs="Arial" w:eastAsia="Arial" w:hAnsi="Arial"/>
          <w:sz w:val="17"/>
          <w:szCs w:val="17"/>
          <w:color w:val="auto"/>
        </w:rPr>
        <w:t>6.5.2</w:t>
      </w:r>
      <w:r>
        <w:rPr>
          <w:sz w:val="20"/>
          <w:szCs w:val="20"/>
          <w:color w:val="auto"/>
        </w:rPr>
        <w:tab/>
      </w:r>
      <w:r>
        <w:rPr>
          <w:rFonts w:ascii="Arial" w:cs="Arial" w:eastAsia="Arial" w:hAnsi="Arial"/>
          <w:sz w:val="15"/>
          <w:szCs w:val="15"/>
          <w:color w:val="auto"/>
        </w:rPr>
        <w:t>If Veracyte deems it necessary or advisable to reduce the Promotion Fee for the relevant Country, it shall so notify the Steering Committee in writing and the Steering Committee will meet and confer to determine in good faith whether to make an adjustment to the Promotion Fee. In the event that the Steering Committee is unable to agree upon an adjusted Promotion Fee for the relevant Country within sixty (60) days, then</w:t>
      </w:r>
    </w:p>
    <w:p>
      <w:pPr>
        <w:spacing w:after="0" w:line="1" w:lineRule="exact"/>
        <w:rPr>
          <w:sz w:val="20"/>
          <w:szCs w:val="20"/>
          <w:color w:val="auto"/>
        </w:rPr>
      </w:pPr>
    </w:p>
    <w:p>
      <w:pPr>
        <w:ind w:left="1320" w:right="160" w:hanging="8"/>
        <w:spacing w:after="0" w:line="260" w:lineRule="auto"/>
        <w:tabs>
          <w:tab w:leader="none" w:pos="155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Veracyte shall have the right to suspend or terminate its obligations under this Agreement with respect to the relevant Country with thirty (30) days prior written notice to the other party, (b) the relevant Country shall be automatically become a Removed Country as of the effective date of such termination and (c) Veracyte shall be free to commercialize the Test in such Country on its own (directly or through its Affiliates) or through a third party, </w:t>
      </w:r>
      <w:r>
        <w:rPr>
          <w:rFonts w:ascii="Arial" w:cs="Arial" w:eastAsia="Arial" w:hAnsi="Arial"/>
          <w:sz w:val="17"/>
          <w:szCs w:val="17"/>
          <w:i w:val="1"/>
          <w:iCs w:val="1"/>
          <w:color w:val="auto"/>
        </w:rPr>
        <w:t>provided</w:t>
      </w:r>
      <w:r>
        <w:rPr>
          <w:rFonts w:ascii="Arial" w:cs="Arial" w:eastAsia="Arial" w:hAnsi="Arial"/>
          <w:sz w:val="17"/>
          <w:szCs w:val="17"/>
          <w:color w:val="auto"/>
        </w:rPr>
        <w:t>, that Veracyte may not offer a third party terms materially more favorable (taken as a whole) than those last offered by Veracyte to Genzyme in writing through the Steering Committee deliberations (a “Territory B Reimbursement Exception Final Offer”) without first offering such more favorable terms to Genzyme (the “Genzyme Right of Last Offer”). Upon receipt of a Genzyme Right of Last Offer, Genzyme will have thirty (30) days to accept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such terms in writing, after which time Genzyme will be deemed to have rejected such Genzyme Right of Last Offer.</w:t>
      </w:r>
    </w:p>
    <w:p>
      <w:pPr>
        <w:spacing w:after="0" w:line="224" w:lineRule="exact"/>
        <w:rPr>
          <w:sz w:val="20"/>
          <w:szCs w:val="20"/>
          <w:color w:val="auto"/>
        </w:rPr>
      </w:pPr>
    </w:p>
    <w:p>
      <w:pPr>
        <w:jc w:val="both"/>
        <w:ind w:left="1300" w:right="40" w:hanging="642"/>
        <w:spacing w:after="0" w:line="268" w:lineRule="auto"/>
        <w:tabs>
          <w:tab w:leader="none" w:pos="1280" w:val="left"/>
        </w:tabs>
        <w:rPr>
          <w:sz w:val="20"/>
          <w:szCs w:val="20"/>
          <w:color w:val="auto"/>
        </w:rPr>
      </w:pPr>
      <w:r>
        <w:rPr>
          <w:rFonts w:ascii="Arial" w:cs="Arial" w:eastAsia="Arial" w:hAnsi="Arial"/>
          <w:sz w:val="17"/>
          <w:szCs w:val="17"/>
          <w:color w:val="auto"/>
        </w:rPr>
        <w:t>6.5.3</w:t>
      </w:r>
      <w:r>
        <w:rPr>
          <w:sz w:val="20"/>
          <w:szCs w:val="20"/>
          <w:color w:val="auto"/>
        </w:rPr>
        <w:tab/>
      </w:r>
      <w:r>
        <w:rPr>
          <w:rFonts w:ascii="Arial" w:cs="Arial" w:eastAsia="Arial" w:hAnsi="Arial"/>
          <w:sz w:val="17"/>
          <w:szCs w:val="17"/>
          <w:color w:val="auto"/>
        </w:rPr>
        <w:t>In the event that Genzyme’s Promotion Fees for a particular Country in Territory B are reduced pursuant to this Section, Genzyme’s Promotion Fees for all other Countries in the Territories shall remain calculable and payable as set forth in this Section 6 (including any adjustments to the Promotion Fees for any other Country previously made in accordance with the terms and conditions of this Section 6.5 or as otherwise provided in this Agreement).</w:t>
      </w:r>
    </w:p>
    <w:p>
      <w:pPr>
        <w:sectPr>
          <w:pgSz w:w="11900" w:h="16838" w:orient="portrait"/>
          <w:cols w:equalWidth="0" w:num="1">
            <w:col w:w="11420"/>
          </w:cols>
          <w:pgMar w:left="240" w:top="337" w:right="239" w:bottom="0" w:gutter="0" w:footer="0" w:header="0"/>
        </w:sectPr>
      </w:pPr>
    </w:p>
    <w:bookmarkStart w:id="194" w:name="page195"/>
    <w:bookmarkEnd w:id="194"/>
    <w:p>
      <w:pPr>
        <w:spacing w:after="0"/>
        <w:rPr>
          <w:sz w:val="20"/>
          <w:szCs w:val="20"/>
          <w:color w:val="auto"/>
        </w:rPr>
      </w:pPr>
      <w:r>
        <w:rPr>
          <w:rFonts w:ascii="Arial" w:cs="Arial" w:eastAsia="Arial" w:hAnsi="Arial"/>
          <w:sz w:val="17"/>
          <w:szCs w:val="17"/>
          <w:b w:val="1"/>
          <w:bCs w:val="1"/>
          <w:color w:val="auto"/>
        </w:rPr>
        <w:t>SECTION 7 - CONFIDENTIALITY</w:t>
      </w:r>
    </w:p>
    <w:p>
      <w:pPr>
        <w:spacing w:after="0" w:line="230" w:lineRule="exact"/>
        <w:rPr>
          <w:sz w:val="20"/>
          <w:szCs w:val="20"/>
          <w:color w:val="auto"/>
        </w:rPr>
      </w:pPr>
    </w:p>
    <w:p>
      <w:pPr>
        <w:ind w:left="660" w:hanging="653"/>
        <w:spacing w:after="0" w:line="279" w:lineRule="auto"/>
        <w:tabs>
          <w:tab w:leader="none" w:pos="6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u w:val="single" w:color="auto"/>
          <w:color w:val="auto"/>
        </w:rPr>
        <w:t>Non-Disclosure and Non-Use of Confidential Information</w:t>
      </w:r>
      <w:r>
        <w:rPr>
          <w:rFonts w:ascii="Arial" w:cs="Arial" w:eastAsia="Arial" w:hAnsi="Arial"/>
          <w:sz w:val="16"/>
          <w:szCs w:val="16"/>
          <w:color w:val="auto"/>
        </w:rPr>
        <w:t>. All Confidential Information shall remain the exclusive property of the Disclosing Party</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during the Term of this Agreement and thereafter. The Receiving Party shall disclose such Confidential Information only to those of its (and its Affiliates’) agents, advisors, consultants and employees to whom it is necessary in order to carry out their duties hereunder as limited by the terms and conditions of this Agreement. During the Term of this Agreement and thereafter, all of the Disclosing Party’s Confidential Information shall be maintained in strict confidence by the Receiving Party’s agents and employees, and shall not be used by the Receiving Party for any purpose other than in connection with the Receiving Party’s performance of its duties under this Agreement. The Receiving Party shall, at its expense and at the Receiving Party’s option, either return or destroy (and certify such destruction to the Disclosing Party in a written instrument signed by an officer of the Receiving Party) all Confidential Information of the Disclosing Party within sixty (60) days after the expiration or termination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Receiving Party may retain one (1) copy of the Confidential Information of the Disclosing Party for archival purposes.</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u w:val="single" w:color="auto"/>
          <w:color w:val="auto"/>
        </w:rPr>
        <w:t>Exceptions to Confidentiality Obligations</w:t>
      </w:r>
      <w:r>
        <w:rPr>
          <w:rFonts w:ascii="Arial" w:cs="Arial" w:eastAsia="Arial" w:hAnsi="Arial"/>
          <w:sz w:val="16"/>
          <w:szCs w:val="16"/>
          <w:color w:val="auto"/>
        </w:rPr>
        <w:t>. The limitations on use and disclosure set forth in Section 7.1 hereof shall not apply to information which the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Receiving Party can demonstrate:</w:t>
      </w:r>
    </w:p>
    <w:p>
      <w:pPr>
        <w:spacing w:after="0" w:line="21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7"/>
          <w:szCs w:val="17"/>
          <w:color w:val="auto"/>
        </w:rPr>
        <w:t>7.2.1</w:t>
      </w:r>
      <w:r>
        <w:rPr>
          <w:sz w:val="20"/>
          <w:szCs w:val="20"/>
          <w:color w:val="auto"/>
        </w:rPr>
        <w:tab/>
      </w:r>
      <w:r>
        <w:rPr>
          <w:rFonts w:ascii="Arial" w:cs="Arial" w:eastAsia="Arial" w:hAnsi="Arial"/>
          <w:sz w:val="16"/>
          <w:szCs w:val="16"/>
          <w:color w:val="auto"/>
        </w:rPr>
        <w:t>was in the public domain at the time of disclosure without breach of this Agreement by the Receiving Party;</w:t>
      </w:r>
    </w:p>
    <w:p>
      <w:pPr>
        <w:spacing w:after="0" w:line="224" w:lineRule="exact"/>
        <w:rPr>
          <w:sz w:val="20"/>
          <w:szCs w:val="20"/>
          <w:color w:val="auto"/>
        </w:rPr>
      </w:pPr>
    </w:p>
    <w:p>
      <w:pPr>
        <w:ind w:left="1320" w:right="100" w:hanging="677"/>
        <w:spacing w:after="0" w:line="289" w:lineRule="auto"/>
        <w:tabs>
          <w:tab w:leader="none" w:pos="1300" w:val="left"/>
        </w:tabs>
        <w:rPr>
          <w:sz w:val="20"/>
          <w:szCs w:val="20"/>
          <w:color w:val="auto"/>
        </w:rPr>
      </w:pPr>
      <w:r>
        <w:rPr>
          <w:rFonts w:ascii="Arial" w:cs="Arial" w:eastAsia="Arial" w:hAnsi="Arial"/>
          <w:sz w:val="17"/>
          <w:szCs w:val="17"/>
          <w:color w:val="auto"/>
        </w:rPr>
        <w:t>7.2.2</w:t>
      </w:r>
      <w:r>
        <w:rPr>
          <w:sz w:val="20"/>
          <w:szCs w:val="20"/>
          <w:color w:val="auto"/>
        </w:rPr>
        <w:tab/>
      </w:r>
      <w:r>
        <w:rPr>
          <w:rFonts w:ascii="Arial" w:cs="Arial" w:eastAsia="Arial" w:hAnsi="Arial"/>
          <w:sz w:val="17"/>
          <w:szCs w:val="17"/>
          <w:color w:val="auto"/>
        </w:rPr>
        <w:t>was known to or contained in the records of the Receiving Party from a source other than the Disclosing Party at the time of disclosure and can be so demonstrated by written records of the Receiving Party;</w:t>
      </w:r>
    </w:p>
    <w:p>
      <w:pPr>
        <w:spacing w:after="0" w:line="158" w:lineRule="exact"/>
        <w:rPr>
          <w:sz w:val="20"/>
          <w:szCs w:val="20"/>
          <w:color w:val="auto"/>
        </w:rPr>
      </w:pPr>
    </w:p>
    <w:p>
      <w:pPr>
        <w:ind w:left="1320" w:right="760" w:hanging="677"/>
        <w:spacing w:after="0" w:line="289" w:lineRule="auto"/>
        <w:tabs>
          <w:tab w:leader="none" w:pos="1300" w:val="left"/>
        </w:tabs>
        <w:rPr>
          <w:sz w:val="20"/>
          <w:szCs w:val="20"/>
          <w:color w:val="auto"/>
        </w:rPr>
      </w:pPr>
      <w:r>
        <w:rPr>
          <w:rFonts w:ascii="Arial" w:cs="Arial" w:eastAsia="Arial" w:hAnsi="Arial"/>
          <w:sz w:val="17"/>
          <w:szCs w:val="17"/>
          <w:color w:val="auto"/>
        </w:rPr>
        <w:t>7.2.3</w:t>
      </w:r>
      <w:r>
        <w:rPr>
          <w:sz w:val="20"/>
          <w:szCs w:val="20"/>
          <w:color w:val="auto"/>
        </w:rPr>
        <w:tab/>
      </w:r>
      <w:r>
        <w:rPr>
          <w:rFonts w:ascii="Arial" w:cs="Arial" w:eastAsia="Arial" w:hAnsi="Arial"/>
          <w:sz w:val="17"/>
          <w:szCs w:val="17"/>
          <w:color w:val="auto"/>
        </w:rPr>
        <w:t>was independently developed by the Receiving Party without use of, reference to or reliance upon the Disclosing Party’s Confidential Information and can be so demonstrated by written records of the Receiving Party; or</w:t>
      </w:r>
    </w:p>
    <w:p>
      <w:pPr>
        <w:spacing w:after="0" w:line="158" w:lineRule="exact"/>
        <w:rPr>
          <w:sz w:val="20"/>
          <w:szCs w:val="20"/>
          <w:color w:val="auto"/>
        </w:rPr>
      </w:pPr>
    </w:p>
    <w:p>
      <w:pPr>
        <w:ind w:left="1320" w:right="320" w:hanging="677"/>
        <w:spacing w:after="0" w:line="289" w:lineRule="auto"/>
        <w:tabs>
          <w:tab w:leader="none" w:pos="1300" w:val="left"/>
        </w:tabs>
        <w:rPr>
          <w:sz w:val="20"/>
          <w:szCs w:val="20"/>
          <w:color w:val="auto"/>
        </w:rPr>
      </w:pPr>
      <w:r>
        <w:rPr>
          <w:rFonts w:ascii="Arial" w:cs="Arial" w:eastAsia="Arial" w:hAnsi="Arial"/>
          <w:sz w:val="17"/>
          <w:szCs w:val="17"/>
          <w:color w:val="auto"/>
        </w:rPr>
        <w:t>7.2.4</w:t>
      </w:r>
      <w:r>
        <w:rPr>
          <w:sz w:val="20"/>
          <w:szCs w:val="20"/>
          <w:color w:val="auto"/>
        </w:rPr>
        <w:tab/>
      </w:r>
      <w:r>
        <w:rPr>
          <w:rFonts w:ascii="Arial" w:cs="Arial" w:eastAsia="Arial" w:hAnsi="Arial"/>
          <w:sz w:val="17"/>
          <w:szCs w:val="17"/>
          <w:color w:val="auto"/>
        </w:rPr>
        <w:t>became known or was disclosed to the Receiving Party without restriction on further disclosure from a third party source having the right to make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disclosure.</w:t>
      </w:r>
    </w:p>
    <w:p>
      <w:pPr>
        <w:spacing w:after="0" w:line="224" w:lineRule="exact"/>
        <w:rPr>
          <w:sz w:val="20"/>
          <w:szCs w:val="20"/>
          <w:color w:val="auto"/>
        </w:rPr>
      </w:pPr>
    </w:p>
    <w:p>
      <w:pPr>
        <w:ind w:left="640" w:hanging="640"/>
        <w:spacing w:after="0" w:line="260" w:lineRule="auto"/>
        <w:tabs>
          <w:tab w:leader="none" w:pos="6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u w:val="single" w:color="auto"/>
          <w:color w:val="auto"/>
        </w:rPr>
        <w:t>Disclosure Pursuant to Legal Obligation</w:t>
      </w:r>
      <w:r>
        <w:rPr>
          <w:rFonts w:ascii="Arial" w:cs="Arial" w:eastAsia="Arial" w:hAnsi="Arial"/>
          <w:sz w:val="17"/>
          <w:szCs w:val="17"/>
          <w:color w:val="auto"/>
        </w:rPr>
        <w:t>. Notwithstanding any other provision of this Agreement, disclosure of any portion of the Disclosing Party’s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Confidential Information shall not be prohibited to the extent that it is required to (i) comply with applicable law, order or regulation of a governmental agency or a court of competent jurisdiction, (ii) to comply with any governmental agency for purposes of obtaining Marketing Authorization for the Test, or (iii) as necessary to establish the rights of either party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either case that the Receiving Party shall (A) provide to the Disclosing Party prompt written notice of the existence, terms and circumstances of such required disclosure with at least sufficient detail to enable such Disclosing Party to seek a protective order or otherwise prevent or limit the extent of such disclosure, (B) consult with the Disclosing Party on the advisability of taking legally available steps to resist or narrow such disclosure, (C) take all reasonable and lawful actions to obtain confidential treatment for such disclosure and (D) thereafter disclose only such Confidential Information as is reasonably necessary under the circumstances. Each of the parties agrees that the foregoing exceptions are to be narrowly construed and that its obligations (and those of its representatives) under this Section 7 are released solely with respect to those specific portions of the Disclosing Party’s Confidential Information that fall within the foregoing exceptions and not with respect to related portions.</w:t>
      </w:r>
    </w:p>
    <w:p>
      <w:pPr>
        <w:spacing w:after="0" w:line="188" w:lineRule="exact"/>
        <w:rPr>
          <w:sz w:val="20"/>
          <w:szCs w:val="20"/>
          <w:color w:val="auto"/>
        </w:rPr>
      </w:pPr>
    </w:p>
    <w:p>
      <w:pPr>
        <w:ind w:left="640" w:right="120" w:hanging="640"/>
        <w:spacing w:after="0" w:line="273" w:lineRule="auto"/>
        <w:tabs>
          <w:tab w:leader="none" w:pos="6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u w:val="single" w:color="auto"/>
          <w:color w:val="auto"/>
        </w:rPr>
        <w:t>Disclosure to Prospective Investors</w:t>
      </w:r>
      <w:r>
        <w:rPr>
          <w:rFonts w:ascii="Arial" w:cs="Arial" w:eastAsia="Arial" w:hAnsi="Arial"/>
          <w:sz w:val="17"/>
          <w:szCs w:val="17"/>
          <w:color w:val="auto"/>
        </w:rPr>
        <w:t>. Notwithstanding any other provision of this Agreement, Veracyte may disclose Confidential Information, including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the terms of this Agreement, to current and prospective investors in Veracyte,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any such recipients are bound by confidentiality and non-use provisions no less restrictive than those contained in this Section 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 INFRINGEMENT AND LITIGATION</w:t>
      </w:r>
    </w:p>
    <w:p>
      <w:pPr>
        <w:spacing w:after="0" w:line="230" w:lineRule="exact"/>
        <w:rPr>
          <w:sz w:val="20"/>
          <w:szCs w:val="20"/>
          <w:color w:val="auto"/>
        </w:rPr>
      </w:pPr>
    </w:p>
    <w:p>
      <w:pPr>
        <w:ind w:left="640" w:right="120" w:hanging="640"/>
        <w:spacing w:after="0" w:line="268" w:lineRule="auto"/>
        <w:tabs>
          <w:tab w:leader="none" w:pos="6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u w:val="single" w:color="auto"/>
          <w:color w:val="auto"/>
        </w:rPr>
        <w:t>Infringement</w:t>
      </w:r>
      <w:r>
        <w:rPr>
          <w:rFonts w:ascii="Arial" w:cs="Arial" w:eastAsia="Arial" w:hAnsi="Arial"/>
          <w:sz w:val="17"/>
          <w:szCs w:val="17"/>
          <w:color w:val="auto"/>
        </w:rPr>
        <w:t>. If either party reasonably believes or learns that a third party is infringing or misappropriating Veracyte Intellectual Property in a Country</w:t>
      </w:r>
      <w:r>
        <w:rPr>
          <w:rFonts w:ascii="Arial" w:cs="Arial" w:eastAsia="Arial" w:hAnsi="Arial"/>
          <w:sz w:val="17"/>
          <w:szCs w:val="17"/>
          <w:u w:val="single" w:color="auto"/>
          <w:color w:val="auto"/>
        </w:rPr>
        <w:t xml:space="preserve"> </w:t>
      </w:r>
      <w:r>
        <w:rPr>
          <w:rFonts w:ascii="Arial" w:cs="Arial" w:eastAsia="Arial" w:hAnsi="Arial"/>
          <w:sz w:val="17"/>
          <w:szCs w:val="17"/>
          <w:color w:val="auto"/>
        </w:rPr>
        <w:t>in which the Test is being made, used, sold, offered for sale and/or imported, that party shall give the other party prompt written notice of its belief and documentation supporting its belief. The parties shall use good faith efforts to coordinate and cooperate in any action, negotiation, or settlement of the alleged infringement.</w:t>
      </w:r>
    </w:p>
    <w:p>
      <w:pPr>
        <w:spacing w:after="0" w:line="176" w:lineRule="exact"/>
        <w:rPr>
          <w:sz w:val="20"/>
          <w:szCs w:val="20"/>
          <w:color w:val="auto"/>
        </w:rPr>
      </w:pPr>
    </w:p>
    <w:p>
      <w:pPr>
        <w:ind w:left="620" w:right="40" w:hanging="640"/>
        <w:spacing w:after="0" w:line="283" w:lineRule="auto"/>
        <w:tabs>
          <w:tab w:leader="none" w:pos="6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6"/>
          <w:szCs w:val="16"/>
          <w:u w:val="single" w:color="auto"/>
          <w:color w:val="auto"/>
        </w:rPr>
        <w:t>Litigation</w:t>
      </w:r>
      <w:r>
        <w:rPr>
          <w:rFonts w:ascii="Arial" w:cs="Arial" w:eastAsia="Arial" w:hAnsi="Arial"/>
          <w:sz w:val="16"/>
          <w:szCs w:val="16"/>
          <w:color w:val="auto"/>
        </w:rPr>
        <w:t>. If Genzyme reasonably believes that there is infringement of any Veracyte Owned Intellectual Property by a third party and Genzyme submits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documentary support of such activity to Veracyte, then Veracyte, acting at its own expense and for its own account, shall have the right, but not the obligation, to enforce the Veracyte Owned Intellectual Property against such infringers, including bringing any legal action for infringement and defending against any counter claims in such action. Genzyme shall provide to Veracyte, at Veracyte’s expense, such assistance and cooperation as may reasonably be requested by Veracyte or required in Veracyte’s action against such third party. If Veracyte does not initiate action to terminate any infringement of the Veracyte Owned Intellectual Property within six (6) months after receiving such documentary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60" w:lineRule="auto"/>
        <w:rPr>
          <w:sz w:val="20"/>
          <w:szCs w:val="20"/>
          <w:color w:val="auto"/>
        </w:rPr>
      </w:pPr>
      <w:r>
        <w:rPr>
          <w:rFonts w:ascii="Arial" w:cs="Arial" w:eastAsia="Arial" w:hAnsi="Arial"/>
          <w:sz w:val="17"/>
          <w:szCs w:val="17"/>
          <w:color w:val="auto"/>
        </w:rPr>
        <w:t>support, or earlier notifies Genzyme in writing that it does not intend to bring such action, then Genzyme, upon receipt of consent from Veracyte, which consent shall not unreasonably withheld, conditioned or delayed, may bring such suit regarding infringement or misappropriation of such Veracyte Owned Intellectual Property in a Country in the Territory, acting in its own name or in the name of Veracyte, but for Genzyme’s own account and at Genzyme’s own expense, any recovery to be for its own account. Veracyte hereby agrees to cooperate and be joined as a nominal party plaintiff to such suit and shall render, at Genzyme’s expense, all reasonable assistance and cooperation as may be reasonably necessary in such a suit. Notwithstanding the foregoing, Genzyme may not enter into any settlement, consent judgment or other voluntary final disposition of such action which adversely affects any Veracyte Intellectual Property without the prior written consent of Veracyte, which will not be unreasonably withheld, conditioned or delayed. Each party instituting any such infringement actions shall, subject the foregoing, have the right to make all decisions regarding the prosecution of any such action and shall keep the other party reasonably informed as to the status of such action. It is understood and agreed that the provisions of this Section 8.2 shall only apply to Veracyte Intellectual Property that Veracyte or its Affiliates have the right to enforce (by virtue of ownership, license terms, or otherwise).</w:t>
      </w:r>
    </w:p>
    <w:p>
      <w:pPr>
        <w:sectPr>
          <w:pgSz w:w="11900" w:h="16838" w:orient="portrait"/>
          <w:cols w:equalWidth="0" w:num="1">
            <w:col w:w="11420"/>
          </w:cols>
          <w:pgMar w:left="240" w:top="121" w:right="239" w:bottom="0" w:gutter="0" w:footer="0" w:header="0"/>
        </w:sectPr>
      </w:pPr>
    </w:p>
    <w:bookmarkStart w:id="195" w:name="page196"/>
    <w:bookmarkEnd w:id="195"/>
    <w:p>
      <w:pPr>
        <w:ind w:left="620" w:right="60" w:hanging="628"/>
        <w:spacing w:after="0" w:line="290" w:lineRule="auto"/>
        <w:tabs>
          <w:tab w:leader="none" w:pos="60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6"/>
          <w:szCs w:val="16"/>
          <w:u w:val="single" w:color="auto"/>
          <w:color w:val="auto"/>
        </w:rPr>
        <w:t>Licenses</w:t>
      </w:r>
      <w:r>
        <w:rPr>
          <w:rFonts w:ascii="Arial" w:cs="Arial" w:eastAsia="Arial" w:hAnsi="Arial"/>
          <w:sz w:val="16"/>
          <w:szCs w:val="16"/>
          <w:color w:val="auto"/>
        </w:rPr>
        <w:t>. If a third party license is required in order that the activities required pursuant to this Agreement do not infringe a third party’s Intellectual</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Property Rights, then Veracyte, at Veracyte’s expense and acting in its own name, shall negotiate with such third party and use Commercially Reasonable Efforts to obtain such a license. Genzyme shall give to Veracyte, at Veracyte’s sole expense, such assistance as may reasonably be requested by Veracyte in connection with Veracyte’s negotiation with such third party, subject to the availability of such resources.</w:t>
      </w:r>
    </w:p>
    <w:p>
      <w:pPr>
        <w:spacing w:after="0" w:line="159" w:lineRule="exact"/>
        <w:rPr>
          <w:sz w:val="20"/>
          <w:szCs w:val="20"/>
          <w:color w:val="auto"/>
        </w:rPr>
      </w:pPr>
    </w:p>
    <w:p>
      <w:pPr>
        <w:ind w:left="620" w:right="120" w:hanging="628"/>
        <w:spacing w:after="0" w:line="289" w:lineRule="auto"/>
        <w:tabs>
          <w:tab w:leader="none" w:pos="60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u w:val="single" w:color="auto"/>
          <w:color w:val="auto"/>
        </w:rPr>
        <w:t>Notification</w:t>
      </w:r>
      <w:r>
        <w:rPr>
          <w:rFonts w:ascii="Arial" w:cs="Arial" w:eastAsia="Arial" w:hAnsi="Arial"/>
          <w:sz w:val="17"/>
          <w:szCs w:val="17"/>
          <w:color w:val="auto"/>
        </w:rPr>
        <w:t>. In the event that either party receives notification of any alleged or actual infringement from a third party, that party shall provide the other</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party with a copy of such notification within five (5) business days after its receipt of the notification.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 REPRESENTATIONS AND WARRANTIES</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color w:val="auto"/>
        </w:rPr>
        <w:t>Veracyte represents and warrants to Genzyme that as of the Effective Date:</w:t>
      </w:r>
    </w:p>
    <w:p>
      <w:pPr>
        <w:spacing w:after="0" w:line="224" w:lineRule="exact"/>
        <w:rPr>
          <w:sz w:val="20"/>
          <w:szCs w:val="20"/>
          <w:color w:val="auto"/>
        </w:rPr>
      </w:pPr>
    </w:p>
    <w:p>
      <w:pPr>
        <w:ind w:left="1260" w:hanging="628"/>
        <w:spacing w:after="0" w:line="268" w:lineRule="auto"/>
        <w:tabs>
          <w:tab w:leader="none" w:pos="1240" w:val="left"/>
        </w:tabs>
        <w:rPr>
          <w:sz w:val="20"/>
          <w:szCs w:val="20"/>
          <w:color w:val="auto"/>
        </w:rPr>
      </w:pPr>
      <w:r>
        <w:rPr>
          <w:rFonts w:ascii="Arial" w:cs="Arial" w:eastAsia="Arial" w:hAnsi="Arial"/>
          <w:sz w:val="17"/>
          <w:szCs w:val="17"/>
          <w:color w:val="auto"/>
        </w:rPr>
        <w:t>9.1.1</w:t>
      </w:r>
      <w:r>
        <w:rPr>
          <w:sz w:val="20"/>
          <w:szCs w:val="20"/>
          <w:color w:val="auto"/>
        </w:rPr>
        <w:tab/>
      </w:r>
      <w:r>
        <w:rPr>
          <w:rFonts w:ascii="Arial" w:cs="Arial" w:eastAsia="Arial" w:hAnsi="Arial"/>
          <w:sz w:val="17"/>
          <w:szCs w:val="17"/>
          <w:color w:val="auto"/>
        </w:rPr>
        <w:t>Veracyte and its Affiliates exclusively owns or controls the Veracyte Owned Intellectual Property and has the right to license or sublicense to Genzyme and its Affiliates all Veracyte Intellectual Property licensed hereunder, that such rights to such Veracyte Intellectual Property have been validly granted to Genzyme and its Affiliates, and that the granting of such rights to Genzyme and its Affiliates does not require the consent of a third party in accordance with the terms of this Agreement;</w:t>
      </w:r>
    </w:p>
    <w:p>
      <w:pPr>
        <w:spacing w:after="0" w:line="176" w:lineRule="exact"/>
        <w:rPr>
          <w:sz w:val="20"/>
          <w:szCs w:val="20"/>
          <w:color w:val="auto"/>
        </w:rPr>
      </w:pPr>
    </w:p>
    <w:p>
      <w:pPr>
        <w:ind w:left="1260" w:right="300" w:hanging="628"/>
        <w:spacing w:after="0" w:line="289" w:lineRule="auto"/>
        <w:tabs>
          <w:tab w:leader="none" w:pos="1240" w:val="left"/>
        </w:tabs>
        <w:rPr>
          <w:sz w:val="20"/>
          <w:szCs w:val="20"/>
          <w:color w:val="auto"/>
        </w:rPr>
      </w:pPr>
      <w:r>
        <w:rPr>
          <w:rFonts w:ascii="Arial" w:cs="Arial" w:eastAsia="Arial" w:hAnsi="Arial"/>
          <w:sz w:val="17"/>
          <w:szCs w:val="17"/>
          <w:color w:val="auto"/>
        </w:rPr>
        <w:t>9.1.2</w:t>
      </w:r>
      <w:r>
        <w:rPr>
          <w:sz w:val="20"/>
          <w:szCs w:val="20"/>
          <w:color w:val="auto"/>
        </w:rPr>
        <w:tab/>
      </w:r>
      <w:r>
        <w:rPr>
          <w:rFonts w:ascii="Arial" w:cs="Arial" w:eastAsia="Arial" w:hAnsi="Arial"/>
          <w:sz w:val="17"/>
          <w:szCs w:val="17"/>
          <w:color w:val="auto"/>
        </w:rPr>
        <w:t>(a) there are no claims, judgments or settlements against or owed by Veracyte or its Affiliates, or to the best of its knowledge, any pending or threatened claims or litigation relating to the Veracyte Owned Intellectual Property, the Test or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60"/>
        <w:spacing w:after="0" w:line="290" w:lineRule="auto"/>
        <w:rPr>
          <w:sz w:val="20"/>
          <w:szCs w:val="20"/>
          <w:color w:val="auto"/>
        </w:rPr>
      </w:pPr>
      <w:r>
        <w:rPr>
          <w:rFonts w:ascii="Arial" w:cs="Arial" w:eastAsia="Arial" w:hAnsi="Arial"/>
          <w:sz w:val="16"/>
          <w:szCs w:val="16"/>
          <w:color w:val="auto"/>
        </w:rPr>
        <w:t>Ad/Prom Material used by Veracyte prior to the Effective Date; (b) to the best of its knowledge, there are no claims, judgments or settlements against or owed by Veracyte or its Affiliates relating to any other Veracyte Intellectual Property and (c) to the best of its knowledge, there are no pending or threatened claims or litigation relating to other Veracyte Intellectual Property that to the knowledge of Veracyte would have a material adverse effect on the Test, Veracyte, or the ability of the parties to perform under of this Agreement;</w:t>
      </w:r>
    </w:p>
    <w:p>
      <w:pPr>
        <w:spacing w:after="0" w:line="159" w:lineRule="exact"/>
        <w:rPr>
          <w:sz w:val="20"/>
          <w:szCs w:val="20"/>
          <w:color w:val="auto"/>
        </w:rPr>
      </w:pPr>
    </w:p>
    <w:p>
      <w:pPr>
        <w:ind w:left="1260" w:right="40" w:hanging="628"/>
        <w:spacing w:after="0" w:line="289" w:lineRule="auto"/>
        <w:tabs>
          <w:tab w:leader="none" w:pos="1240" w:val="left"/>
        </w:tabs>
        <w:rPr>
          <w:sz w:val="20"/>
          <w:szCs w:val="20"/>
          <w:color w:val="auto"/>
        </w:rPr>
      </w:pPr>
      <w:r>
        <w:rPr>
          <w:rFonts w:ascii="Arial" w:cs="Arial" w:eastAsia="Arial" w:hAnsi="Arial"/>
          <w:sz w:val="17"/>
          <w:szCs w:val="17"/>
          <w:color w:val="auto"/>
        </w:rPr>
        <w:t>9.1.3</w:t>
      </w:r>
      <w:r>
        <w:rPr>
          <w:sz w:val="20"/>
          <w:szCs w:val="20"/>
          <w:color w:val="auto"/>
        </w:rPr>
        <w:tab/>
      </w:r>
      <w:r>
        <w:rPr>
          <w:rFonts w:ascii="Arial" w:cs="Arial" w:eastAsia="Arial" w:hAnsi="Arial"/>
          <w:sz w:val="17"/>
          <w:szCs w:val="17"/>
          <w:color w:val="auto"/>
        </w:rPr>
        <w:t>to the best of Veracyte’s knowledge, there are no third party patent, patent application or other third party Intellectual Property Rights that would be infringed by making, using, or selling the Test;</w:t>
      </w:r>
    </w:p>
    <w:p>
      <w:pPr>
        <w:spacing w:after="0" w:line="158" w:lineRule="exact"/>
        <w:rPr>
          <w:sz w:val="20"/>
          <w:szCs w:val="20"/>
          <w:color w:val="auto"/>
        </w:rPr>
      </w:pPr>
    </w:p>
    <w:p>
      <w:pPr>
        <w:ind w:left="1260" w:hanging="628"/>
        <w:spacing w:after="0" w:line="298" w:lineRule="auto"/>
        <w:tabs>
          <w:tab w:leader="none" w:pos="1240" w:val="left"/>
        </w:tabs>
        <w:rPr>
          <w:sz w:val="20"/>
          <w:szCs w:val="20"/>
          <w:color w:val="auto"/>
        </w:rPr>
      </w:pPr>
      <w:r>
        <w:rPr>
          <w:rFonts w:ascii="Arial" w:cs="Arial" w:eastAsia="Arial" w:hAnsi="Arial"/>
          <w:sz w:val="17"/>
          <w:szCs w:val="17"/>
          <w:color w:val="auto"/>
        </w:rPr>
        <w:t>9.1.4</w:t>
      </w:r>
      <w:r>
        <w:rPr>
          <w:sz w:val="20"/>
          <w:szCs w:val="20"/>
          <w:color w:val="auto"/>
        </w:rPr>
        <w:tab/>
      </w:r>
      <w:r>
        <w:rPr>
          <w:rFonts w:ascii="Arial" w:cs="Arial" w:eastAsia="Arial" w:hAnsi="Arial"/>
          <w:sz w:val="16"/>
          <w:szCs w:val="16"/>
          <w:color w:val="auto"/>
        </w:rPr>
        <w:t>to the best of Veracyte’s knowledge, (a) there is no infringement or misappropriation by a third party of the Veracyte Owned Intellectual Property and/or the Test and (b) there is no misappropriation by a third party of other Veracyte Intellectual Property that to the knowledge of Veracyte would have a material adverse effect on the Test, Veracyte, or the ability of the parties to perform under of this Agreement;</w:t>
      </w:r>
    </w:p>
    <w:p>
      <w:pPr>
        <w:spacing w:after="0" w:line="154" w:lineRule="exact"/>
        <w:rPr>
          <w:sz w:val="20"/>
          <w:szCs w:val="20"/>
          <w:color w:val="auto"/>
        </w:rPr>
      </w:pPr>
    </w:p>
    <w:p>
      <w:pPr>
        <w:jc w:val="both"/>
        <w:ind w:left="1260" w:right="80" w:hanging="628"/>
        <w:spacing w:after="0" w:line="273" w:lineRule="auto"/>
        <w:tabs>
          <w:tab w:leader="none" w:pos="1240" w:val="left"/>
        </w:tabs>
        <w:rPr>
          <w:sz w:val="20"/>
          <w:szCs w:val="20"/>
          <w:color w:val="auto"/>
        </w:rPr>
      </w:pPr>
      <w:r>
        <w:rPr>
          <w:rFonts w:ascii="Arial" w:cs="Arial" w:eastAsia="Arial" w:hAnsi="Arial"/>
          <w:sz w:val="17"/>
          <w:szCs w:val="17"/>
          <w:color w:val="auto"/>
        </w:rPr>
        <w:t>9.1.5</w:t>
      </w:r>
      <w:r>
        <w:rPr>
          <w:sz w:val="20"/>
          <w:szCs w:val="20"/>
          <w:color w:val="auto"/>
        </w:rPr>
        <w:tab/>
      </w:r>
      <w:r>
        <w:rPr>
          <w:rFonts w:ascii="Arial" w:cs="Arial" w:eastAsia="Arial" w:hAnsi="Arial"/>
          <w:sz w:val="17"/>
          <w:szCs w:val="17"/>
          <w:color w:val="auto"/>
        </w:rPr>
        <w:t>Veracyte has the full right, power and authority and legal capacity to enter into this Agreement and to grant the rights and licenses granted under Section 2 hereof and the execution, delivery and performance of this Agreement by Veracyte does not conflict with, or constitute a breach of or under, any order, judgment, agreement or instrument to which Veracyte is a party;</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9.1.6</w:t>
      </w:r>
      <w:r>
        <w:rPr>
          <w:sz w:val="20"/>
          <w:szCs w:val="20"/>
          <w:color w:val="auto"/>
        </w:rPr>
        <w:tab/>
      </w:r>
      <w:r>
        <w:rPr>
          <w:rFonts w:ascii="Arial" w:cs="Arial" w:eastAsia="Arial" w:hAnsi="Arial"/>
          <w:sz w:val="16"/>
          <w:szCs w:val="16"/>
          <w:color w:val="auto"/>
        </w:rPr>
        <w:t>Veracyte is a duly organized and validly existing corporation under the laws of its jurisdiction of incorporation;</w:t>
      </w:r>
    </w:p>
    <w:p>
      <w:pPr>
        <w:spacing w:after="0" w:line="224" w:lineRule="exact"/>
        <w:rPr>
          <w:sz w:val="20"/>
          <w:szCs w:val="20"/>
          <w:color w:val="auto"/>
        </w:rPr>
      </w:pPr>
    </w:p>
    <w:p>
      <w:pPr>
        <w:ind w:left="1260" w:right="80" w:hanging="628"/>
        <w:spacing w:after="0" w:line="265" w:lineRule="auto"/>
        <w:tabs>
          <w:tab w:leader="none" w:pos="1240" w:val="left"/>
        </w:tabs>
        <w:rPr>
          <w:sz w:val="20"/>
          <w:szCs w:val="20"/>
          <w:color w:val="auto"/>
        </w:rPr>
      </w:pPr>
      <w:r>
        <w:rPr>
          <w:rFonts w:ascii="Arial" w:cs="Arial" w:eastAsia="Arial" w:hAnsi="Arial"/>
          <w:sz w:val="17"/>
          <w:szCs w:val="17"/>
          <w:color w:val="auto"/>
        </w:rPr>
        <w:t>9.1.7</w:t>
      </w:r>
      <w:r>
        <w:rPr>
          <w:sz w:val="20"/>
          <w:szCs w:val="20"/>
          <w:color w:val="auto"/>
        </w:rPr>
        <w:tab/>
      </w:r>
      <w:r>
        <w:rPr>
          <w:rFonts w:ascii="Arial" w:cs="Arial" w:eastAsia="Arial" w:hAnsi="Arial"/>
          <w:sz w:val="17"/>
          <w:szCs w:val="17"/>
          <w:color w:val="auto"/>
        </w:rPr>
        <w:t>Veracyte (and any third party laboratories and other subcontractors used by Veracyte) has all necessary licenses, permits and certifications under all applicable laws, regulations, codes, and standards determined by any governmental authority or Regulatory Authority (including without limitation CLIA and similar state laws, as well as all generally applicable industry standards whether the same are regional, national or international), to use, make and commercialize Afirma in Territory A and any other Country in which it is conducting business as of the Effective Date;</w:t>
      </w:r>
    </w:p>
    <w:p>
      <w:pPr>
        <w:spacing w:after="0" w:line="179" w:lineRule="exact"/>
        <w:rPr>
          <w:sz w:val="20"/>
          <w:szCs w:val="20"/>
          <w:color w:val="auto"/>
        </w:rPr>
      </w:pPr>
    </w:p>
    <w:p>
      <w:pPr>
        <w:ind w:left="1260" w:right="180" w:hanging="628"/>
        <w:spacing w:after="0" w:line="289" w:lineRule="auto"/>
        <w:tabs>
          <w:tab w:leader="none" w:pos="1240" w:val="left"/>
        </w:tabs>
        <w:rPr>
          <w:sz w:val="20"/>
          <w:szCs w:val="20"/>
          <w:color w:val="auto"/>
        </w:rPr>
      </w:pPr>
      <w:r>
        <w:rPr>
          <w:rFonts w:ascii="Arial" w:cs="Arial" w:eastAsia="Arial" w:hAnsi="Arial"/>
          <w:sz w:val="17"/>
          <w:szCs w:val="17"/>
          <w:color w:val="auto"/>
        </w:rPr>
        <w:t>9.1.8</w:t>
      </w:r>
      <w:r>
        <w:rPr>
          <w:sz w:val="20"/>
          <w:szCs w:val="20"/>
          <w:color w:val="auto"/>
        </w:rPr>
        <w:tab/>
      </w:r>
      <w:r>
        <w:rPr>
          <w:rFonts w:ascii="Arial" w:cs="Arial" w:eastAsia="Arial" w:hAnsi="Arial"/>
          <w:sz w:val="17"/>
          <w:szCs w:val="17"/>
          <w:color w:val="auto"/>
        </w:rPr>
        <w:t>neither Veracyte nor any of its Affiliates has granted any right or license to any third party relating to the Veracyte Owned Intellectual Property and/or the Test that would conflict with the rights granted to Genzyme and its Affiliates under this Agreement; and</w:t>
      </w:r>
    </w:p>
    <w:p>
      <w:pPr>
        <w:spacing w:after="0" w:line="158" w:lineRule="exact"/>
        <w:rPr>
          <w:sz w:val="20"/>
          <w:szCs w:val="20"/>
          <w:color w:val="auto"/>
        </w:rPr>
      </w:pPr>
    </w:p>
    <w:p>
      <w:pPr>
        <w:ind w:left="1260" w:right="160" w:hanging="628"/>
        <w:spacing w:after="0" w:line="289" w:lineRule="auto"/>
        <w:tabs>
          <w:tab w:leader="none" w:pos="1240" w:val="left"/>
        </w:tabs>
        <w:rPr>
          <w:sz w:val="20"/>
          <w:szCs w:val="20"/>
          <w:color w:val="auto"/>
        </w:rPr>
      </w:pPr>
      <w:r>
        <w:rPr>
          <w:rFonts w:ascii="Arial" w:cs="Arial" w:eastAsia="Arial" w:hAnsi="Arial"/>
          <w:sz w:val="17"/>
          <w:szCs w:val="17"/>
          <w:color w:val="auto"/>
        </w:rPr>
        <w:t>9.1.9</w:t>
      </w:r>
      <w:r>
        <w:rPr>
          <w:sz w:val="20"/>
          <w:szCs w:val="20"/>
          <w:color w:val="auto"/>
        </w:rPr>
        <w:tab/>
      </w:r>
      <w:r>
        <w:rPr>
          <w:rFonts w:ascii="Arial" w:cs="Arial" w:eastAsia="Arial" w:hAnsi="Arial"/>
          <w:sz w:val="17"/>
          <w:szCs w:val="17"/>
          <w:color w:val="auto"/>
        </w:rPr>
        <w:t>Exhibit A hereto includes all patents or patent applications of Veracyte that are included in the Veracyte Owned Intellectual Property that are in existence or filed as of the Effective Date (other than foreign counterparts).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right="280" w:hanging="653"/>
        <w:spacing w:after="0" w:line="273" w:lineRule="auto"/>
        <w:tabs>
          <w:tab w:leader="none" w:pos="64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u w:val="single" w:color="auto"/>
          <w:color w:val="auto"/>
        </w:rPr>
        <w:t>No Conflicting Obligations</w:t>
      </w:r>
      <w:r>
        <w:rPr>
          <w:rFonts w:ascii="Arial" w:cs="Arial" w:eastAsia="Arial" w:hAnsi="Arial"/>
          <w:sz w:val="17"/>
          <w:szCs w:val="17"/>
          <w:color w:val="auto"/>
        </w:rPr>
        <w:t>. Each party represents and warrants that the execution of this Agreement and the performance of its obligations hereunder</w:t>
      </w:r>
      <w:r>
        <w:rPr>
          <w:rFonts w:ascii="Arial" w:cs="Arial" w:eastAsia="Arial" w:hAnsi="Arial"/>
          <w:sz w:val="17"/>
          <w:szCs w:val="17"/>
          <w:u w:val="single" w:color="auto"/>
          <w:color w:val="auto"/>
        </w:rPr>
        <w:t xml:space="preserve"> </w:t>
      </w:r>
      <w:r>
        <w:rPr>
          <w:rFonts w:ascii="Arial" w:cs="Arial" w:eastAsia="Arial" w:hAnsi="Arial"/>
          <w:sz w:val="17"/>
          <w:szCs w:val="17"/>
          <w:color w:val="auto"/>
        </w:rPr>
        <w:t>will not conflict with, result in the breach of, or constitute a default under, any agreement to which it, its officers, directors, agents or employees are parties, or by which it, its officers, directors, agents or employees are or may be bound.</w:t>
      </w:r>
    </w:p>
    <w:p>
      <w:pPr>
        <w:spacing w:after="0" w:line="172" w:lineRule="exact"/>
        <w:rPr>
          <w:sz w:val="20"/>
          <w:szCs w:val="20"/>
          <w:color w:val="auto"/>
        </w:rPr>
      </w:pPr>
    </w:p>
    <w:p>
      <w:pPr>
        <w:jc w:val="both"/>
        <w:ind w:left="660" w:right="280" w:hanging="653"/>
        <w:spacing w:after="0" w:line="273" w:lineRule="auto"/>
        <w:tabs>
          <w:tab w:leader="none" w:pos="6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u w:val="single" w:color="auto"/>
          <w:color w:val="auto"/>
        </w:rPr>
        <w:t>Compliance with Applicable Laws</w:t>
      </w:r>
      <w:r>
        <w:rPr>
          <w:rFonts w:ascii="Arial" w:cs="Arial" w:eastAsia="Arial" w:hAnsi="Arial"/>
          <w:sz w:val="17"/>
          <w:szCs w:val="17"/>
          <w:color w:val="auto"/>
        </w:rPr>
        <w:t>. Each party represents and warrants that in the performance of its obligations under this Agreement it shall comply</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all applicable laws, regulations, codes, and standards determined by any governmental authority or Regulatory Authority, as well as all generally applicable industry standards whether the same are regional, national or international.</w:t>
      </w:r>
    </w:p>
    <w:p>
      <w:pPr>
        <w:spacing w:after="0" w:line="172" w:lineRule="exact"/>
        <w:rPr>
          <w:sz w:val="20"/>
          <w:szCs w:val="20"/>
          <w:color w:val="auto"/>
        </w:rPr>
      </w:pPr>
    </w:p>
    <w:p>
      <w:pPr>
        <w:jc w:val="both"/>
        <w:ind w:left="660" w:right="20" w:hanging="653"/>
        <w:spacing w:after="0" w:line="290" w:lineRule="auto"/>
        <w:tabs>
          <w:tab w:leader="none" w:pos="64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u w:val="single" w:color="auto"/>
          <w:color w:val="auto"/>
        </w:rPr>
        <w:t>Ad/Prom Materials and Training Materials</w:t>
      </w:r>
      <w:r>
        <w:rPr>
          <w:rFonts w:ascii="Arial" w:cs="Arial" w:eastAsia="Arial" w:hAnsi="Arial"/>
          <w:sz w:val="16"/>
          <w:szCs w:val="16"/>
          <w:color w:val="auto"/>
        </w:rPr>
        <w:t>. Veracyte hereby represents and warrants to Genzyme that all Ad/Prom Materials and training materials used</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Veracyte as of the Effective Date in connection with the Test comply, and all Ad/Prom Materials and training materials to be created and developed by Veracyte pursuant to Section 3.6 hereof will comply, with all applicable laws, regulations, codes and standards determined by any governmental authority or Regulatory Authority, as well as all generally applicable industry standards whether the same are regional, national or international.</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5"/>
          <w:szCs w:val="15"/>
          <w:u w:val="single" w:color="auto"/>
          <w:color w:val="auto"/>
        </w:rPr>
        <w:t>FCPA</w:t>
      </w:r>
      <w:r>
        <w:rPr>
          <w:rFonts w:ascii="Arial" w:cs="Arial" w:eastAsia="Arial" w:hAnsi="Arial"/>
          <w:sz w:val="15"/>
          <w:szCs w:val="15"/>
          <w:color w:val="auto"/>
        </w:rPr>
        <w:t>.</w:t>
      </w:r>
    </w:p>
    <w:p>
      <w:pPr>
        <w:spacing w:after="0" w:line="22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7"/>
          <w:szCs w:val="17"/>
          <w:color w:val="auto"/>
        </w:rPr>
        <w:t>9.5.1</w:t>
      </w:r>
      <w:r>
        <w:rPr>
          <w:sz w:val="20"/>
          <w:szCs w:val="20"/>
          <w:color w:val="auto"/>
        </w:rPr>
        <w:tab/>
      </w:r>
      <w:r>
        <w:rPr>
          <w:rFonts w:ascii="Arial" w:cs="Arial" w:eastAsia="Arial" w:hAnsi="Arial"/>
          <w:sz w:val="15"/>
          <w:szCs w:val="15"/>
          <w:color w:val="auto"/>
        </w:rPr>
        <w:t>Each party represents and warrants that it:</w:t>
      </w:r>
    </w:p>
    <w:p>
      <w:pPr>
        <w:spacing w:after="0" w:line="224" w:lineRule="exact"/>
        <w:rPr>
          <w:sz w:val="20"/>
          <w:szCs w:val="20"/>
          <w:color w:val="auto"/>
        </w:rPr>
      </w:pPr>
    </w:p>
    <w:p>
      <w:pPr>
        <w:ind w:left="1960" w:hanging="646"/>
        <w:spacing w:after="0"/>
        <w:tabs>
          <w:tab w:leader="none" w:pos="19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is aware of the terms of the U.S. Foreign Corrupt Practices Act (“FCPA”); and</w:t>
      </w:r>
    </w:p>
    <w:p>
      <w:pPr>
        <w:spacing w:after="0" w:line="224" w:lineRule="exact"/>
        <w:rPr>
          <w:rFonts w:ascii="Arial" w:cs="Arial" w:eastAsia="Arial" w:hAnsi="Arial"/>
          <w:sz w:val="17"/>
          <w:szCs w:val="17"/>
          <w:color w:val="auto"/>
        </w:rPr>
      </w:pPr>
    </w:p>
    <w:p>
      <w:pPr>
        <w:ind w:left="1980" w:hanging="668"/>
        <w:spacing w:after="0"/>
        <w:tabs>
          <w:tab w:leader="none" w:pos="19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is not an officer or agent of a governmental authority or regulatory authority within the Territory.</w:t>
      </w:r>
    </w:p>
    <w:p>
      <w:pPr>
        <w:sectPr>
          <w:pgSz w:w="11900" w:h="16838" w:orient="portrait"/>
          <w:cols w:equalWidth="0" w:num="1">
            <w:col w:w="11420"/>
          </w:cols>
          <w:pgMar w:left="240" w:top="127" w:right="239" w:bottom="0" w:gutter="0" w:footer="0" w:header="0"/>
        </w:sectPr>
      </w:pPr>
    </w:p>
    <w:bookmarkStart w:id="196" w:name="page197"/>
    <w:bookmarkEnd w:id="196"/>
    <w:p>
      <w:pPr>
        <w:spacing w:after="0" w:line="44" w:lineRule="exact"/>
        <w:rPr>
          <w:sz w:val="20"/>
          <w:szCs w:val="20"/>
          <w:color w:val="auto"/>
        </w:rPr>
      </w:pPr>
    </w:p>
    <w:p>
      <w:pPr>
        <w:jc w:val="both"/>
        <w:ind w:left="660" w:right="160"/>
        <w:spacing w:after="0" w:line="273" w:lineRule="auto"/>
        <w:rPr>
          <w:sz w:val="20"/>
          <w:szCs w:val="20"/>
          <w:color w:val="auto"/>
        </w:rPr>
      </w:pPr>
      <w:r>
        <w:rPr>
          <w:rFonts w:ascii="Arial" w:cs="Arial" w:eastAsia="Arial" w:hAnsi="Arial"/>
          <w:sz w:val="17"/>
          <w:szCs w:val="17"/>
          <w:color w:val="auto"/>
        </w:rPr>
        <w:t>9.5.2 In performing its obligations under this Agreement, each party shall refrain from any violation of the FCPA. Without limiting the generality of the foregoing, neither party shall pay money or provide any other thing of value to any foreign officials in violation of the FCPA or any other statute or regulation in a Territory.</w:t>
      </w:r>
    </w:p>
    <w:p>
      <w:pPr>
        <w:spacing w:after="0" w:line="172" w:lineRule="exact"/>
        <w:rPr>
          <w:sz w:val="20"/>
          <w:szCs w:val="20"/>
          <w:color w:val="auto"/>
        </w:rPr>
      </w:pPr>
    </w:p>
    <w:p>
      <w:pPr>
        <w:ind w:left="660" w:right="20" w:hanging="653"/>
        <w:spacing w:after="0" w:line="268" w:lineRule="auto"/>
        <w:tabs>
          <w:tab w:leader="none" w:pos="64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u w:val="single" w:color="auto"/>
          <w:color w:val="auto"/>
        </w:rPr>
        <w:t>Performance Standards</w:t>
      </w:r>
      <w:r>
        <w:rPr>
          <w:rFonts w:ascii="Arial" w:cs="Arial" w:eastAsia="Arial" w:hAnsi="Arial"/>
          <w:sz w:val="17"/>
          <w:szCs w:val="17"/>
          <w:color w:val="auto"/>
        </w:rPr>
        <w:t>. Each party represents and warrants that all activities and obligations performed under this Agreement will be performed by it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its Affiliates (i) in a professional and workmanlike manner, (ii) by appropriately qualified individuals who are licensed in accordance with applicable laws and regulations in the Country in which they are performed, (iii) at an appropriately qualified and licensed laboratory facility, and (iv) in accordance with the standard of care and best industry practices in the Country in which they are performed.</w:t>
      </w:r>
    </w:p>
    <w:p>
      <w:pPr>
        <w:spacing w:after="0" w:line="176" w:lineRule="exact"/>
        <w:rPr>
          <w:sz w:val="20"/>
          <w:szCs w:val="20"/>
          <w:color w:val="auto"/>
        </w:rPr>
      </w:pPr>
    </w:p>
    <w:p>
      <w:pPr>
        <w:ind w:left="1300" w:right="180" w:hanging="653"/>
        <w:spacing w:after="0" w:line="289" w:lineRule="auto"/>
        <w:tabs>
          <w:tab w:leader="none" w:pos="1280" w:val="left"/>
        </w:tabs>
        <w:rPr>
          <w:sz w:val="20"/>
          <w:szCs w:val="20"/>
          <w:color w:val="auto"/>
        </w:rPr>
      </w:pPr>
      <w:r>
        <w:rPr>
          <w:rFonts w:ascii="Arial" w:cs="Arial" w:eastAsia="Arial" w:hAnsi="Arial"/>
          <w:sz w:val="17"/>
          <w:szCs w:val="17"/>
          <w:color w:val="auto"/>
        </w:rPr>
        <w:t>9.6.1</w:t>
      </w:r>
      <w:r>
        <w:rPr>
          <w:sz w:val="20"/>
          <w:szCs w:val="20"/>
          <w:color w:val="auto"/>
        </w:rPr>
        <w:tab/>
      </w:r>
      <w:r>
        <w:rPr>
          <w:rFonts w:ascii="Arial" w:cs="Arial" w:eastAsia="Arial" w:hAnsi="Arial"/>
          <w:sz w:val="17"/>
          <w:szCs w:val="17"/>
          <w:color w:val="auto"/>
        </w:rPr>
        <w:t>Veracyte represents and warrants that neither Veracyte nor its Affiliates (to the extent its Affiliates are performing services related to the Test), nor any of their respective employees or agents performing services related to Test in connection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line="262" w:lineRule="auto"/>
        <w:rPr>
          <w:sz w:val="20"/>
          <w:szCs w:val="20"/>
          <w:color w:val="auto"/>
        </w:rPr>
      </w:pPr>
      <w:r>
        <w:rPr>
          <w:rFonts w:ascii="Arial" w:cs="Arial" w:eastAsia="Arial" w:hAnsi="Arial"/>
          <w:sz w:val="17"/>
          <w:szCs w:val="17"/>
          <w:color w:val="auto"/>
        </w:rPr>
        <w:t>with this Agreement, has been: (i) convicted of an offense related to any federal or state health care program; (ii) debarred under the Federal Food, Drug and Cosmetic Act; or (iii) excluded or is otherwise ineligible for federal or state health care program participation. No convicted, debarred, excluded or ineligible person will in the future be employed by Veracyte or its Affiliates, to their knowledge, in connection with any of its obligations under this Agreement. If Veracyte becomes aware that Veracyte or its Affiliates performing services related to the Test or any person employed or contracted by Veracyte or its Affiliates in connection with this Agreement has become or is in the process of being convicted, debarred, excluded or otherwise rendered ineligible for federal or state health care program participation, Veracyte shall so notify Genzyme in writing.</w:t>
      </w:r>
    </w:p>
    <w:p>
      <w:pPr>
        <w:spacing w:after="0" w:line="184" w:lineRule="exact"/>
        <w:rPr>
          <w:sz w:val="20"/>
          <w:szCs w:val="20"/>
          <w:color w:val="auto"/>
        </w:rPr>
      </w:pPr>
    </w:p>
    <w:p>
      <w:pPr>
        <w:ind w:left="1300" w:right="60" w:hanging="642"/>
        <w:spacing w:after="0" w:line="279" w:lineRule="auto"/>
        <w:tabs>
          <w:tab w:leader="none" w:pos="1280" w:val="left"/>
        </w:tabs>
        <w:rPr>
          <w:sz w:val="20"/>
          <w:szCs w:val="20"/>
          <w:color w:val="auto"/>
        </w:rPr>
      </w:pPr>
      <w:r>
        <w:rPr>
          <w:rFonts w:ascii="Arial" w:cs="Arial" w:eastAsia="Arial" w:hAnsi="Arial"/>
          <w:sz w:val="17"/>
          <w:szCs w:val="17"/>
          <w:color w:val="auto"/>
        </w:rPr>
        <w:t>9.6.2</w:t>
      </w:r>
      <w:r>
        <w:rPr>
          <w:sz w:val="20"/>
          <w:szCs w:val="20"/>
          <w:color w:val="auto"/>
        </w:rPr>
        <w:tab/>
      </w:r>
      <w:r>
        <w:rPr>
          <w:rFonts w:ascii="Arial" w:cs="Arial" w:eastAsia="Arial" w:hAnsi="Arial"/>
          <w:sz w:val="16"/>
          <w:szCs w:val="16"/>
          <w:color w:val="auto"/>
        </w:rPr>
        <w:t>Genzyme represents and warrants that neither Genzyme nor its Affiliates (to the extent its Affiliates either employ sales and marketing personnel used to promote, market or detail any Thyrogen or the Test or otherwise perform services hereunder), nor any employee or agent of Genzyme or such Affiliates marketing, promoting, or detailing the Test in connection with this Agreement, has been: (i) convicted of an offense related to any federal or state health care program; (ii) debarred under the Federal Food, Drug and Cosmetic Act; or (iii) excluded or is otherwise ineligible for federal or state health care program participation. No convicted, debarred, excluded or ineligible person will in the future be employed by Genzyme or its Affiliates, to their knowledge, in connection with any of its obligations under this Agreement. If Genzyme becomes aware that Genzyme its Affiliates mentioned above or any person employed or contracted by Genzyme or such Affiliates in connection with this Agreement has become or is in the process of being convicted, debarred, excluded or otherwise rendered ineligible for federal or state health care program participation, Genzyme shall so notify Veracyte in writing.</w:t>
      </w:r>
    </w:p>
    <w:p>
      <w:pPr>
        <w:spacing w:after="0" w:line="173" w:lineRule="exact"/>
        <w:rPr>
          <w:sz w:val="20"/>
          <w:szCs w:val="20"/>
          <w:color w:val="auto"/>
        </w:rPr>
      </w:pPr>
    </w:p>
    <w:p>
      <w:pPr>
        <w:ind w:left="660" w:right="40" w:hanging="653"/>
        <w:spacing w:after="0" w:line="268" w:lineRule="auto"/>
        <w:tabs>
          <w:tab w:leader="none" w:pos="64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color w:val="auto"/>
        </w:rPr>
        <w:t>Veracyte has responded to Genzyme’s reasonable requests for information regarding the Test, and, to the best of Veracyte’s knowledge, Veracyte has not withheld information regarding the Test which is responsive to such requests and which Veracyte reasonably deems material, and, to the best of Veracyte’s knowledge, any such information was provided to Genzyme following receipt of Genzyme’s request and, taken as a whole, was up to date and accurate.</w:t>
      </w:r>
    </w:p>
    <w:p>
      <w:pPr>
        <w:spacing w:after="0" w:line="176" w:lineRule="exact"/>
        <w:rPr>
          <w:sz w:val="20"/>
          <w:szCs w:val="20"/>
          <w:color w:val="auto"/>
        </w:rPr>
      </w:pPr>
    </w:p>
    <w:p>
      <w:pPr>
        <w:ind w:left="660" w:right="40" w:hanging="653"/>
        <w:spacing w:after="0" w:line="268" w:lineRule="auto"/>
        <w:tabs>
          <w:tab w:leader="none" w:pos="64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7"/>
          <w:szCs w:val="17"/>
          <w:color w:val="auto"/>
        </w:rPr>
        <w:t>Genzyme has responded to Veracyte’s reasonable requests for information regarding the relationship that is the subject of this Agreement, and, to the best of Genzyme’s knowledge, Genzyme has not withheld information which is responsive to such requests and which Genzyme reasonably deems material, and, to the best of Genzyme’s knowledge, any such information was provided to Veracyte following receipt of Veracyte’s request and, taken as a whole, was up to date and accurate.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9.9</w:t>
      </w:r>
      <w:r>
        <w:rPr>
          <w:sz w:val="20"/>
          <w:szCs w:val="20"/>
          <w:color w:val="auto"/>
        </w:rPr>
        <w:tab/>
      </w:r>
      <w:r>
        <w:rPr>
          <w:rFonts w:ascii="Arial" w:cs="Arial" w:eastAsia="Arial" w:hAnsi="Arial"/>
          <w:sz w:val="15"/>
          <w:szCs w:val="15"/>
          <w:color w:val="auto"/>
        </w:rPr>
        <w:t>Genzyme represents and warrants to Veracyte that as of the Effective Date: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Genzyme has the full right, power and authority and legal capacity to enter into this Agreement;</w:t>
      </w:r>
    </w:p>
    <w:p>
      <w:pPr>
        <w:spacing w:after="0" w:line="224" w:lineRule="exact"/>
        <w:rPr>
          <w:sz w:val="20"/>
          <w:szCs w:val="20"/>
          <w:color w:val="auto"/>
        </w:rPr>
      </w:pPr>
    </w:p>
    <w:p>
      <w:pPr>
        <w:ind w:left="1300" w:right="300" w:hanging="653"/>
        <w:spacing w:after="0" w:line="289" w:lineRule="auto"/>
        <w:tabs>
          <w:tab w:leader="none" w:pos="128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7"/>
          <w:szCs w:val="17"/>
          <w:color w:val="auto"/>
        </w:rPr>
        <w:t>the execution, delivery and performance of this Agreement by Genzyme does not conflict with, or constitute a breach of or under, any order, judgment, agreement or instrument to which Genzyme is a party; and</w:t>
      </w:r>
    </w:p>
    <w:p>
      <w:pPr>
        <w:spacing w:after="0" w:line="158" w:lineRule="exact"/>
        <w:rPr>
          <w:sz w:val="20"/>
          <w:szCs w:val="20"/>
          <w:color w:val="auto"/>
        </w:rPr>
      </w:pPr>
    </w:p>
    <w:p>
      <w:pPr>
        <w:ind w:left="1300" w:right="20" w:hanging="653"/>
        <w:spacing w:after="0" w:line="273" w:lineRule="auto"/>
        <w:tabs>
          <w:tab w:leader="none" w:pos="1280" w:val="left"/>
        </w:tabs>
        <w:rPr>
          <w:sz w:val="20"/>
          <w:szCs w:val="20"/>
          <w:color w:val="auto"/>
        </w:rPr>
      </w:pPr>
      <w:r>
        <w:rPr>
          <w:rFonts w:ascii="Arial" w:cs="Arial" w:eastAsia="Arial" w:hAnsi="Arial"/>
          <w:sz w:val="17"/>
          <w:szCs w:val="17"/>
          <w:color w:val="auto"/>
        </w:rPr>
        <w:t>9.9.3</w:t>
      </w:r>
      <w:r>
        <w:rPr>
          <w:sz w:val="20"/>
          <w:szCs w:val="20"/>
          <w:color w:val="auto"/>
        </w:rPr>
        <w:tab/>
      </w:r>
      <w:r>
        <w:rPr>
          <w:rFonts w:ascii="Arial" w:cs="Arial" w:eastAsia="Arial" w:hAnsi="Arial"/>
          <w:sz w:val="17"/>
          <w:szCs w:val="17"/>
          <w:color w:val="auto"/>
        </w:rPr>
        <w:t>Genzyme or its Affiliates directly employs a direct sales force in the countries listed on Exhibit E and, with respect to Thyrogen such sales force operates with all necessary licenses, permits and certifications under all applicable laws, regulations, codes, and standards determined by any applicable governmental authority or Regulatory Authority as of the Effective Date.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9.10</w:t>
      </w:r>
      <w:r>
        <w:rPr>
          <w:sz w:val="20"/>
          <w:szCs w:val="20"/>
          <w:color w:val="auto"/>
        </w:rPr>
        <w:tab/>
      </w:r>
      <w:r>
        <w:rPr>
          <w:rFonts w:ascii="Arial" w:cs="Arial" w:eastAsia="Arial" w:hAnsi="Arial"/>
          <w:sz w:val="16"/>
          <w:szCs w:val="16"/>
          <w:color w:val="auto"/>
        </w:rPr>
        <w:t>EXCEPT AS EXPRESSLY STATED IN THIS SECTION 9, ALL OTHER WARRANTIES, CONDITIONS AND REPRESENTATIONS, EXPRESS OR</w:t>
      </w:r>
    </w:p>
    <w:p>
      <w:pPr>
        <w:spacing w:after="0" w:line="26" w:lineRule="exact"/>
        <w:rPr>
          <w:sz w:val="20"/>
          <w:szCs w:val="20"/>
          <w:color w:val="auto"/>
        </w:rPr>
      </w:pPr>
    </w:p>
    <w:p>
      <w:pPr>
        <w:ind w:left="660" w:right="700"/>
        <w:spacing w:after="0" w:line="275" w:lineRule="auto"/>
        <w:rPr>
          <w:sz w:val="20"/>
          <w:szCs w:val="20"/>
          <w:color w:val="auto"/>
        </w:rPr>
      </w:pPr>
      <w:r>
        <w:rPr>
          <w:rFonts w:ascii="Arial" w:cs="Arial" w:eastAsia="Arial" w:hAnsi="Arial"/>
          <w:sz w:val="17"/>
          <w:szCs w:val="17"/>
          <w:color w:val="auto"/>
        </w:rPr>
        <w:t>IMPLIED, STATUTORY OR OTHERWISE, INCLUDING A WARRANTY AS TO THE QUALITY OR FITNESS FOR ANY PARTICULAR PURPOSE OF THE TEST, ARE HEREBY EXCLUDED.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 INDEMNIFICATION AND LIMITATION OF LIABILITY</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6"/>
          <w:szCs w:val="16"/>
          <w:u w:val="single" w:color="auto"/>
          <w:color w:val="auto"/>
        </w:rPr>
        <w:t>Indemnification by Veracyte</w:t>
      </w:r>
      <w:r>
        <w:rPr>
          <w:rFonts w:ascii="Arial" w:cs="Arial" w:eastAsia="Arial" w:hAnsi="Arial"/>
          <w:sz w:val="16"/>
          <w:szCs w:val="16"/>
          <w:color w:val="auto"/>
        </w:rPr>
        <w:t>.</w:t>
      </w:r>
    </w:p>
    <w:p>
      <w:pPr>
        <w:spacing w:after="0" w:line="224" w:lineRule="exact"/>
        <w:rPr>
          <w:sz w:val="20"/>
          <w:szCs w:val="20"/>
          <w:color w:val="auto"/>
        </w:rPr>
      </w:pPr>
    </w:p>
    <w:p>
      <w:pPr>
        <w:ind w:left="1300" w:right="20" w:hanging="653"/>
        <w:spacing w:after="0" w:line="275" w:lineRule="auto"/>
        <w:tabs>
          <w:tab w:leader="none" w:pos="128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6"/>
          <w:szCs w:val="16"/>
          <w:color w:val="auto"/>
        </w:rPr>
        <w:t>Veracyte shall defend, indemnify and hold Genzyme, its Affiliates and their respective officers, directors and employees harmless from and against any liabilities, charges, costs, or expenses, including reasonable attorneys’ fees and settlement payments (collectively, “Liabilities”) that arise from any claim, lawsuit or other action by a third party resulting from (i) the promotion, marketing or detailing of the Test by Veracyte or its Affiliates, (ii) the safety or effectiveness of the Test and/or the research, development, manufacture, commercialization, distribution, promotion, marketing, detailing or importation of the Test by Veracyte or its Affiliates, (iii) performance of the Test including, without limitation, the reporting of test results to physicians or patients, (iv) a breach by Veracyte of its covenants or the terms and conditions of this Agreement or any negligence or misconduct of Veracyte or its Affiliates or their respective employees, agents or subcontractors, (v) the infringement or other violation of any third party trademarks with respect to the use by Genzyme of the Veracyte Trademarks in accordance with the terms and conditions of this Agreement, (vi) an inaccuracy of any of Veracyte’s representations and warranties under this Agreement or</w:t>
      </w:r>
    </w:p>
    <w:p>
      <w:pPr>
        <w:spacing w:after="0" w:line="2" w:lineRule="exact"/>
        <w:rPr>
          <w:sz w:val="20"/>
          <w:szCs w:val="20"/>
          <w:color w:val="auto"/>
        </w:rPr>
      </w:pPr>
    </w:p>
    <w:p>
      <w:pPr>
        <w:ind w:left="1320" w:right="280" w:hanging="6"/>
        <w:spacing w:after="0" w:line="307" w:lineRule="auto"/>
        <w:tabs>
          <w:tab w:leader="none" w:pos="166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 actual or alleged infringement of a patent, trademark or other Intellectual Property Right of a third party. The foregoing obligations shall not apply to the extent that such Liabilities result from any gross negligence or willful misconduct of Genzyme or its Affiliates.</w:t>
      </w:r>
    </w:p>
    <w:p>
      <w:pPr>
        <w:sectPr>
          <w:pgSz w:w="11900" w:h="16882" w:orient="portrait"/>
          <w:cols w:equalWidth="0" w:num="1">
            <w:col w:w="11420"/>
          </w:cols>
          <w:pgMar w:left="240" w:top="127" w:right="239" w:bottom="0" w:gutter="0" w:footer="0" w:header="0"/>
        </w:sectPr>
      </w:pPr>
    </w:p>
    <w:bookmarkStart w:id="197" w:name="page198"/>
    <w:bookmarkEnd w:id="197"/>
    <w:p>
      <w:pPr>
        <w:ind w:left="1300" w:right="20" w:hanging="653"/>
        <w:spacing w:after="0" w:line="289" w:lineRule="auto"/>
        <w:tabs>
          <w:tab w:leader="none" w:pos="1280" w:val="left"/>
        </w:tabs>
        <w:rPr>
          <w:sz w:val="20"/>
          <w:szCs w:val="20"/>
          <w:color w:val="auto"/>
        </w:rPr>
      </w:pPr>
      <w:r>
        <w:rPr>
          <w:rFonts w:ascii="Arial" w:cs="Arial" w:eastAsia="Arial" w:hAnsi="Arial"/>
          <w:sz w:val="17"/>
          <w:szCs w:val="17"/>
          <w:color w:val="auto"/>
        </w:rPr>
        <w:t>10.1.2</w:t>
        <w:tab/>
        <w:t>Genzyme shall promptly notify Veracyte of any liability in respect of which Genzyme intends to claim such indemnification, and Veracyte shall assume and have exclusive control over the defense thereof with counsel selected by Veracyte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line="308" w:lineRule="auto"/>
        <w:rPr>
          <w:sz w:val="20"/>
          <w:szCs w:val="20"/>
          <w:color w:val="auto"/>
        </w:rPr>
      </w:pP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that Genzyme shall have the right to fully participate in any such action or proceeding and to retain its own counsel, at its</w:t>
      </w:r>
      <w:r>
        <w:rPr>
          <w:rFonts w:ascii="Arial" w:cs="Arial" w:eastAsia="Arial" w:hAnsi="Arial"/>
          <w:sz w:val="15"/>
          <w:szCs w:val="15"/>
          <w:i w:val="1"/>
          <w:iCs w:val="1"/>
          <w:color w:val="auto"/>
        </w:rPr>
        <w:t xml:space="preserve"> </w:t>
      </w:r>
      <w:r>
        <w:rPr>
          <w:rFonts w:ascii="Arial" w:cs="Arial" w:eastAsia="Arial" w:hAnsi="Arial"/>
          <w:sz w:val="15"/>
          <w:szCs w:val="15"/>
          <w:color w:val="auto"/>
        </w:rPr>
        <w:t>own expense, if representation of Genzyme by the counsel retained by Veracyte would be inappropriate under applicable standards of professional conduct due to actual or potential differing interests between Genzyme and Veracyte or any other party represented by such counsel in such proceedings. The failure to deliver notice to Veracyte within a reasonable time after the commencement of such action shall relieve Veracyte of its indemnification obligations hereunder only to the extent such failure is prejudicial to Veracyte’s ability to defend such action.</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6"/>
          <w:szCs w:val="16"/>
          <w:u w:val="single" w:color="auto"/>
          <w:color w:val="auto"/>
        </w:rPr>
        <w:t>Indemnification by Genzyme</w:t>
      </w:r>
      <w:r>
        <w:rPr>
          <w:rFonts w:ascii="Arial" w:cs="Arial" w:eastAsia="Arial" w:hAnsi="Arial"/>
          <w:sz w:val="16"/>
          <w:szCs w:val="16"/>
          <w:color w:val="auto"/>
        </w:rPr>
        <w:t>.</w:t>
      </w:r>
    </w:p>
    <w:p>
      <w:pPr>
        <w:spacing w:after="0" w:line="224" w:lineRule="exact"/>
        <w:rPr>
          <w:sz w:val="20"/>
          <w:szCs w:val="20"/>
          <w:color w:val="auto"/>
        </w:rPr>
      </w:pPr>
    </w:p>
    <w:p>
      <w:pPr>
        <w:ind w:left="1300" w:right="40" w:hanging="653"/>
        <w:spacing w:after="0" w:line="279" w:lineRule="auto"/>
        <w:tabs>
          <w:tab w:leader="none" w:pos="128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6"/>
          <w:szCs w:val="16"/>
          <w:color w:val="auto"/>
        </w:rPr>
        <w:t>Genzyme shall defend, indemnify and hold Veracyte, its Affiliates and their respective officers, directors and employees harmless from and against any Liabilities that arise from any claim, lawsuit or other action by a third party resulting from (i) the promotion, marketing or detailing of the Test by Genzyme or its Affiliates, (ii) a breach by Genzyme of its covenants or the terms and conditions of this Agreement or any negligence or misconduct of Genzyme or its Affiliates or their respective employees, agents or subcontractors, (iii) an inaccuracy of any of Genzyme’s representations and warranties under this Agreement or (iv) the infringement or other violation of any third party trademarks with respect to the use by Veracyte of the Genzyme Trademarks in accordance with the terms and conditions of this Agreement. The foregoing obligations shall not apply to the extent that such Liabilities result from the gross negligence or wilful misconduct of Veracyte or its Affiliates. For the avoidance of doubt, Genzyme will not indemnify Veracyte and its Affiliates for any Liabilities resulting from an actual or alleged infringement of a patent, trademark or other Intellectual Property Right of a third party related to making, using or processing the Test.</w:t>
      </w:r>
    </w:p>
    <w:p>
      <w:pPr>
        <w:spacing w:after="0" w:line="173" w:lineRule="exact"/>
        <w:rPr>
          <w:sz w:val="20"/>
          <w:szCs w:val="20"/>
          <w:color w:val="auto"/>
        </w:rPr>
      </w:pPr>
    </w:p>
    <w:p>
      <w:pPr>
        <w:ind w:left="1300" w:right="20" w:hanging="653"/>
        <w:spacing w:after="0" w:line="281" w:lineRule="auto"/>
        <w:tabs>
          <w:tab w:leader="none" w:pos="128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6"/>
          <w:szCs w:val="16"/>
          <w:color w:val="auto"/>
        </w:rPr>
        <w:t xml:space="preserve">Veracyte shall promptly notify Genzyme of any liability in respect of which Veracyte intends to claim such indemnification, and Genzyme shall assume and have exclusive control over the defense thereof with counsel selected by Genzyme;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Veracyte shall have the right to fully participate in any such action or proceeding and to retain its own counsel, at its own expense, if representation of Veracyte by the counsel retained by Genzyme would be inappropriate under applicable standards of professional conduct due to actual or potential differing interests between Veracyte and Genzyme or any other party represented by such counsel in such proceedings. The failure to deliver notice to Genzyme within a reasonable time after the commencement of such action shall relieve Genzyme of its indemnification obligations hereunder only to the extent such failure is prejudicial to Genzyme’s ability to defend such action.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6"/>
          <w:szCs w:val="16"/>
          <w:color w:val="auto"/>
        </w:rPr>
        <w:t>Neither party shall be liable to the other party for any special, incidental, indirect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240"/>
        <w:spacing w:after="0" w:line="289" w:lineRule="auto"/>
        <w:rPr>
          <w:sz w:val="20"/>
          <w:szCs w:val="20"/>
          <w:color w:val="auto"/>
        </w:rPr>
      </w:pPr>
      <w:r>
        <w:rPr>
          <w:rFonts w:ascii="Arial" w:cs="Arial" w:eastAsia="Arial" w:hAnsi="Arial"/>
          <w:sz w:val="17"/>
          <w:szCs w:val="17"/>
          <w:color w:val="auto"/>
        </w:rPr>
        <w:t>or consequential damages including, but not limited to, loss of profit, loss of savings, loss of business, loss or contracts, whether arising from negligence, breach of contract or in any other way.</w:t>
      </w:r>
    </w:p>
    <w:p>
      <w:pPr>
        <w:spacing w:after="0" w:line="158" w:lineRule="exact"/>
        <w:rPr>
          <w:sz w:val="20"/>
          <w:szCs w:val="20"/>
          <w:color w:val="auto"/>
        </w:rPr>
      </w:pPr>
    </w:p>
    <w:p>
      <w:pPr>
        <w:ind w:left="1300" w:right="20" w:hanging="653"/>
        <w:spacing w:after="0" w:line="273" w:lineRule="auto"/>
        <w:tabs>
          <w:tab w:leader="none" w:pos="1280" w:val="left"/>
        </w:tabs>
        <w:rPr>
          <w:sz w:val="20"/>
          <w:szCs w:val="20"/>
          <w:color w:val="auto"/>
        </w:rPr>
      </w:pPr>
      <w:r>
        <w:rPr>
          <w:rFonts w:ascii="Arial" w:cs="Arial" w:eastAsia="Arial" w:hAnsi="Arial"/>
          <w:sz w:val="17"/>
          <w:szCs w:val="17"/>
          <w:color w:val="auto"/>
        </w:rPr>
        <w:t>10.3.2</w:t>
        <w:tab/>
        <w:t>The limitations set forth in Section 10.3.1 shall not apply with respect to the liability of either party for death, material personal injury or property damage, which has been determined by a court of final adjudication to have been proximately caused by the gross negligence or wilful misconduct of such party or its Affiliates.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4" w:lineRule="exact"/>
        <w:rPr>
          <w:sz w:val="20"/>
          <w:szCs w:val="20"/>
          <w:color w:val="auto"/>
        </w:rPr>
      </w:pPr>
    </w:p>
    <w:p>
      <w:pPr>
        <w:ind w:left="1300" w:right="60" w:hanging="653"/>
        <w:spacing w:after="0" w:line="289" w:lineRule="auto"/>
        <w:tabs>
          <w:tab w:leader="none" w:pos="1280" w:val="left"/>
        </w:tabs>
        <w:rPr>
          <w:sz w:val="20"/>
          <w:szCs w:val="20"/>
          <w:color w:val="auto"/>
        </w:rPr>
      </w:pPr>
      <w:r>
        <w:rPr>
          <w:rFonts w:ascii="Arial" w:cs="Arial" w:eastAsia="Arial" w:hAnsi="Arial"/>
          <w:sz w:val="17"/>
          <w:szCs w:val="17"/>
          <w:color w:val="auto"/>
        </w:rPr>
        <w:t>10.4.1</w:t>
        <w:tab/>
        <w:t>By no later than fourteen (14) days after the Effective Date, each party will obtain and maintain commercially reasonable amounts of insurance from a reputable insurance carrier (or by means of self-insurance) sufficient to cover its risks under this Agreement.</w:t>
      </w:r>
    </w:p>
    <w:p>
      <w:pPr>
        <w:spacing w:after="0" w:line="158" w:lineRule="exact"/>
        <w:rPr>
          <w:sz w:val="20"/>
          <w:szCs w:val="20"/>
          <w:color w:val="auto"/>
        </w:rPr>
      </w:pPr>
    </w:p>
    <w:p>
      <w:pPr>
        <w:ind w:left="1300" w:right="20" w:hanging="653"/>
        <w:spacing w:after="0" w:line="268" w:lineRule="auto"/>
        <w:tabs>
          <w:tab w:leader="none" w:pos="1280" w:val="left"/>
        </w:tabs>
        <w:rPr>
          <w:sz w:val="20"/>
          <w:szCs w:val="20"/>
          <w:color w:val="auto"/>
        </w:rPr>
      </w:pPr>
      <w:r>
        <w:rPr>
          <w:rFonts w:ascii="Arial" w:cs="Arial" w:eastAsia="Arial" w:hAnsi="Arial"/>
          <w:sz w:val="17"/>
          <w:szCs w:val="17"/>
          <w:color w:val="auto"/>
        </w:rPr>
        <w:t>10.4.2</w:t>
        <w:tab/>
        <w:t>For the avoidance of doubt, Veracyte is required to maintain an active insurance policy covering general commercial liability, contractual liability, personal and advertising injury, errors and omissions, and product liability claims, with limits of not less than $10,000,000 (ten million dollars) per occurrence and $10,000,000 (ten million dollars) aggregate. Veracyte shall name Genzyme as an “additional insured” and provide Genzyme with a certificate of insurance promptly upon Genzyme’s request.</w:t>
      </w:r>
    </w:p>
    <w:p>
      <w:pPr>
        <w:spacing w:after="0" w:line="176" w:lineRule="exact"/>
        <w:rPr>
          <w:sz w:val="20"/>
          <w:szCs w:val="20"/>
          <w:color w:val="auto"/>
        </w:rPr>
      </w:pPr>
    </w:p>
    <w:p>
      <w:pPr>
        <w:ind w:left="1300" w:right="20" w:hanging="653"/>
        <w:spacing w:after="0" w:line="268" w:lineRule="auto"/>
        <w:tabs>
          <w:tab w:leader="none" w:pos="1280" w:val="left"/>
        </w:tabs>
        <w:rPr>
          <w:sz w:val="20"/>
          <w:szCs w:val="20"/>
          <w:color w:val="auto"/>
        </w:rPr>
      </w:pPr>
      <w:r>
        <w:rPr>
          <w:rFonts w:ascii="Arial" w:cs="Arial" w:eastAsia="Arial" w:hAnsi="Arial"/>
          <w:sz w:val="17"/>
          <w:szCs w:val="17"/>
          <w:color w:val="auto"/>
        </w:rPr>
        <w:t>10.4.3</w:t>
        <w:tab/>
        <w:t>For the avoidance of doubt, Genzyme is required to maintain an active insurance policy covering general commercial liability, contractual liability, personal and advertising injury, errors and omissions, and product liability claims, with limits of not less than $10,000,000 (ten million dollars) per occurrence and $10,000,000 (ten million dollars) aggregate. Genzyme shall name Veracyte as an “additional insured” and provide Veracyte with a certificate of insurance promptly upon Veracyte’s request.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 TERM AND TERMINATION</w:t>
      </w:r>
    </w:p>
    <w:p>
      <w:pPr>
        <w:spacing w:after="0" w:line="230" w:lineRule="exact"/>
        <w:rPr>
          <w:sz w:val="20"/>
          <w:szCs w:val="20"/>
          <w:color w:val="auto"/>
        </w:rPr>
      </w:pPr>
    </w:p>
    <w:p>
      <w:pPr>
        <w:ind w:left="640" w:right="160" w:hanging="653"/>
        <w:spacing w:after="0" w:line="273" w:lineRule="auto"/>
        <w:tabs>
          <w:tab w:leader="none" w:pos="6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commence on the Effective Date and shall continue in force for a period of fifteen (15) years (the “Initial Term”). Upon</w:t>
      </w:r>
      <w:r>
        <w:rPr>
          <w:rFonts w:ascii="Arial" w:cs="Arial" w:eastAsia="Arial" w:hAnsi="Arial"/>
          <w:sz w:val="17"/>
          <w:szCs w:val="17"/>
          <w:u w:val="single" w:color="auto"/>
          <w:color w:val="auto"/>
        </w:rPr>
        <w:t xml:space="preserve"> </w:t>
      </w:r>
      <w:r>
        <w:rPr>
          <w:rFonts w:ascii="Arial" w:cs="Arial" w:eastAsia="Arial" w:hAnsi="Arial"/>
          <w:sz w:val="17"/>
          <w:szCs w:val="17"/>
          <w:color w:val="auto"/>
        </w:rPr>
        <w:t>expiry of the Initial Term, this Agreement shall terminate without any notice of termination being required, unless the parties agree in writing to extend the Agreement for an additional period to be agreed upon in writing by the parties (the “Extended Term”).</w:t>
      </w:r>
    </w:p>
    <w:p>
      <w:pPr>
        <w:spacing w:after="0" w:line="172" w:lineRule="exact"/>
        <w:rPr>
          <w:sz w:val="20"/>
          <w:szCs w:val="20"/>
          <w:color w:val="auto"/>
        </w:rPr>
      </w:pPr>
    </w:p>
    <w:p>
      <w:pPr>
        <w:ind w:left="640" w:right="260" w:hanging="654"/>
        <w:spacing w:after="0" w:line="298" w:lineRule="auto"/>
        <w:tabs>
          <w:tab w:leader="none" w:pos="6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Without prejudice to the rights and remedies of Veracyte and Genzyme under this Agreement, either party may terminate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immediately by written notice to the other party if the other party either commits a breach of this Agreement or otherwise defaults in the performance of any of its duties or obligations under this Agreement and such breach is not caused by a force majeure (as described in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337" w:right="279" w:bottom="298" w:gutter="0" w:footer="0" w:header="0"/>
        </w:sectPr>
      </w:pPr>
    </w:p>
    <w:bookmarkStart w:id="198" w:name="page199"/>
    <w:bookmarkEnd w:id="198"/>
    <w:p>
      <w:pPr>
        <w:spacing w:after="0" w:line="79" w:lineRule="exact"/>
        <w:rPr>
          <w:sz w:val="20"/>
          <w:szCs w:val="20"/>
          <w:color w:val="auto"/>
        </w:rPr>
      </w:pPr>
    </w:p>
    <w:p>
      <w:pPr>
        <w:ind w:left="660" w:right="340"/>
        <w:spacing w:after="0" w:line="322" w:lineRule="auto"/>
        <w:rPr>
          <w:sz w:val="20"/>
          <w:szCs w:val="20"/>
          <w:color w:val="auto"/>
        </w:rPr>
      </w:pPr>
      <w:r>
        <w:rPr>
          <w:rFonts w:ascii="Arial" w:cs="Arial" w:eastAsia="Arial" w:hAnsi="Arial"/>
          <w:sz w:val="16"/>
          <w:szCs w:val="16"/>
          <w:color w:val="auto"/>
        </w:rPr>
        <w:t>Section 12.3) and (i) such breach or default is material and curing such breach or default is temporarily or permanently impossible, or (ii) in all other cases if the breach is not remedied within thirty (30) days after receipt of written notice of termination pursuant to this Section 11.2.</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u w:val="single" w:color="auto"/>
          <w:color w:val="auto"/>
        </w:rPr>
        <w:t>Termination for Insolvency</w:t>
      </w:r>
      <w:r>
        <w:rPr>
          <w:rFonts w:ascii="Arial" w:cs="Arial" w:eastAsia="Arial" w:hAnsi="Arial"/>
          <w:sz w:val="16"/>
          <w:szCs w:val="16"/>
          <w:color w:val="auto"/>
        </w:rPr>
        <w:t>. Either party may terminate this Agreement effective immediately by written notice to the other party if the other party:</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11.3.1</w:t>
      </w:r>
      <w:r>
        <w:rPr>
          <w:sz w:val="20"/>
          <w:szCs w:val="20"/>
          <w:color w:val="auto"/>
        </w:rPr>
        <w:tab/>
      </w:r>
      <w:r>
        <w:rPr>
          <w:rFonts w:ascii="Arial" w:cs="Arial" w:eastAsia="Arial" w:hAnsi="Arial"/>
          <w:sz w:val="15"/>
          <w:szCs w:val="15"/>
          <w:color w:val="auto"/>
        </w:rPr>
        <w:t>becomes insolvent, or has filed a request to be declared insolvent, or has been granted moratorium on payment;</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11.3.2</w:t>
      </w:r>
      <w:r>
        <w:rPr>
          <w:sz w:val="20"/>
          <w:szCs w:val="20"/>
          <w:color w:val="auto"/>
        </w:rPr>
        <w:tab/>
      </w:r>
      <w:r>
        <w:rPr>
          <w:rFonts w:ascii="Arial" w:cs="Arial" w:eastAsia="Arial" w:hAnsi="Arial"/>
          <w:sz w:val="15"/>
          <w:szCs w:val="15"/>
          <w:color w:val="auto"/>
        </w:rPr>
        <w:t>makes an assignment for the benefit of creditors;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11.3.3</w:t>
      </w:r>
      <w:r>
        <w:rPr>
          <w:sz w:val="20"/>
          <w:szCs w:val="20"/>
          <w:color w:val="auto"/>
        </w:rPr>
        <w:tab/>
      </w:r>
      <w:r>
        <w:rPr>
          <w:rFonts w:ascii="Arial" w:cs="Arial" w:eastAsia="Arial" w:hAnsi="Arial"/>
          <w:sz w:val="14"/>
          <w:szCs w:val="14"/>
          <w:color w:val="auto"/>
        </w:rPr>
        <w:t>ceases to do business;</w:t>
      </w:r>
    </w:p>
    <w:p>
      <w:pPr>
        <w:spacing w:after="0" w:line="224"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17"/>
          <w:szCs w:val="17"/>
          <w:color w:val="auto"/>
        </w:rPr>
        <w:t>11.3.4</w:t>
      </w:r>
      <w:r>
        <w:rPr>
          <w:sz w:val="20"/>
          <w:szCs w:val="20"/>
          <w:color w:val="auto"/>
        </w:rPr>
        <w:tab/>
      </w:r>
      <w:r>
        <w:rPr>
          <w:rFonts w:ascii="Arial" w:cs="Arial" w:eastAsia="Arial" w:hAnsi="Arial"/>
          <w:sz w:val="16"/>
          <w:szCs w:val="16"/>
          <w:color w:val="auto"/>
        </w:rPr>
        <w:t>commences any dissolution, liquidation or winding up; or</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11.3.5</w:t>
      </w:r>
      <w:r>
        <w:rPr>
          <w:sz w:val="20"/>
          <w:szCs w:val="20"/>
          <w:color w:val="auto"/>
        </w:rPr>
        <w:tab/>
      </w:r>
      <w:r>
        <w:rPr>
          <w:rFonts w:ascii="Arial" w:cs="Arial" w:eastAsia="Arial" w:hAnsi="Arial"/>
          <w:sz w:val="15"/>
          <w:szCs w:val="15"/>
          <w:color w:val="auto"/>
        </w:rPr>
        <w:t>has a receiver, trustee administrator or examiner or liquidator appointed over all or a substantial part of its assets.</w:t>
      </w:r>
    </w:p>
    <w:p>
      <w:pPr>
        <w:spacing w:after="0" w:line="224" w:lineRule="exact"/>
        <w:rPr>
          <w:sz w:val="20"/>
          <w:szCs w:val="20"/>
          <w:color w:val="auto"/>
        </w:rPr>
      </w:pPr>
    </w:p>
    <w:p>
      <w:pPr>
        <w:ind w:left="640" w:right="60" w:hanging="653"/>
        <w:spacing w:after="0" w:line="263" w:lineRule="auto"/>
        <w:tabs>
          <w:tab w:leader="none" w:pos="62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u w:val="single" w:color="auto"/>
          <w:color w:val="auto"/>
        </w:rPr>
        <w:t>Termination Upon Change of Control</w:t>
      </w:r>
      <w:r>
        <w:rPr>
          <w:rFonts w:ascii="Arial" w:cs="Arial" w:eastAsia="Arial" w:hAnsi="Arial"/>
          <w:sz w:val="17"/>
          <w:szCs w:val="17"/>
          <w:color w:val="auto"/>
        </w:rPr>
        <w:t>. Either party will have the right to immediately terminate this Agreement by written notice to the other party in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event of a Change of Control of the other party. A party shall provide notice to the other party not less than sixty (60) days prior to its proposed Change of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party undergoing the Change of Control is advised by its legal counsel that it is precluded from providing the other party with this prior notice under applicable laws or regulations, then the party undergoing the Change of Control shall deliver such notice immediately after consummation of the Change of Control. The above notice shall contain the following information regarding the person or entity that will assume control:</w:t>
      </w:r>
    </w:p>
    <w:p>
      <w:pPr>
        <w:spacing w:after="0" w:line="183" w:lineRule="exact"/>
        <w:rPr>
          <w:sz w:val="20"/>
          <w:szCs w:val="20"/>
          <w:color w:val="auto"/>
        </w:rPr>
      </w:pPr>
    </w:p>
    <w:p>
      <w:pPr>
        <w:ind w:left="1960" w:hanging="648"/>
        <w:spacing w:after="0"/>
        <w:tabs>
          <w:tab w:leader="none" w:pos="19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name and legal composition of the person or entity;</w:t>
      </w:r>
    </w:p>
    <w:p>
      <w:pPr>
        <w:spacing w:after="0" w:line="224" w:lineRule="exact"/>
        <w:rPr>
          <w:rFonts w:ascii="Arial" w:cs="Arial" w:eastAsia="Arial" w:hAnsi="Arial"/>
          <w:sz w:val="17"/>
          <w:szCs w:val="17"/>
          <w:color w:val="auto"/>
        </w:rPr>
      </w:pPr>
    </w:p>
    <w:p>
      <w:pPr>
        <w:ind w:left="1980" w:hanging="668"/>
        <w:spacing w:after="0"/>
        <w:tabs>
          <w:tab w:leader="none" w:pos="19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financial information regarding such person or entity; and</w:t>
      </w:r>
    </w:p>
    <w:p>
      <w:pPr>
        <w:spacing w:after="0" w:line="224" w:lineRule="exact"/>
        <w:rPr>
          <w:rFonts w:ascii="Arial" w:cs="Arial" w:eastAsia="Arial" w:hAnsi="Arial"/>
          <w:sz w:val="17"/>
          <w:szCs w:val="17"/>
          <w:color w:val="auto"/>
        </w:rPr>
      </w:pPr>
    </w:p>
    <w:p>
      <w:pPr>
        <w:ind w:left="1980" w:hanging="668"/>
        <w:spacing w:after="0"/>
        <w:tabs>
          <w:tab w:leader="none" w:pos="19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general description of the transfer transaction.</w:t>
      </w:r>
    </w:p>
    <w:p>
      <w:pPr>
        <w:spacing w:after="0" w:line="224" w:lineRule="exact"/>
        <w:rPr>
          <w:sz w:val="20"/>
          <w:szCs w:val="20"/>
          <w:color w:val="auto"/>
        </w:rPr>
      </w:pPr>
    </w:p>
    <w:p>
      <w:pPr>
        <w:ind w:left="660" w:firstLine="11"/>
        <w:spacing w:after="0" w:line="289" w:lineRule="auto"/>
        <w:rPr>
          <w:sz w:val="20"/>
          <w:szCs w:val="20"/>
          <w:color w:val="auto"/>
        </w:rPr>
      </w:pPr>
      <w:r>
        <w:rPr>
          <w:rFonts w:ascii="Arial" w:cs="Arial" w:eastAsia="Arial" w:hAnsi="Arial"/>
          <w:sz w:val="17"/>
          <w:szCs w:val="17"/>
          <w:color w:val="auto"/>
        </w:rPr>
        <w:t>In addition, the party that is subject to the Change of Control shall provide the other party with such other information as may be reasonably requested by that party after the receipt of such notice.</w:t>
      </w:r>
    </w:p>
    <w:p>
      <w:pPr>
        <w:spacing w:after="0" w:line="158" w:lineRule="exact"/>
        <w:rPr>
          <w:sz w:val="20"/>
          <w:szCs w:val="20"/>
          <w:color w:val="auto"/>
        </w:rPr>
      </w:pPr>
    </w:p>
    <w:p>
      <w:pPr>
        <w:ind w:left="620" w:hanging="628"/>
        <w:spacing w:after="0" w:line="244" w:lineRule="auto"/>
        <w:tabs>
          <w:tab w:leader="none" w:pos="60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u w:val="single" w:color="auto"/>
          <w:color w:val="auto"/>
        </w:rPr>
        <w:t>Termination for Convenience</w:t>
      </w:r>
      <w:r>
        <w:rPr>
          <w:rFonts w:ascii="Arial" w:cs="Arial" w:eastAsia="Arial" w:hAnsi="Arial"/>
          <w:sz w:val="17"/>
          <w:szCs w:val="17"/>
          <w:color w:val="auto"/>
        </w:rPr>
        <w:t>. Either party will have the right to terminate this Agreement without cause effective any time after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the Effective Date by giving the other party six (6) months prior written notice. For the purposes of clarity, it is the understanding of the parties that during the notice period described above, the rights and obligations of the parties shall continue in full force and effect until the applicable date of termination of the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u w:val="single" w:color="auto"/>
          <w:color w:val="auto"/>
        </w:rPr>
        <w:t>Termination by Genzyme on a Country-by-Country Basis for Regulatory Action</w:t>
      </w:r>
      <w:r>
        <w:rPr>
          <w:rFonts w:ascii="Arial" w:cs="Arial" w:eastAsia="Arial" w:hAnsi="Arial"/>
          <w:sz w:val="16"/>
          <w:szCs w:val="16"/>
          <w:color w:val="auto"/>
        </w:rPr>
        <w:t>.</w:t>
      </w:r>
    </w:p>
    <w:p>
      <w:pPr>
        <w:spacing w:after="0" w:line="224" w:lineRule="exact"/>
        <w:rPr>
          <w:sz w:val="20"/>
          <w:szCs w:val="20"/>
          <w:color w:val="auto"/>
        </w:rPr>
      </w:pPr>
    </w:p>
    <w:p>
      <w:pPr>
        <w:ind w:left="1300" w:right="40" w:hanging="653"/>
        <w:spacing w:after="0" w:line="295" w:lineRule="auto"/>
        <w:tabs>
          <w:tab w:leader="none" w:pos="1280" w:val="left"/>
        </w:tabs>
        <w:rPr>
          <w:sz w:val="20"/>
          <w:szCs w:val="20"/>
          <w:color w:val="auto"/>
        </w:rPr>
      </w:pPr>
      <w:r>
        <w:rPr>
          <w:rFonts w:ascii="Arial" w:cs="Arial" w:eastAsia="Arial" w:hAnsi="Arial"/>
          <w:sz w:val="17"/>
          <w:szCs w:val="17"/>
          <w:color w:val="auto"/>
        </w:rPr>
        <w:t>11.6.1</w:t>
      </w:r>
      <w:r>
        <w:rPr>
          <w:sz w:val="20"/>
          <w:szCs w:val="20"/>
          <w:color w:val="auto"/>
        </w:rPr>
        <w:tab/>
      </w:r>
      <w:r>
        <w:rPr>
          <w:rFonts w:ascii="Arial" w:cs="Arial" w:eastAsia="Arial" w:hAnsi="Arial"/>
          <w:sz w:val="15"/>
          <w:szCs w:val="15"/>
          <w:color w:val="auto"/>
        </w:rPr>
        <w:t>Within sixty (60) days following the occurrence of a Country Regulatory Event, Genzyme may provide Veracyte with written notice of such Country Regulatory Event (a “CRE Notice”). Such CRE Notice shall provide details regarding the event that constitutes a Country Regulatory Event, the date of such occurrence and the basis for why any Country Regulatory Event could constitute a Qualified Country Regulatory Event. Upon the receipt of a CRE Notice, Veracyte will have six (6) months to work in good faith to resolve, cure, or abate such Country Regulatory Event to the reasonable satisfaction of Genzyme. If Veracyte is unable to resolve, cure or abate such Country Regulatory Event during such six</w:t>
      </w:r>
    </w:p>
    <w:p>
      <w:pPr>
        <w:spacing w:after="0" w:line="1" w:lineRule="exact"/>
        <w:rPr>
          <w:sz w:val="20"/>
          <w:szCs w:val="20"/>
          <w:color w:val="auto"/>
        </w:rPr>
      </w:pPr>
    </w:p>
    <w:p>
      <w:pPr>
        <w:ind w:left="1320" w:right="160" w:hanging="6"/>
        <w:spacing w:after="0" w:line="263" w:lineRule="auto"/>
        <w:tabs>
          <w:tab w:leader="none" w:pos="156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month period and such Country Regulatory Event constitutes a Qualified Country Regulatory Event, then Genzyme will have the right, no later than eight (8) months following the occurrence of such a Qualified Country Regulatory Event, to terminate any further rights and obligations under this Agreement with regards to such Country, with thirty (30) days prior written notice to Veracyte (a “Country Regulatory Termination”).</w:t>
      </w:r>
    </w:p>
    <w:p>
      <w:pPr>
        <w:spacing w:after="0" w:line="180" w:lineRule="exact"/>
        <w:rPr>
          <w:sz w:val="20"/>
          <w:szCs w:val="20"/>
          <w:color w:val="auto"/>
        </w:rPr>
      </w:pPr>
    </w:p>
    <w:p>
      <w:pPr>
        <w:ind w:left="1300" w:right="320" w:hanging="653"/>
        <w:spacing w:after="0" w:line="273" w:lineRule="auto"/>
        <w:tabs>
          <w:tab w:leader="none" w:pos="1280" w:val="left"/>
        </w:tabs>
        <w:rPr>
          <w:sz w:val="20"/>
          <w:szCs w:val="20"/>
          <w:color w:val="auto"/>
        </w:rPr>
      </w:pPr>
      <w:r>
        <w:rPr>
          <w:rFonts w:ascii="Arial" w:cs="Arial" w:eastAsia="Arial" w:hAnsi="Arial"/>
          <w:sz w:val="17"/>
          <w:szCs w:val="17"/>
          <w:color w:val="auto"/>
        </w:rPr>
        <w:t>11.6.2</w:t>
        <w:tab/>
        <w:t>For the purposes of clarity, it is the understanding of the parties that during any notice period described above prior to the effective date of a Country Regulatory Termination, the rights and obligations of the parties shall continue in full force and effect until the applicable date of termination rights and obligations regarding such Country.</w:t>
      </w:r>
    </w:p>
    <w:p>
      <w:pPr>
        <w:spacing w:after="0" w:line="172" w:lineRule="exact"/>
        <w:rPr>
          <w:sz w:val="20"/>
          <w:szCs w:val="20"/>
          <w:color w:val="auto"/>
        </w:rPr>
      </w:pPr>
    </w:p>
    <w:p>
      <w:pPr>
        <w:jc w:val="both"/>
        <w:ind w:left="1300" w:right="160" w:hanging="653"/>
        <w:spacing w:after="0" w:line="273" w:lineRule="auto"/>
        <w:tabs>
          <w:tab w:leader="none" w:pos="1280" w:val="left"/>
        </w:tabs>
        <w:rPr>
          <w:sz w:val="20"/>
          <w:szCs w:val="20"/>
          <w:color w:val="auto"/>
        </w:rPr>
      </w:pPr>
      <w:r>
        <w:rPr>
          <w:rFonts w:ascii="Arial" w:cs="Arial" w:eastAsia="Arial" w:hAnsi="Arial"/>
          <w:sz w:val="17"/>
          <w:szCs w:val="17"/>
          <w:color w:val="auto"/>
        </w:rPr>
        <w:t>11.6.3</w:t>
        <w:tab/>
        <w:t>If Genzyme elects to exercise such Country Regulatory Termination right with regards to a Country in Territory B or in Territory A, no further Promotion Fees will be payable for Net Revenues achieved in such Country after the effective date of the Country Regulatory Termination for such Country.</w:t>
      </w:r>
    </w:p>
    <w:p>
      <w:pPr>
        <w:spacing w:after="0" w:line="172" w:lineRule="exact"/>
        <w:rPr>
          <w:sz w:val="20"/>
          <w:szCs w:val="20"/>
          <w:color w:val="auto"/>
        </w:rPr>
      </w:pPr>
    </w:p>
    <w:p>
      <w:pPr>
        <w:ind w:left="1300" w:right="180" w:hanging="653"/>
        <w:spacing w:after="0" w:line="289" w:lineRule="auto"/>
        <w:tabs>
          <w:tab w:leader="none" w:pos="1280" w:val="left"/>
        </w:tabs>
        <w:rPr>
          <w:sz w:val="20"/>
          <w:szCs w:val="20"/>
          <w:color w:val="auto"/>
        </w:rPr>
      </w:pPr>
      <w:r>
        <w:rPr>
          <w:rFonts w:ascii="Arial" w:cs="Arial" w:eastAsia="Arial" w:hAnsi="Arial"/>
          <w:sz w:val="17"/>
          <w:szCs w:val="17"/>
          <w:color w:val="auto"/>
        </w:rPr>
        <w:t>11.6.4</w:t>
        <w:tab/>
        <w:t>Any Country for which Genzyme terminates its rights and obligations pursuant to this Section 11.6 shall be automatically become a Removed Country as of the effective date of such termination.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11.6.5</w:t>
      </w:r>
      <w:r>
        <w:rPr>
          <w:sz w:val="20"/>
          <w:szCs w:val="20"/>
          <w:color w:val="auto"/>
        </w:rPr>
        <w:tab/>
      </w:r>
      <w:r>
        <w:rPr>
          <w:rFonts w:ascii="Arial" w:cs="Arial" w:eastAsia="Arial" w:hAnsi="Arial"/>
          <w:sz w:val="15"/>
          <w:szCs w:val="15"/>
          <w:color w:val="auto"/>
        </w:rPr>
        <w:t>For purposes of this Section 11.6:</w:t>
      </w:r>
    </w:p>
    <w:p>
      <w:pPr>
        <w:spacing w:after="0" w:line="224" w:lineRule="exact"/>
        <w:rPr>
          <w:sz w:val="20"/>
          <w:szCs w:val="20"/>
          <w:color w:val="auto"/>
        </w:rPr>
      </w:pPr>
    </w:p>
    <w:p>
      <w:pPr>
        <w:ind w:left="1960" w:hanging="648"/>
        <w:spacing w:after="0" w:line="263" w:lineRule="auto"/>
        <w:tabs>
          <w:tab w:leader="none" w:pos="195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“Country Regulatory Event” shall mean, with respect to any Country, the occurrence of any of the following: any Regulatory Authority in that Country pursuing an enforcement action (i) against Veracyte or its Affiliates (to the extent that such Affiliates are offering the Test pursuant this Agreement in such Country) that impacts the ability to commercialize the Test or (ii) directly related to the Test; or any Regulatory Authority in that Country issuing a warning letter against Veracyte or its Affiliates (to the extent that such Affiliates are providing services to Genzyme pursuant to this Agreement in such Country) that impacts the ability to commercialize the Test or (ii) directly related to the Test;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960" w:hanging="648"/>
        <w:spacing w:after="0" w:line="360" w:lineRule="auto"/>
        <w:tabs>
          <w:tab w:leader="none" w:pos="1969" w:val="left"/>
        </w:tabs>
        <w:numPr>
          <w:ilvl w:val="0"/>
          <w:numId w:val="112"/>
        </w:numPr>
        <w:rPr>
          <w:rFonts w:ascii="Arial" w:cs="Arial" w:eastAsia="Arial" w:hAnsi="Arial"/>
          <w:sz w:val="15"/>
          <w:szCs w:val="15"/>
          <w:color w:val="auto"/>
        </w:rPr>
      </w:pPr>
      <w:r>
        <w:rPr>
          <w:rFonts w:ascii="Arial" w:cs="Arial" w:eastAsia="Arial" w:hAnsi="Arial"/>
          <w:sz w:val="15"/>
          <w:szCs w:val="15"/>
          <w:color w:val="auto"/>
        </w:rPr>
        <w:t>“Qualified Country Regulatory Event” shall mean a Country Regulatory Event that both (a) materially and adversely affects the ability of the parties to commercialize the Test in the Country where the Country Regulatory Event occurs, and (b) leads to the actual average</w:t>
      </w:r>
    </w:p>
    <w:p>
      <w:pPr>
        <w:sectPr>
          <w:pgSz w:w="11900" w:h="16917" w:orient="portrait"/>
          <w:cols w:equalWidth="0" w:num="1">
            <w:col w:w="11400"/>
          </w:cols>
          <w:pgMar w:left="240" w:top="127" w:right="259" w:bottom="0" w:gutter="0" w:footer="0" w:header="0"/>
        </w:sectPr>
      </w:pPr>
    </w:p>
    <w:bookmarkStart w:id="199" w:name="page200"/>
    <w:bookmarkEnd w:id="199"/>
    <w:p>
      <w:pPr>
        <w:jc w:val="both"/>
        <w:ind w:left="1960" w:right="560"/>
        <w:spacing w:after="0" w:line="273" w:lineRule="auto"/>
        <w:rPr>
          <w:sz w:val="20"/>
          <w:szCs w:val="20"/>
          <w:color w:val="auto"/>
        </w:rPr>
      </w:pPr>
      <w:r>
        <w:rPr>
          <w:rFonts w:ascii="Arial" w:cs="Arial" w:eastAsia="Arial" w:hAnsi="Arial"/>
          <w:sz w:val="17"/>
          <w:szCs w:val="17"/>
          <w:color w:val="auto"/>
        </w:rPr>
        <w:t>monthly volume of FNAs received by Veracyte for the Test in such Country during the six (6) months following the date of the occurrence of the Country Regulatory Event being at least fifty percent (50%) less than the average monthly volume for the six (6) months prior to such date.</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6"/>
          <w:szCs w:val="16"/>
          <w:u w:val="single" w:color="auto"/>
          <w:color w:val="auto"/>
        </w:rPr>
        <w:t>Territory B Country-by-Country Termination by Veracyte</w:t>
      </w:r>
      <w:r>
        <w:rPr>
          <w:rFonts w:ascii="Arial" w:cs="Arial" w:eastAsia="Arial" w:hAnsi="Arial"/>
          <w:sz w:val="16"/>
          <w:szCs w:val="16"/>
          <w:color w:val="auto"/>
        </w:rPr>
        <w:t>. In addition to any other remedies that may be available to Veracyte, if at any time</w:t>
      </w:r>
    </w:p>
    <w:p>
      <w:pPr>
        <w:spacing w:after="0" w:line="26" w:lineRule="exact"/>
        <w:rPr>
          <w:sz w:val="20"/>
          <w:szCs w:val="20"/>
          <w:color w:val="auto"/>
        </w:rPr>
      </w:pPr>
    </w:p>
    <w:p>
      <w:pPr>
        <w:ind w:left="640" w:right="100" w:hanging="6"/>
        <w:spacing w:after="0" w:line="291" w:lineRule="auto"/>
        <w:tabs>
          <w:tab w:leader="none" w:pos="878" w:val="left"/>
        </w:tabs>
        <w:numPr>
          <w:ilvl w:val="0"/>
          <w:numId w:val="113"/>
        </w:numPr>
        <w:rPr>
          <w:rFonts w:ascii="Arial" w:cs="Arial" w:eastAsia="Arial" w:hAnsi="Arial"/>
          <w:sz w:val="15"/>
          <w:szCs w:val="15"/>
          <w:color w:val="auto"/>
        </w:rPr>
      </w:pPr>
      <w:r>
        <w:rPr>
          <w:rFonts w:ascii="Arial" w:cs="Arial" w:eastAsia="Arial" w:hAnsi="Arial"/>
          <w:sz w:val="15"/>
          <w:szCs w:val="15"/>
          <w:color w:val="auto"/>
        </w:rPr>
        <w:t>following twelve (12) months after Veracyte receives reimbursement (including Positive Coverage) and any required Marketing Authorization for the Test in a Country in Territory B, should Genzyme fail to use its Commercially Reasonable Efforts to market, promote, and sell the Test in any such Country in Territory B as provided herein (other than due to a force majeure event, a recall, or a supply shortage), or (b) following the Effective Date, should Genzyme fail to continue to employ a direct sales force in any Country listed in Exhibit E, then, in either case, Veracyte will have the right to deliver a “Country Removal Notice” to Genzyme. Such Country Removal Notice shall identify the Country (or Countries) where Veracyte reasonably believes in good faith that Genzyme failed to use its Commercially Reasonable Efforts to market, promote, and sell the Test or fail to continue to employ a direct sales force including sufficient detail for Genzyme to understand and attempt to cure its failure to perform and any information regarding the market opportunity in such Country. Within one hundred twenty (120) business days following receipt of such Country Removal Notice, if Genzyme</w:t>
      </w:r>
    </w:p>
    <w:p>
      <w:pPr>
        <w:spacing w:after="0" w:line="4" w:lineRule="exact"/>
        <w:rPr>
          <w:rFonts w:ascii="Arial" w:cs="Arial" w:eastAsia="Arial" w:hAnsi="Arial"/>
          <w:sz w:val="15"/>
          <w:szCs w:val="15"/>
          <w:color w:val="auto"/>
        </w:rPr>
      </w:pPr>
    </w:p>
    <w:p>
      <w:pPr>
        <w:ind w:left="640" w:right="60" w:hanging="6"/>
        <w:spacing w:after="0" w:line="284" w:lineRule="auto"/>
        <w:tabs>
          <w:tab w:leader="none" w:pos="84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has failed to undertake in good faith its obligations to use its Commercially Reasonable Efforts to market, promote, and sell the Test in the Country that is subject of such Country Removal Notice, and (ii) such failure is not due primarily to any breach of this Agreement by Veracyte, then such Country shall be a Removed Country. For purposes of clarity, Genzyme will not be owed any additional Promotion Fees with regard to such Removed Country based on Net Revenue recognized from such Country on and after the date such Country becomes a Removed Country.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6"/>
          <w:szCs w:val="16"/>
          <w:u w:val="single" w:color="auto"/>
          <w:color w:val="auto"/>
        </w:rPr>
        <w:t>Effects of Expiration or Termination</w:t>
      </w:r>
      <w:r>
        <w:rPr>
          <w:rFonts w:ascii="Arial" w:cs="Arial" w:eastAsia="Arial" w:hAnsi="Arial"/>
          <w:sz w:val="16"/>
          <w:szCs w:val="16"/>
          <w:color w:val="auto"/>
        </w:rPr>
        <w:t>.</w:t>
      </w:r>
    </w:p>
    <w:p>
      <w:pPr>
        <w:spacing w:after="0" w:line="224" w:lineRule="exact"/>
        <w:rPr>
          <w:sz w:val="20"/>
          <w:szCs w:val="20"/>
          <w:color w:val="auto"/>
        </w:rPr>
      </w:pPr>
    </w:p>
    <w:p>
      <w:pPr>
        <w:ind w:left="1300" w:right="40" w:hanging="653"/>
        <w:spacing w:after="0" w:line="263" w:lineRule="auto"/>
        <w:tabs>
          <w:tab w:leader="none" w:pos="1280" w:val="left"/>
        </w:tabs>
        <w:rPr>
          <w:sz w:val="20"/>
          <w:szCs w:val="20"/>
          <w:color w:val="auto"/>
        </w:rPr>
      </w:pPr>
      <w:r>
        <w:rPr>
          <w:rFonts w:ascii="Arial" w:cs="Arial" w:eastAsia="Arial" w:hAnsi="Arial"/>
          <w:sz w:val="17"/>
          <w:szCs w:val="17"/>
          <w:color w:val="auto"/>
        </w:rPr>
        <w:t>11.8.1</w:t>
        <w:tab/>
        <w:t>Notwithstanding anything to the contrary in this or any other agreement between the parties, all rights and obligations of the parties set forth herein that expressly or by their nature survive expiration or termination of this Agreement (or survive termination of the rights and obligations with regards to a particular Country under this Agreement) (including without limitation Sections 1, 3.5, 3.7.3(b) (last sentence), 3.8, 6.2, 6.3, 7, 9.10, 10, 11.8, 12.4, 12.5, 12.7 – 12.9 (inclusive), and 12.10 – 12.13 (inclusive)) shall continue in full force and effect subsequent to and notwithstanding the expiration or termination of this Agreement until they are satisfied or by their nature expired and shall bind the parties and their legal representatives, successors, and permitted assigns.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300" w:right="180" w:hanging="653"/>
        <w:spacing w:after="0" w:line="289" w:lineRule="auto"/>
        <w:tabs>
          <w:tab w:leader="none" w:pos="1280" w:val="left"/>
        </w:tabs>
        <w:rPr>
          <w:sz w:val="20"/>
          <w:szCs w:val="20"/>
          <w:color w:val="auto"/>
        </w:rPr>
      </w:pPr>
      <w:r>
        <w:rPr>
          <w:rFonts w:ascii="Arial" w:cs="Arial" w:eastAsia="Arial" w:hAnsi="Arial"/>
          <w:sz w:val="17"/>
          <w:szCs w:val="17"/>
          <w:color w:val="auto"/>
        </w:rPr>
        <w:t>11.8.2</w:t>
        <w:tab/>
        <w:t>Expiration or termination of this Agreement for any reason shall be without prejudice to the rights and remedies of either party with respect to any antecedent breach of any of the provisions of this Agreement.</w:t>
      </w:r>
    </w:p>
    <w:p>
      <w:pPr>
        <w:spacing w:after="0" w:line="158" w:lineRule="exact"/>
        <w:rPr>
          <w:sz w:val="20"/>
          <w:szCs w:val="20"/>
          <w:color w:val="auto"/>
        </w:rPr>
      </w:pPr>
    </w:p>
    <w:p>
      <w:pPr>
        <w:ind w:left="1300" w:right="20" w:hanging="653"/>
        <w:spacing w:after="0" w:line="308" w:lineRule="auto"/>
        <w:tabs>
          <w:tab w:leader="none" w:pos="1280" w:val="left"/>
        </w:tabs>
        <w:rPr>
          <w:sz w:val="20"/>
          <w:szCs w:val="20"/>
          <w:color w:val="auto"/>
        </w:rPr>
      </w:pPr>
      <w:r>
        <w:rPr>
          <w:rFonts w:ascii="Arial" w:cs="Arial" w:eastAsia="Arial" w:hAnsi="Arial"/>
          <w:sz w:val="17"/>
          <w:szCs w:val="17"/>
          <w:color w:val="auto"/>
        </w:rPr>
        <w:t>11.8.3</w:t>
      </w:r>
      <w:r>
        <w:rPr>
          <w:sz w:val="20"/>
          <w:szCs w:val="20"/>
          <w:color w:val="auto"/>
        </w:rPr>
        <w:tab/>
      </w:r>
      <w:r>
        <w:rPr>
          <w:rFonts w:ascii="Arial" w:cs="Arial" w:eastAsia="Arial" w:hAnsi="Arial"/>
          <w:sz w:val="15"/>
          <w:szCs w:val="15"/>
          <w:color w:val="auto"/>
        </w:rPr>
        <w:t xml:space="preserve">Upon termination of this Agreement, Genzyme shall cooperate in good faith with Veracyte or its designee in transitioning all customer support, promotional and other activities and responsibilities for the Test in the Territories, as set forth hereunder, to Veracyte or its designee as requested by Veracyte. The parties agree to cause such transition to occur as quickly as practicable after the effective date of such termination. After expiration or termination of this Agreement, Veracyte shall retain the right to use any training materials and Ad/Prom Materials related to the Test developed during the Term; </w:t>
      </w:r>
      <w:r>
        <w:rPr>
          <w:rFonts w:ascii="Arial" w:cs="Arial" w:eastAsia="Arial" w:hAnsi="Arial"/>
          <w:sz w:val="15"/>
          <w:szCs w:val="15"/>
          <w:i w:val="1"/>
          <w:iCs w:val="1"/>
          <w:color w:val="auto"/>
        </w:rPr>
        <w:t>provided, however</w:t>
      </w:r>
      <w:r>
        <w:rPr>
          <w:rFonts w:ascii="Arial" w:cs="Arial" w:eastAsia="Arial" w:hAnsi="Arial"/>
          <w:sz w:val="15"/>
          <w:szCs w:val="15"/>
          <w:color w:val="auto"/>
        </w:rPr>
        <w:t>, that Veracyte shall have no further right to use Genzyme’s name or Trademarks.</w:t>
      </w:r>
    </w:p>
    <w:p>
      <w:pPr>
        <w:spacing w:after="0" w:line="152" w:lineRule="exact"/>
        <w:rPr>
          <w:sz w:val="20"/>
          <w:szCs w:val="20"/>
          <w:color w:val="auto"/>
        </w:rPr>
      </w:pPr>
    </w:p>
    <w:p>
      <w:pPr>
        <w:ind w:left="1300" w:right="300" w:hanging="653"/>
        <w:spacing w:after="0" w:line="289" w:lineRule="auto"/>
        <w:tabs>
          <w:tab w:leader="none" w:pos="1280" w:val="left"/>
        </w:tabs>
        <w:rPr>
          <w:sz w:val="20"/>
          <w:szCs w:val="20"/>
          <w:color w:val="auto"/>
        </w:rPr>
      </w:pPr>
      <w:r>
        <w:rPr>
          <w:rFonts w:ascii="Arial" w:cs="Arial" w:eastAsia="Arial" w:hAnsi="Arial"/>
          <w:sz w:val="17"/>
          <w:szCs w:val="17"/>
          <w:color w:val="auto"/>
        </w:rPr>
        <w:t>11.8.4</w:t>
        <w:tab/>
        <w:t>In the event that Veracyte terminates this Agreement solely pursuant to Section 11.5 hereof Genzyme shall receive the following termination fee:</w:t>
      </w:r>
    </w:p>
    <w:p>
      <w:pPr>
        <w:spacing w:after="0" w:line="158" w:lineRule="exact"/>
        <w:rPr>
          <w:sz w:val="20"/>
          <w:szCs w:val="20"/>
          <w:color w:val="auto"/>
        </w:rPr>
      </w:pPr>
    </w:p>
    <w:p>
      <w:pPr>
        <w:ind w:left="1960" w:right="320" w:hanging="648"/>
        <w:spacing w:after="0" w:line="301" w:lineRule="auto"/>
        <w:tabs>
          <w:tab w:leader="none" w:pos="195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fifty percent (50%) of the amount paid by Genzyme to Veracyte pursuant to Section 2.3.1 hereof above if the termination date falls before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Effective Date,</w:t>
      </w:r>
    </w:p>
    <w:p>
      <w:pPr>
        <w:spacing w:after="0" w:line="66" w:lineRule="exact"/>
        <w:rPr>
          <w:rFonts w:ascii="Arial" w:cs="Arial" w:eastAsia="Arial" w:hAnsi="Arial"/>
          <w:sz w:val="17"/>
          <w:szCs w:val="17"/>
          <w:color w:val="auto"/>
        </w:rPr>
      </w:pPr>
    </w:p>
    <w:p>
      <w:pPr>
        <w:ind w:left="1960" w:right="320" w:hanging="648"/>
        <w:spacing w:after="0" w:line="301" w:lineRule="auto"/>
        <w:tabs>
          <w:tab w:leader="none" w:pos="196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forty percent (40%) of the amount paid by Genzyme to Veracyte pursuant to Section 2.3.1 hereof if the termination date falls on or after the second (2</w:t>
      </w:r>
      <w:r>
        <w:rPr>
          <w:rFonts w:ascii="Arial" w:cs="Arial" w:eastAsia="Arial" w:hAnsi="Arial"/>
          <w:sz w:val="22"/>
          <w:szCs w:val="22"/>
          <w:color w:val="auto"/>
          <w:vertAlign w:val="superscript"/>
        </w:rPr>
        <w:t>nd</w:t>
      </w:r>
      <w:r>
        <w:rPr>
          <w:rFonts w:ascii="Arial" w:cs="Arial" w:eastAsia="Arial" w:hAnsi="Arial"/>
          <w:sz w:val="17"/>
          <w:szCs w:val="17"/>
          <w:color w:val="auto"/>
        </w:rPr>
        <w:t>) but before the third (3</w:t>
      </w:r>
      <w:r>
        <w:rPr>
          <w:rFonts w:ascii="Arial" w:cs="Arial" w:eastAsia="Arial" w:hAnsi="Arial"/>
          <w:sz w:val="22"/>
          <w:szCs w:val="22"/>
          <w:color w:val="auto"/>
          <w:vertAlign w:val="superscript"/>
        </w:rPr>
        <w:t>rd</w:t>
      </w:r>
      <w:r>
        <w:rPr>
          <w:rFonts w:ascii="Arial" w:cs="Arial" w:eastAsia="Arial" w:hAnsi="Arial"/>
          <w:sz w:val="17"/>
          <w:szCs w:val="17"/>
          <w:color w:val="auto"/>
        </w:rPr>
        <w:t>) anniversary of the Effective Date or</w:t>
      </w:r>
    </w:p>
    <w:p>
      <w:pPr>
        <w:spacing w:after="0" w:line="66" w:lineRule="exact"/>
        <w:rPr>
          <w:rFonts w:ascii="Arial" w:cs="Arial" w:eastAsia="Arial" w:hAnsi="Arial"/>
          <w:sz w:val="17"/>
          <w:szCs w:val="17"/>
          <w:color w:val="auto"/>
        </w:rPr>
      </w:pPr>
    </w:p>
    <w:p>
      <w:pPr>
        <w:ind w:left="1960" w:right="280" w:hanging="648"/>
        <w:spacing w:after="0" w:line="301" w:lineRule="auto"/>
        <w:tabs>
          <w:tab w:leader="none" w:pos="197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thirty percent (30%) of the amount paid by Genzyme to Veracyte pursuant to Section 2.3.1 hereof if the termination date falls on or after the third (3</w:t>
      </w:r>
      <w:r>
        <w:rPr>
          <w:rFonts w:ascii="Arial" w:cs="Arial" w:eastAsia="Arial" w:hAnsi="Arial"/>
          <w:sz w:val="22"/>
          <w:szCs w:val="22"/>
          <w:color w:val="auto"/>
          <w:vertAlign w:val="superscript"/>
        </w:rPr>
        <w:t>rd</w:t>
      </w:r>
      <w:r>
        <w:rPr>
          <w:rFonts w:ascii="Arial" w:cs="Arial" w:eastAsia="Arial" w:hAnsi="Arial"/>
          <w:sz w:val="17"/>
          <w:szCs w:val="17"/>
          <w:color w:val="auto"/>
        </w:rPr>
        <w:t>)but before the fourth (4</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Effective Date</w:t>
      </w:r>
    </w:p>
    <w:p>
      <w:pPr>
        <w:spacing w:after="0" w:line="67" w:lineRule="exact"/>
        <w:rPr>
          <w:sz w:val="20"/>
          <w:szCs w:val="20"/>
          <w:color w:val="auto"/>
        </w:rPr>
      </w:pPr>
    </w:p>
    <w:p>
      <w:pPr>
        <w:ind w:left="1320" w:right="60" w:firstLine="3"/>
        <w:spacing w:after="0" w:line="283" w:lineRule="auto"/>
        <w:rPr>
          <w:sz w:val="20"/>
          <w:szCs w:val="20"/>
          <w:color w:val="auto"/>
        </w:rPr>
      </w:pPr>
      <w:r>
        <w:rPr>
          <w:rFonts w:ascii="Arial" w:cs="Arial" w:eastAsia="Arial" w:hAnsi="Arial"/>
          <w:sz w:val="16"/>
          <w:szCs w:val="16"/>
          <w:color w:val="auto"/>
        </w:rPr>
        <w:t>(such amount, the “Termination Fee”). Veracyte shall pay Genzyme the total termination fee as follows: fifty percent (50%) shall be paid on or before the date on which the termination is effective, and the remaining fifty percent (50%) shall be paid within six (6) months after such date. For the avoidance of doubt, any termination fee owed to Genzyme pursuant to this Section 11.8.4 shall be payable in addition to any other payments or awards to which Genzyme is legally entitled. This Section 11.8.4 shall not be construed as a limitation upon any legal or equitable remedies that Genzyme or Veracyte may elect to pursue. For the avoidance of doubt, any Termination Fee owed to Genzyme pursuant to this section shall be offset by any other payments or awards to which Veracyte is legally entitled from Genzyme.</w:t>
      </w:r>
    </w:p>
    <w:p>
      <w:pPr>
        <w:spacing w:after="0" w:line="167" w:lineRule="exact"/>
        <w:rPr>
          <w:sz w:val="20"/>
          <w:szCs w:val="20"/>
          <w:color w:val="auto"/>
        </w:rPr>
      </w:pPr>
    </w:p>
    <w:p>
      <w:pPr>
        <w:jc w:val="both"/>
        <w:ind w:left="640" w:hanging="653"/>
        <w:spacing w:after="0" w:line="273" w:lineRule="auto"/>
        <w:tabs>
          <w:tab w:leader="none" w:pos="62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of any dispute arising between the parties relating to, arising out of, or in any way connected with this Agreement or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term or condition hereof, or the performance by either Party of its obligations hereunder, such dispute shall be referred to the Steering Committee and the parties shall follow the dispute resolution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procedures set forth in Section 5.3 hereof.</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 MISCELLANEOUS PROVISIONS</w:t>
      </w:r>
    </w:p>
    <w:p>
      <w:pPr>
        <w:spacing w:after="0" w:line="230" w:lineRule="exact"/>
        <w:rPr>
          <w:sz w:val="20"/>
          <w:szCs w:val="20"/>
          <w:color w:val="auto"/>
        </w:rPr>
      </w:pPr>
    </w:p>
    <w:p>
      <w:pPr>
        <w:ind w:left="660" w:right="160" w:hanging="653"/>
        <w:spacing w:after="0" w:line="273" w:lineRule="auto"/>
        <w:tabs>
          <w:tab w:leader="none" w:pos="6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u w:val="single" w:color="auto"/>
          <w:color w:val="auto"/>
        </w:rPr>
        <w:t>Independent Status of the Parties</w:t>
      </w:r>
      <w:r>
        <w:rPr>
          <w:rFonts w:ascii="Arial" w:cs="Arial" w:eastAsia="Arial" w:hAnsi="Arial"/>
          <w:sz w:val="17"/>
          <w:szCs w:val="17"/>
          <w:color w:val="auto"/>
        </w:rPr>
        <w:t>. Veracyte and Genzyme are independent entities each acting in its own name of for its own account. Without explicit</w:t>
      </w:r>
      <w:r>
        <w:rPr>
          <w:rFonts w:ascii="Arial" w:cs="Arial" w:eastAsia="Arial" w:hAnsi="Arial"/>
          <w:sz w:val="17"/>
          <w:szCs w:val="17"/>
          <w:u w:val="single" w:color="auto"/>
          <w:color w:val="auto"/>
        </w:rPr>
        <w:t xml:space="preserve"> </w:t>
      </w:r>
      <w:r>
        <w:rPr>
          <w:rFonts w:ascii="Arial" w:cs="Arial" w:eastAsia="Arial" w:hAnsi="Arial"/>
          <w:sz w:val="17"/>
          <w:szCs w:val="17"/>
          <w:color w:val="auto"/>
        </w:rPr>
        <w:t>prior written authorization, neither party shall have the authority to bind, commit or incur any liability on behalf of the other party or to otherwise act in any way as an agency, representative or partner of the other party.</w:t>
      </w:r>
    </w:p>
    <w:p>
      <w:pPr>
        <w:spacing w:after="0" w:line="172" w:lineRule="exact"/>
        <w:rPr>
          <w:sz w:val="20"/>
          <w:szCs w:val="20"/>
          <w:color w:val="auto"/>
        </w:rPr>
      </w:pPr>
    </w:p>
    <w:p>
      <w:pPr>
        <w:ind w:left="660" w:right="80" w:hanging="653"/>
        <w:spacing w:after="0" w:line="326" w:lineRule="auto"/>
        <w:tabs>
          <w:tab w:leader="none" w:pos="64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shall not be assigned or otherwise transferred by either party without the prior written consent of the other party,</w:t>
      </w:r>
      <w:r>
        <w:rPr>
          <w:rFonts w:ascii="Arial" w:cs="Arial" w:eastAsia="Arial" w:hAnsi="Arial"/>
          <w:sz w:val="15"/>
          <w:szCs w:val="15"/>
          <w:u w:val="single" w:color="auto"/>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u w:val="single" w:color="auto"/>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either party may assign this Agreement to any of its Affiliates or to a successor to the portion of its business related to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(whether by merger, a sale or transfer of all or substantially all of its assets relating to this Agreement, a sale of its capital stock, or otherwise), including,</w:t>
      </w:r>
    </w:p>
    <w:p>
      <w:pPr>
        <w:sectPr>
          <w:pgSz w:w="11900" w:h="16838" w:orient="portrait"/>
          <w:cols w:equalWidth="0" w:num="1">
            <w:col w:w="11420"/>
          </w:cols>
          <w:pgMar w:left="240" w:top="127" w:right="239" w:bottom="0" w:gutter="0" w:footer="0" w:header="0"/>
        </w:sectPr>
      </w:pPr>
    </w:p>
    <w:bookmarkStart w:id="200" w:name="page201"/>
    <w:bookmarkEnd w:id="200"/>
    <w:p>
      <w:pPr>
        <w:spacing w:after="0" w:line="79" w:lineRule="exact"/>
        <w:rPr>
          <w:sz w:val="20"/>
          <w:szCs w:val="20"/>
          <w:color w:val="auto"/>
        </w:rPr>
      </w:pPr>
    </w:p>
    <w:p>
      <w:pPr>
        <w:ind w:left="660" w:right="80"/>
        <w:spacing w:after="0" w:line="360" w:lineRule="auto"/>
        <w:rPr>
          <w:sz w:val="20"/>
          <w:szCs w:val="20"/>
          <w:color w:val="auto"/>
        </w:rPr>
      </w:pPr>
      <w:r>
        <w:rPr>
          <w:rFonts w:ascii="Arial" w:cs="Arial" w:eastAsia="Arial" w:hAnsi="Arial"/>
          <w:sz w:val="15"/>
          <w:szCs w:val="15"/>
          <w:color w:val="auto"/>
        </w:rPr>
        <w:t>in the case of Genzyme, the transfer to an Affiliate of the entire sales and marketing organization used to promote, market and detail Thyrogen. Subject to the foregoing, this Agreement shall be binding upon and inure to the benefit of the parties hereto and their respective permitted successors and assigns.</w:t>
      </w:r>
    </w:p>
    <w:p>
      <w:pPr>
        <w:spacing w:after="0" w:line="112" w:lineRule="exact"/>
        <w:rPr>
          <w:sz w:val="20"/>
          <w:szCs w:val="20"/>
          <w:color w:val="auto"/>
        </w:rPr>
      </w:pPr>
    </w:p>
    <w:p>
      <w:pPr>
        <w:ind w:left="660" w:right="100" w:hanging="653"/>
        <w:spacing w:after="0" w:line="283" w:lineRule="auto"/>
        <w:tabs>
          <w:tab w:leader="none" w:pos="64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 The performance of either party under this Agreement may be suspended to the extent and for the period of time that such party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prevented or delayed from fulfilling its obligations due to causes beyond its reasonable control (including, without limitation, acts of God, acts of civil or military authority including governmental priorities, strikes or other labour disturbances, fires, floods, epidemics, wars, terrorism, or riots);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non-performing party uses commercially reasonable efforts to avoid or remove such causes of non-performance and continues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hereunder with reasonable dispatch as soon as such causes are removed. After thirty (30) consecutive calendar days of suspension on the part of one party, the other party may, at its sole discretion, terminate this Agreement without further liability.</w:t>
      </w:r>
    </w:p>
    <w:p>
      <w:pPr>
        <w:spacing w:after="0" w:line="167" w:lineRule="exact"/>
        <w:rPr>
          <w:sz w:val="20"/>
          <w:szCs w:val="20"/>
          <w:color w:val="auto"/>
        </w:rPr>
      </w:pPr>
    </w:p>
    <w:p>
      <w:pPr>
        <w:ind w:left="660" w:right="60" w:hanging="653"/>
        <w:spacing w:after="0" w:line="285" w:lineRule="auto"/>
        <w:tabs>
          <w:tab w:leader="none" w:pos="64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To the extent any clause, term or provision of this Agreement shall be judged to be invalid or unenforceable for any reason whatsoever,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invalidity or unenforceability shall not affect the validity or enforceability of the balance of such clause, term or provision or any other clause, term or provision hereof. The remaining provisions of this Agreement will remain binding and enforceable, and shall be interpreted so as best to reasonably effect the intent of the parties. The parties further agree that any such invalid or unenforceable provisions will be deemed replaced with valid and enforceable provisions that achieve, to the extent possible, the business purposes and intent of such invalid and unenforceable provisions.</w:t>
      </w:r>
    </w:p>
    <w:p>
      <w:pPr>
        <w:spacing w:after="0" w:line="166" w:lineRule="exact"/>
        <w:rPr>
          <w:sz w:val="20"/>
          <w:szCs w:val="20"/>
          <w:color w:val="auto"/>
        </w:rPr>
      </w:pPr>
    </w:p>
    <w:p>
      <w:pPr>
        <w:ind w:left="660" w:right="120" w:hanging="653"/>
        <w:spacing w:after="0" w:line="289" w:lineRule="auto"/>
        <w:tabs>
          <w:tab w:leader="none" w:pos="64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 This Agreement shall be governed by and construed in accordance with the laws of the state of New York, including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matters of construction, validity, performance and enforcement.</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5"/>
          <w:szCs w:val="15"/>
          <w:u w:val="single" w:color="auto"/>
          <w:color w:val="auto"/>
        </w:rPr>
        <w:t>Relationship of Parties</w:t>
      </w:r>
      <w:r>
        <w:rPr>
          <w:rFonts w:ascii="Arial" w:cs="Arial" w:eastAsia="Arial" w:hAnsi="Arial"/>
          <w:sz w:val="15"/>
          <w:szCs w:val="15"/>
          <w:color w:val="auto"/>
        </w:rPr>
        <w:t>. The parties hereto are acting and performing as independent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right="160"/>
        <w:spacing w:after="0" w:line="273" w:lineRule="auto"/>
        <w:rPr>
          <w:sz w:val="20"/>
          <w:szCs w:val="20"/>
          <w:color w:val="auto"/>
        </w:rPr>
      </w:pPr>
      <w:r>
        <w:rPr>
          <w:rFonts w:ascii="Arial" w:cs="Arial" w:eastAsia="Arial" w:hAnsi="Arial"/>
          <w:sz w:val="17"/>
          <w:szCs w:val="17"/>
          <w:color w:val="auto"/>
        </w:rPr>
        <w:t>contractors, and nothing in this Agreement creates the relationship of partnership, joint venture, sales agency or principal and agent. Neither party is the agent of the other, and neither party may hold itself out as such to any other person. All financial obligations associated with each party’s business shall be the sole responsibility of such party.</w:t>
      </w:r>
    </w:p>
    <w:p>
      <w:pPr>
        <w:spacing w:after="0" w:line="172" w:lineRule="exact"/>
        <w:rPr>
          <w:sz w:val="20"/>
          <w:szCs w:val="20"/>
          <w:color w:val="auto"/>
        </w:rPr>
      </w:pPr>
    </w:p>
    <w:p>
      <w:pPr>
        <w:ind w:left="660" w:right="40" w:hanging="653"/>
        <w:spacing w:after="0" w:line="261" w:lineRule="auto"/>
        <w:tabs>
          <w:tab w:leader="none" w:pos="64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7"/>
          <w:szCs w:val="17"/>
          <w:u w:val="single" w:color="auto"/>
          <w:color w:val="auto"/>
        </w:rPr>
        <w:t>Public Announcements</w:t>
      </w:r>
      <w:r>
        <w:rPr>
          <w:rFonts w:ascii="Arial" w:cs="Arial" w:eastAsia="Arial" w:hAnsi="Arial"/>
          <w:sz w:val="17"/>
          <w:szCs w:val="17"/>
          <w:color w:val="auto"/>
        </w:rPr>
        <w:t>. The form and content of any public announcement to be made by one party regarding the execution or existence of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or the subject matter contained herein, shall be subject to the prior written consent of the other party (which consent shall not be unreasonably withheld, delayed or conditioned), except as may be required by applicable law (including, without limitation, disclosure requirements of the SEC, NYSE, or any other stock exchange or NASDAQ), in which case the party making the disclosure shall give the other party reasonable advance notice and review of any such disclosure. Following the dissemination of such initial public announcement, neither party (nor any of their Affiliates) shall issue any press release or make any public announcement with respect to this Agreement and the transactions contemplated hereby without prior consultation with the other party, except as may be required by applicable law upon the advice of counsel. Each party shall provide the other party with a reasonable opportunity to review the release or other public announcement prior to disclosure. Notwithstanding the foregoing, each the parties may each disclose to third parties the information contained in any press release that was previously approved by both of the parties without the need for further approval by the other party.</w:t>
      </w:r>
    </w:p>
    <w:p>
      <w:pPr>
        <w:spacing w:after="0" w:line="181" w:lineRule="exact"/>
        <w:rPr>
          <w:sz w:val="20"/>
          <w:szCs w:val="20"/>
          <w:color w:val="auto"/>
        </w:rPr>
      </w:pPr>
    </w:p>
    <w:p>
      <w:pPr>
        <w:ind w:left="660" w:right="220" w:hanging="653"/>
        <w:spacing w:after="0" w:line="273" w:lineRule="auto"/>
        <w:tabs>
          <w:tab w:leader="none" w:pos="64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7"/>
          <w:szCs w:val="17"/>
          <w:u w:val="single" w:color="auto"/>
          <w:color w:val="auto"/>
        </w:rPr>
        <w:t>No Implied Licenses</w:t>
      </w:r>
      <w:r>
        <w:rPr>
          <w:rFonts w:ascii="Arial" w:cs="Arial" w:eastAsia="Arial" w:hAnsi="Arial"/>
          <w:sz w:val="17"/>
          <w:szCs w:val="17"/>
          <w:color w:val="auto"/>
        </w:rPr>
        <w:t>. Each of the parties hereby acknowledges and agrees that, except as otherwise explicitly provided in this Agreement, it does not</w:t>
      </w:r>
      <w:r>
        <w:rPr>
          <w:rFonts w:ascii="Arial" w:cs="Arial" w:eastAsia="Arial" w:hAnsi="Arial"/>
          <w:sz w:val="17"/>
          <w:szCs w:val="17"/>
          <w:u w:val="single" w:color="auto"/>
          <w:color w:val="auto"/>
        </w:rPr>
        <w:t xml:space="preserve"> </w:t>
      </w:r>
      <w:r>
        <w:rPr>
          <w:rFonts w:ascii="Arial" w:cs="Arial" w:eastAsia="Arial" w:hAnsi="Arial"/>
          <w:sz w:val="17"/>
          <w:szCs w:val="17"/>
          <w:color w:val="auto"/>
        </w:rPr>
        <w:t>have, assert or acquire any right, title or interest in or to any Intellectual Property Rights or other proprietary rights of the other party or its Affiliates by entering into this Agreement.</w:t>
      </w:r>
    </w:p>
    <w:p>
      <w:pPr>
        <w:spacing w:after="0" w:line="172" w:lineRule="exact"/>
        <w:rPr>
          <w:sz w:val="20"/>
          <w:szCs w:val="20"/>
          <w:color w:val="auto"/>
        </w:rPr>
      </w:pPr>
    </w:p>
    <w:p>
      <w:pPr>
        <w:ind w:left="660" w:right="160" w:hanging="653"/>
        <w:spacing w:after="0" w:line="273" w:lineRule="auto"/>
        <w:tabs>
          <w:tab w:leader="none" w:pos="64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All notices hereunder shall be delivered as follows: (a) personally; (b) by facsimile and confirmed by either first class mail (postage prepaid)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overnight courier service; (c) by registered or certified mail (postage prepaid); or (d) by overnight courier service, to the following addresses of the respective parties: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ind w:left="320"/>
              <w:spacing w:after="0"/>
              <w:rPr>
                <w:sz w:val="20"/>
                <w:szCs w:val="20"/>
                <w:color w:val="auto"/>
              </w:rPr>
            </w:pPr>
            <w:r>
              <w:rPr>
                <w:rFonts w:ascii="Arial" w:cs="Arial" w:eastAsia="Arial" w:hAnsi="Arial"/>
                <w:sz w:val="17"/>
                <w:szCs w:val="17"/>
                <w:b w:val="1"/>
                <w:bCs w:val="1"/>
                <w:color w:val="auto"/>
              </w:rPr>
              <w:t>If to Genzyme:</w:t>
            </w:r>
          </w:p>
        </w:tc>
        <w:tc>
          <w:tcPr>
            <w:tcW w:w="6780" w:type="dxa"/>
            <w:vAlign w:val="bottom"/>
          </w:tcPr>
          <w:p>
            <w:pPr>
              <w:ind w:left="2100"/>
              <w:spacing w:after="0"/>
              <w:rPr>
                <w:sz w:val="20"/>
                <w:szCs w:val="20"/>
                <w:color w:val="auto"/>
              </w:rPr>
            </w:pPr>
            <w:r>
              <w:rPr>
                <w:rFonts w:ascii="Arial" w:cs="Arial" w:eastAsia="Arial" w:hAnsi="Arial"/>
                <w:sz w:val="17"/>
                <w:szCs w:val="17"/>
                <w:b w:val="1"/>
                <w:bCs w:val="1"/>
                <w:color w:val="auto"/>
              </w:rPr>
              <w:t>With a copy to:</w:t>
            </w:r>
          </w:p>
        </w:tc>
      </w:tr>
      <w:tr>
        <w:trPr>
          <w:trHeight w:val="408"/>
        </w:trPr>
        <w:tc>
          <w:tcPr>
            <w:tcW w:w="4680" w:type="dxa"/>
            <w:vAlign w:val="bottom"/>
          </w:tcPr>
          <w:p>
            <w:pPr>
              <w:ind w:left="320"/>
              <w:spacing w:after="0"/>
              <w:rPr>
                <w:sz w:val="20"/>
                <w:szCs w:val="20"/>
                <w:color w:val="auto"/>
              </w:rPr>
            </w:pPr>
            <w:r>
              <w:rPr>
                <w:rFonts w:ascii="Arial" w:cs="Arial" w:eastAsia="Arial" w:hAnsi="Arial"/>
                <w:sz w:val="17"/>
                <w:szCs w:val="17"/>
                <w:color w:val="auto"/>
              </w:rPr>
              <w:t>Genzyme Corporation</w:t>
            </w:r>
          </w:p>
        </w:tc>
        <w:tc>
          <w:tcPr>
            <w:tcW w:w="6780" w:type="dxa"/>
            <w:vAlign w:val="bottom"/>
          </w:tcPr>
          <w:p>
            <w:pPr>
              <w:ind w:left="2100"/>
              <w:spacing w:after="0"/>
              <w:rPr>
                <w:sz w:val="20"/>
                <w:szCs w:val="20"/>
                <w:color w:val="auto"/>
              </w:rPr>
            </w:pPr>
            <w:r>
              <w:rPr>
                <w:rFonts w:ascii="Arial" w:cs="Arial" w:eastAsia="Arial" w:hAnsi="Arial"/>
                <w:sz w:val="17"/>
                <w:szCs w:val="17"/>
                <w:color w:val="auto"/>
              </w:rPr>
              <w:t>Genzyme Corporation</w:t>
            </w:r>
          </w:p>
        </w:tc>
      </w:tr>
      <w:tr>
        <w:trPr>
          <w:trHeight w:val="210"/>
        </w:trPr>
        <w:tc>
          <w:tcPr>
            <w:tcW w:w="4680" w:type="dxa"/>
            <w:vAlign w:val="bottom"/>
          </w:tcPr>
          <w:p>
            <w:pPr>
              <w:ind w:left="320"/>
              <w:spacing w:after="0"/>
              <w:rPr>
                <w:sz w:val="20"/>
                <w:szCs w:val="20"/>
                <w:color w:val="auto"/>
              </w:rPr>
            </w:pPr>
            <w:r>
              <w:rPr>
                <w:rFonts w:ascii="Arial" w:cs="Arial" w:eastAsia="Arial" w:hAnsi="Arial"/>
                <w:sz w:val="17"/>
                <w:szCs w:val="17"/>
                <w:color w:val="auto"/>
              </w:rPr>
              <w:t>500 Kendall Street</w:t>
            </w:r>
          </w:p>
        </w:tc>
        <w:tc>
          <w:tcPr>
            <w:tcW w:w="6780" w:type="dxa"/>
            <w:vAlign w:val="bottom"/>
          </w:tcPr>
          <w:p>
            <w:pPr>
              <w:ind w:left="2100"/>
              <w:spacing w:after="0"/>
              <w:rPr>
                <w:sz w:val="20"/>
                <w:szCs w:val="20"/>
                <w:color w:val="auto"/>
              </w:rPr>
            </w:pPr>
            <w:r>
              <w:rPr>
                <w:rFonts w:ascii="Arial" w:cs="Arial" w:eastAsia="Arial" w:hAnsi="Arial"/>
                <w:sz w:val="17"/>
                <w:szCs w:val="17"/>
                <w:color w:val="auto"/>
              </w:rPr>
              <w:t>500 Kendall Street</w:t>
            </w:r>
          </w:p>
        </w:tc>
      </w:tr>
      <w:tr>
        <w:trPr>
          <w:trHeight w:val="210"/>
        </w:trPr>
        <w:tc>
          <w:tcPr>
            <w:tcW w:w="4680" w:type="dxa"/>
            <w:vAlign w:val="bottom"/>
          </w:tcPr>
          <w:p>
            <w:pPr>
              <w:ind w:left="320"/>
              <w:spacing w:after="0"/>
              <w:rPr>
                <w:sz w:val="20"/>
                <w:szCs w:val="20"/>
                <w:color w:val="auto"/>
              </w:rPr>
            </w:pPr>
            <w:r>
              <w:rPr>
                <w:rFonts w:ascii="Arial" w:cs="Arial" w:eastAsia="Arial" w:hAnsi="Arial"/>
                <w:sz w:val="17"/>
                <w:szCs w:val="17"/>
                <w:color w:val="auto"/>
              </w:rPr>
              <w:t>Cambridge, MA 02142</w:t>
            </w:r>
          </w:p>
        </w:tc>
        <w:tc>
          <w:tcPr>
            <w:tcW w:w="6780" w:type="dxa"/>
            <w:vAlign w:val="bottom"/>
          </w:tcPr>
          <w:p>
            <w:pPr>
              <w:ind w:left="2100"/>
              <w:spacing w:after="0"/>
              <w:rPr>
                <w:sz w:val="20"/>
                <w:szCs w:val="20"/>
                <w:color w:val="auto"/>
              </w:rPr>
            </w:pPr>
            <w:r>
              <w:rPr>
                <w:rFonts w:ascii="Arial" w:cs="Arial" w:eastAsia="Arial" w:hAnsi="Arial"/>
                <w:sz w:val="17"/>
                <w:szCs w:val="17"/>
                <w:color w:val="auto"/>
              </w:rPr>
              <w:t>Cambridge, MA 02142</w:t>
            </w:r>
          </w:p>
        </w:tc>
      </w:tr>
      <w:tr>
        <w:trPr>
          <w:trHeight w:val="210"/>
        </w:trPr>
        <w:tc>
          <w:tcPr>
            <w:tcW w:w="4680" w:type="dxa"/>
            <w:vAlign w:val="bottom"/>
          </w:tcPr>
          <w:p>
            <w:pPr>
              <w:ind w:left="320"/>
              <w:spacing w:after="0"/>
              <w:rPr>
                <w:sz w:val="20"/>
                <w:szCs w:val="20"/>
                <w:color w:val="auto"/>
              </w:rPr>
            </w:pPr>
            <w:r>
              <w:rPr>
                <w:rFonts w:ascii="Arial" w:cs="Arial" w:eastAsia="Arial" w:hAnsi="Arial"/>
                <w:sz w:val="17"/>
                <w:szCs w:val="17"/>
                <w:color w:val="auto"/>
              </w:rPr>
              <w:t>Attention: General Manager, Endocrine Business</w:t>
            </w:r>
          </w:p>
        </w:tc>
        <w:tc>
          <w:tcPr>
            <w:tcW w:w="6780" w:type="dxa"/>
            <w:vAlign w:val="bottom"/>
          </w:tcPr>
          <w:p>
            <w:pPr>
              <w:ind w:left="2100"/>
              <w:spacing w:after="0"/>
              <w:rPr>
                <w:sz w:val="20"/>
                <w:szCs w:val="20"/>
                <w:color w:val="auto"/>
              </w:rPr>
            </w:pPr>
            <w:r>
              <w:rPr>
                <w:rFonts w:ascii="Arial" w:cs="Arial" w:eastAsia="Arial" w:hAnsi="Arial"/>
                <w:sz w:val="17"/>
                <w:szCs w:val="17"/>
                <w:color w:val="auto"/>
              </w:rPr>
              <w:t>Attention: General Counsel</w:t>
            </w:r>
          </w:p>
        </w:tc>
      </w:tr>
      <w:tr>
        <w:trPr>
          <w:trHeight w:val="222"/>
        </w:trPr>
        <w:tc>
          <w:tcPr>
            <w:tcW w:w="4680" w:type="dxa"/>
            <w:vAlign w:val="bottom"/>
          </w:tcPr>
          <w:p>
            <w:pPr>
              <w:ind w:left="320"/>
              <w:spacing w:after="0"/>
              <w:rPr>
                <w:sz w:val="20"/>
                <w:szCs w:val="20"/>
                <w:color w:val="auto"/>
              </w:rPr>
            </w:pPr>
            <w:r>
              <w:rPr>
                <w:rFonts w:ascii="Arial" w:cs="Arial" w:eastAsia="Arial" w:hAnsi="Arial"/>
                <w:sz w:val="17"/>
                <w:szCs w:val="17"/>
                <w:color w:val="auto"/>
              </w:rPr>
              <w:t>Facsimile: (617) 761-8667</w:t>
            </w:r>
          </w:p>
        </w:tc>
        <w:tc>
          <w:tcPr>
            <w:tcW w:w="6780" w:type="dxa"/>
            <w:vAlign w:val="bottom"/>
          </w:tcPr>
          <w:p>
            <w:pPr>
              <w:ind w:left="2100"/>
              <w:spacing w:after="0"/>
              <w:rPr>
                <w:sz w:val="20"/>
                <w:szCs w:val="20"/>
                <w:color w:val="auto"/>
              </w:rPr>
            </w:pPr>
            <w:r>
              <w:rPr>
                <w:rFonts w:ascii="Arial" w:cs="Arial" w:eastAsia="Arial" w:hAnsi="Arial"/>
                <w:sz w:val="17"/>
                <w:szCs w:val="17"/>
                <w:color w:val="auto"/>
              </w:rPr>
              <w:t>Facsimile: (617) 252-7553</w:t>
            </w:r>
          </w:p>
        </w:tc>
      </w:tr>
      <w:tr>
        <w:trPr>
          <w:trHeight w:val="419"/>
        </w:trPr>
        <w:tc>
          <w:tcPr>
            <w:tcW w:w="4680" w:type="dxa"/>
            <w:vAlign w:val="bottom"/>
          </w:tcPr>
          <w:p>
            <w:pPr>
              <w:spacing w:after="0"/>
              <w:rPr>
                <w:sz w:val="24"/>
                <w:szCs w:val="24"/>
                <w:color w:val="auto"/>
              </w:rPr>
            </w:pPr>
          </w:p>
        </w:tc>
        <w:tc>
          <w:tcPr>
            <w:tcW w:w="6780" w:type="dxa"/>
            <w:vAlign w:val="bottom"/>
          </w:tcPr>
          <w:p>
            <w:pPr>
              <w:ind w:left="940"/>
              <w:spacing w:after="0"/>
              <w:rPr>
                <w:sz w:val="20"/>
                <w:szCs w:val="20"/>
                <w:color w:val="auto"/>
              </w:rPr>
            </w:pPr>
            <w:r>
              <w:rPr>
                <w:rFonts w:ascii="Arial" w:cs="Arial" w:eastAsia="Arial" w:hAnsi="Arial"/>
                <w:sz w:val="17"/>
                <w:szCs w:val="17"/>
                <w:color w:val="auto"/>
              </w:rPr>
              <w:t>43</w:t>
            </w:r>
          </w:p>
        </w:tc>
      </w:tr>
      <w:tr>
        <w:trPr>
          <w:trHeight w:val="128"/>
        </w:trPr>
        <w:tc>
          <w:tcPr>
            <w:tcW w:w="4680" w:type="dxa"/>
            <w:vAlign w:val="bottom"/>
            <w:tcBorders>
              <w:bottom w:val="single" w:sz="8" w:color="010101"/>
            </w:tcBorders>
          </w:tcPr>
          <w:p>
            <w:pPr>
              <w:spacing w:after="0"/>
              <w:rPr>
                <w:sz w:val="11"/>
                <w:szCs w:val="11"/>
                <w:color w:val="auto"/>
              </w:rPr>
            </w:pPr>
          </w:p>
        </w:tc>
        <w:tc>
          <w:tcPr>
            <w:tcW w:w="67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17" w:orient="portrait"/>
          <w:cols w:equalWidth="0" w:num="1">
            <w:col w:w="11460"/>
          </w:cols>
          <w:pgMar w:left="240" w:top="127" w:right="199"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If to Veracyte: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 copy to:</w:t>
      </w:r>
    </w:p>
    <w:p>
      <w:pPr>
        <w:spacing w:after="0" w:line="200" w:lineRule="exact"/>
        <w:rPr>
          <w:sz w:val="20"/>
          <w:szCs w:val="20"/>
          <w:color w:val="auto"/>
        </w:rPr>
      </w:pPr>
    </w:p>
    <w:p>
      <w:pPr>
        <w:sectPr>
          <w:pgSz w:w="11900" w:h="16917" w:orient="portrait"/>
          <w:cols w:equalWidth="0" w:num="2">
            <w:col w:w="6060" w:space="720"/>
            <w:col w:w="4680"/>
          </w:cols>
          <w:pgMar w:left="240" w:top="127" w:right="199" w:bottom="0" w:gutter="0" w:footer="0" w:header="0"/>
          <w:type w:val="continuous"/>
        </w:sectPr>
      </w:pPr>
    </w:p>
    <w:p>
      <w:pPr>
        <w:spacing w:after="0" w:line="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South San Francisco, CA 94080</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Attention: Chief Executive Officer</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Facsimile: (650) 243-6301</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7000 Shoreline Court, Suite 250</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South San Francisco, CA 94080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Facsimile: (650) 243-6301</w:t>
      </w:r>
    </w:p>
    <w:p>
      <w:pPr>
        <w:spacing w:after="0" w:line="200" w:lineRule="exact"/>
        <w:rPr>
          <w:sz w:val="20"/>
          <w:szCs w:val="20"/>
          <w:color w:val="auto"/>
        </w:rPr>
      </w:pPr>
    </w:p>
    <w:p>
      <w:pPr>
        <w:sectPr>
          <w:pgSz w:w="11900" w:h="16917" w:orient="portrait"/>
          <w:cols w:equalWidth="0" w:num="2">
            <w:col w:w="6060" w:space="720"/>
            <w:col w:w="4680"/>
          </w:cols>
          <w:pgMar w:left="240" w:top="127" w:right="199" w:bottom="0" w:gutter="0" w:footer="0" w:header="0"/>
          <w:type w:val="continuous"/>
        </w:sectPr>
      </w:pPr>
    </w:p>
    <w:p>
      <w:pPr>
        <w:spacing w:after="0" w:line="12" w:lineRule="exact"/>
        <w:rPr>
          <w:sz w:val="20"/>
          <w:szCs w:val="20"/>
          <w:color w:val="auto"/>
        </w:rPr>
      </w:pPr>
    </w:p>
    <w:p>
      <w:pPr>
        <w:jc w:val="both"/>
        <w:ind w:left="640" w:right="520"/>
        <w:spacing w:after="0" w:line="273" w:lineRule="auto"/>
        <w:rPr>
          <w:sz w:val="20"/>
          <w:szCs w:val="20"/>
          <w:color w:val="auto"/>
        </w:rPr>
      </w:pPr>
      <w:r>
        <w:rPr>
          <w:rFonts w:ascii="Arial" w:cs="Arial" w:eastAsia="Arial" w:hAnsi="Arial"/>
          <w:sz w:val="17"/>
          <w:szCs w:val="17"/>
          <w:color w:val="auto"/>
        </w:rPr>
        <w:t>Notices shall be effective upon receipt if personally delivered or delivered by facsimile and confirmed by first class mail, on the third business day following the date of registered or certified mailing, or on the first business day following the date of delivery to the overnight courier. A party may change its address listed above by written notice to the other party.</w:t>
      </w:r>
    </w:p>
    <w:p>
      <w:pPr>
        <w:spacing w:after="0" w:line="172" w:lineRule="exact"/>
        <w:rPr>
          <w:sz w:val="20"/>
          <w:szCs w:val="20"/>
          <w:color w:val="auto"/>
        </w:rPr>
      </w:pPr>
    </w:p>
    <w:p>
      <w:pPr>
        <w:ind w:left="620" w:right="180" w:hanging="628"/>
        <w:spacing w:after="0" w:line="273" w:lineRule="auto"/>
        <w:tabs>
          <w:tab w:leader="none" w:pos="600" w:val="left"/>
        </w:tabs>
        <w:rPr>
          <w:sz w:val="20"/>
          <w:szCs w:val="20"/>
          <w:color w:val="auto"/>
        </w:rPr>
      </w:pPr>
      <w:r>
        <w:rPr>
          <w:rFonts w:ascii="Arial" w:cs="Arial" w:eastAsia="Arial" w:hAnsi="Arial"/>
          <w:sz w:val="17"/>
          <w:szCs w:val="17"/>
          <w:color w:val="auto"/>
        </w:rPr>
        <w:t>12.10</w:t>
      </w:r>
      <w:r>
        <w:rPr>
          <w:sz w:val="20"/>
          <w:szCs w:val="20"/>
          <w:color w:val="auto"/>
        </w:rPr>
        <w:tab/>
      </w:r>
      <w:r>
        <w:rPr>
          <w:rFonts w:ascii="Arial" w:cs="Arial" w:eastAsia="Arial" w:hAnsi="Arial"/>
          <w:sz w:val="17"/>
          <w:szCs w:val="17"/>
          <w:u w:val="single" w:color="auto"/>
          <w:color w:val="auto"/>
        </w:rPr>
        <w:t>Exchange Controls</w:t>
      </w:r>
      <w:r>
        <w:rPr>
          <w:rFonts w:ascii="Arial" w:cs="Arial" w:eastAsia="Arial" w:hAnsi="Arial"/>
          <w:sz w:val="17"/>
          <w:szCs w:val="17"/>
          <w:color w:val="auto"/>
        </w:rPr>
        <w:t>. All payments due hereunder shall be paid in United States dollars. If at any time legal restrictions prevent the prompt remittance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 or all payments with respect to any Country in which the Test is sold, payment shall be made through such lawful means or methods as the parties may determine in good faith.</w:t>
      </w:r>
    </w:p>
    <w:p>
      <w:pPr>
        <w:spacing w:after="0" w:line="172" w:lineRule="exact"/>
        <w:rPr>
          <w:sz w:val="20"/>
          <w:szCs w:val="20"/>
          <w:color w:val="auto"/>
        </w:rPr>
      </w:pPr>
    </w:p>
    <w:p>
      <w:pPr>
        <w:ind w:left="620" w:right="240" w:hanging="628"/>
        <w:spacing w:after="0" w:line="360" w:lineRule="auto"/>
        <w:tabs>
          <w:tab w:leader="none" w:pos="600" w:val="left"/>
        </w:tabs>
        <w:rPr>
          <w:sz w:val="20"/>
          <w:szCs w:val="20"/>
          <w:color w:val="auto"/>
        </w:rPr>
      </w:pPr>
      <w:r>
        <w:rPr>
          <w:rFonts w:ascii="Arial" w:cs="Arial" w:eastAsia="Arial" w:hAnsi="Arial"/>
          <w:sz w:val="17"/>
          <w:szCs w:val="17"/>
          <w:color w:val="auto"/>
        </w:rPr>
        <w:t>12.11</w:t>
      </w:r>
      <w:r>
        <w:rPr>
          <w:sz w:val="20"/>
          <w:szCs w:val="20"/>
          <w:color w:val="auto"/>
        </w:rPr>
        <w:tab/>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Exhibits hereto, contains the entire understanding of the parties with respect to the subject matter</w:t>
      </w:r>
      <w:r>
        <w:rPr>
          <w:rFonts w:ascii="Arial" w:cs="Arial" w:eastAsia="Arial" w:hAnsi="Arial"/>
          <w:sz w:val="15"/>
          <w:szCs w:val="15"/>
          <w:u w:val="single" w:color="auto"/>
          <w:color w:val="auto"/>
        </w:rPr>
        <w:t xml:space="preserve"> </w:t>
      </w:r>
      <w:r>
        <w:rPr>
          <w:rFonts w:ascii="Arial" w:cs="Arial" w:eastAsia="Arial" w:hAnsi="Arial"/>
          <w:sz w:val="15"/>
          <w:szCs w:val="15"/>
          <w:color w:val="auto"/>
        </w:rPr>
        <w:t>hereof. All express or implied agreements and understandings, either oral or written, heretofore made are expressly merged in and made a part of this</w:t>
      </w:r>
    </w:p>
    <w:p>
      <w:pPr>
        <w:sectPr>
          <w:pgSz w:w="11900" w:h="16917" w:orient="portrait"/>
          <w:cols w:equalWidth="0" w:num="1">
            <w:col w:w="11460"/>
          </w:cols>
          <w:pgMar w:left="240" w:top="127" w:right="199" w:bottom="0" w:gutter="0" w:footer="0" w:header="0"/>
          <w:type w:val="continuous"/>
        </w:sectPr>
      </w:pPr>
    </w:p>
    <w:bookmarkStart w:id="201" w:name="page202"/>
    <w:bookmarkEnd w:id="201"/>
    <w:p>
      <w:pPr>
        <w:ind w:left="640" w:right="80"/>
        <w:spacing w:after="0" w:line="263" w:lineRule="auto"/>
        <w:rPr>
          <w:sz w:val="20"/>
          <w:szCs w:val="20"/>
          <w:color w:val="auto"/>
        </w:rPr>
      </w:pPr>
      <w:r>
        <w:rPr>
          <w:rFonts w:ascii="Arial" w:cs="Arial" w:eastAsia="Arial" w:hAnsi="Arial"/>
          <w:sz w:val="17"/>
          <w:szCs w:val="17"/>
          <w:color w:val="auto"/>
        </w:rPr>
        <w:t>Agreement, including without limitation the Letter of Intent (including without limitation Exhibit A thereto) dated January 7, 2011 and the amendment thereto dated April 20, 2011, the Confidential Disclosure Agreement dated November 16, 2009 and the Non-Solicitation Agreement dated January 7, 2011 but excluding the Joint Defense Agreement dated as of January 28, 2011, which shall continue in full force and effect IN ACCORDANCE WITH ITS TERMS. This Agreement may be amended, or any term hereof modified, only by a written instrument duly executed by both parties hereto. Each of the parties hereby acknowledges that this Agreement is the result of mutual negotiation and therefore any ambiguity in their respective terms shall not be construed against the drafting party.</w:t>
      </w:r>
    </w:p>
    <w:p>
      <w:pPr>
        <w:spacing w:after="0" w:line="183" w:lineRule="exact"/>
        <w:rPr>
          <w:sz w:val="20"/>
          <w:szCs w:val="20"/>
          <w:color w:val="auto"/>
        </w:rPr>
      </w:pPr>
    </w:p>
    <w:p>
      <w:pPr>
        <w:ind w:left="620" w:right="40" w:hanging="628"/>
        <w:spacing w:after="0" w:line="289" w:lineRule="auto"/>
        <w:tabs>
          <w:tab w:leader="none" w:pos="600" w:val="left"/>
        </w:tabs>
        <w:rPr>
          <w:sz w:val="20"/>
          <w:szCs w:val="20"/>
          <w:color w:val="auto"/>
        </w:rPr>
      </w:pPr>
      <w:r>
        <w:rPr>
          <w:rFonts w:ascii="Arial" w:cs="Arial" w:eastAsia="Arial" w:hAnsi="Arial"/>
          <w:sz w:val="17"/>
          <w:szCs w:val="17"/>
          <w:color w:val="auto"/>
        </w:rPr>
        <w:t>12.12</w:t>
      </w:r>
      <w:r>
        <w:rPr>
          <w:sz w:val="20"/>
          <w:szCs w:val="20"/>
          <w:color w:val="auto"/>
        </w:rPr>
        <w:tab/>
      </w:r>
      <w:r>
        <w:rPr>
          <w:rFonts w:ascii="Arial" w:cs="Arial" w:eastAsia="Arial" w:hAnsi="Arial"/>
          <w:sz w:val="17"/>
          <w:szCs w:val="17"/>
          <w:u w:val="single" w:color="auto"/>
          <w:color w:val="auto"/>
        </w:rPr>
        <w:t>Headings</w:t>
      </w:r>
      <w:r>
        <w:rPr>
          <w:rFonts w:ascii="Arial" w:cs="Arial" w:eastAsia="Arial" w:hAnsi="Arial"/>
          <w:sz w:val="17"/>
          <w:szCs w:val="17"/>
          <w:color w:val="auto"/>
        </w:rPr>
        <w:t>. The captions to the several Sections hereof are not a part of this Agreement, but are merely guides or labels to assist in locating and reading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several Sections hereof.</w:t>
      </w:r>
    </w:p>
    <w:p>
      <w:pPr>
        <w:spacing w:after="0" w:line="158" w:lineRule="exact"/>
        <w:rPr>
          <w:sz w:val="20"/>
          <w:szCs w:val="20"/>
          <w:color w:val="auto"/>
        </w:rPr>
      </w:pPr>
    </w:p>
    <w:p>
      <w:pPr>
        <w:ind w:left="620" w:right="100" w:hanging="628"/>
        <w:spacing w:after="0" w:line="326" w:lineRule="auto"/>
        <w:tabs>
          <w:tab w:leader="none" w:pos="600" w:val="left"/>
        </w:tabs>
        <w:rPr>
          <w:sz w:val="20"/>
          <w:szCs w:val="20"/>
          <w:color w:val="auto"/>
        </w:rPr>
      </w:pPr>
      <w:r>
        <w:rPr>
          <w:rFonts w:ascii="Arial" w:cs="Arial" w:eastAsia="Arial" w:hAnsi="Arial"/>
          <w:sz w:val="17"/>
          <w:szCs w:val="17"/>
          <w:color w:val="auto"/>
        </w:rPr>
        <w:t>12.13</w:t>
      </w:r>
      <w:r>
        <w:rPr>
          <w:sz w:val="20"/>
          <w:szCs w:val="20"/>
          <w:color w:val="auto"/>
        </w:rPr>
        <w:tab/>
      </w:r>
      <w:r>
        <w:rPr>
          <w:rFonts w:ascii="Arial" w:cs="Arial" w:eastAsia="Arial" w:hAnsi="Arial"/>
          <w:sz w:val="15"/>
          <w:szCs w:val="15"/>
          <w:u w:val="single" w:color="auto"/>
          <w:color w:val="auto"/>
        </w:rPr>
        <w:t>Waiver</w:t>
      </w:r>
      <w:r>
        <w:rPr>
          <w:rFonts w:ascii="Arial" w:cs="Arial" w:eastAsia="Arial" w:hAnsi="Arial"/>
          <w:sz w:val="15"/>
          <w:szCs w:val="15"/>
          <w:color w:val="auto"/>
        </w:rPr>
        <w:t>. Except as expressly provided herein, the waiver by either party hereto of any right hereunder or of any failure to perform or any breach by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other party shall not be deemed a waiver of any other right hereunder or of any other failure to perform or breach by said other party, whether of a similar nature or otherwise, nor shall any singular or partial exercise of such right preclude any further exercise thereof or the exercise of any other such right.</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260" w:hanging="628"/>
        <w:spacing w:after="0" w:line="289" w:lineRule="auto"/>
        <w:tabs>
          <w:tab w:leader="none" w:pos="600" w:val="left"/>
        </w:tabs>
        <w:rPr>
          <w:sz w:val="20"/>
          <w:szCs w:val="20"/>
          <w:color w:val="auto"/>
        </w:rPr>
      </w:pPr>
      <w:r>
        <w:rPr>
          <w:rFonts w:ascii="Arial" w:cs="Arial" w:eastAsia="Arial" w:hAnsi="Arial"/>
          <w:sz w:val="17"/>
          <w:szCs w:val="17"/>
          <w:color w:val="auto"/>
        </w:rPr>
        <w:t>12.14</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constitute one and the same instrument. Signature pages may be exchanged by facsimile.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follow]</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Veracyte and Genzyme have each caused this Agreement to be executed by their respective duly authorized officers.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gridSpan w:val="3"/>
          </w:tcPr>
          <w:p>
            <w:pPr>
              <w:spacing w:after="0"/>
              <w:rPr>
                <w:sz w:val="20"/>
                <w:szCs w:val="20"/>
                <w:color w:val="auto"/>
              </w:rPr>
            </w:pPr>
            <w:r>
              <w:rPr>
                <w:rFonts w:ascii="Arial" w:cs="Arial" w:eastAsia="Arial" w:hAnsi="Arial"/>
                <w:sz w:val="17"/>
                <w:szCs w:val="17"/>
                <w:b w:val="1"/>
                <w:bCs w:val="1"/>
                <w:color w:val="auto"/>
              </w:rPr>
              <w:t>VERACYTE, INC.</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7"/>
                <w:szCs w:val="17"/>
                <w:b w:val="1"/>
                <w:bCs w:val="1"/>
                <w:color w:val="auto"/>
              </w:rPr>
              <w:t>GENZYME CORPORATION</w:t>
            </w:r>
          </w:p>
        </w:tc>
        <w:tc>
          <w:tcPr>
            <w:tcW w:w="0" w:type="dxa"/>
            <w:vAlign w:val="bottom"/>
          </w:tcPr>
          <w:p>
            <w:pPr>
              <w:spacing w:after="0"/>
              <w:rPr>
                <w:sz w:val="1"/>
                <w:szCs w:val="1"/>
                <w:color w:val="auto"/>
              </w:rPr>
            </w:pPr>
          </w:p>
        </w:tc>
      </w:tr>
      <w:tr>
        <w:trPr>
          <w:trHeight w:val="420"/>
        </w:trPr>
        <w:tc>
          <w:tcPr>
            <w:tcW w:w="2120" w:type="dxa"/>
            <w:vAlign w:val="bottom"/>
            <w:gridSpan w:val="3"/>
          </w:tcPr>
          <w:p>
            <w:pPr>
              <w:spacing w:after="0"/>
              <w:rPr>
                <w:sz w:val="20"/>
                <w:szCs w:val="20"/>
                <w:color w:val="auto"/>
              </w:rPr>
            </w:pPr>
            <w:r>
              <w:rPr>
                <w:rFonts w:ascii="Arial" w:cs="Arial" w:eastAsia="Arial" w:hAnsi="Arial"/>
                <w:sz w:val="17"/>
                <w:szCs w:val="17"/>
                <w:color w:val="auto"/>
              </w:rPr>
              <w:t>/s/ Bonnie Anderson</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/s/ David Meeker</w:t>
            </w: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7"/>
                <w:szCs w:val="17"/>
                <w:color w:val="auto"/>
              </w:rPr>
              <w:t>Bonnie Anderson</w:t>
            </w: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7"/>
                <w:szCs w:val="17"/>
                <w:color w:val="auto"/>
              </w:rPr>
              <w:t>David Meeker</w:t>
            </w:r>
          </w:p>
        </w:tc>
        <w:tc>
          <w:tcPr>
            <w:tcW w:w="4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222"/>
        </w:trPr>
        <w:tc>
          <w:tcPr>
            <w:tcW w:w="2120" w:type="dxa"/>
            <w:vAlign w:val="bottom"/>
            <w:gridSpan w:val="3"/>
          </w:tcPr>
          <w:p>
            <w:pPr>
              <w:spacing w:after="0"/>
              <w:rPr>
                <w:sz w:val="20"/>
                <w:szCs w:val="20"/>
                <w:color w:val="auto"/>
              </w:rPr>
            </w:pPr>
            <w:r>
              <w:rPr>
                <w:rFonts w:ascii="Arial" w:cs="Arial" w:eastAsia="Arial" w:hAnsi="Arial"/>
                <w:sz w:val="17"/>
                <w:szCs w:val="17"/>
                <w:color w:val="auto"/>
              </w:rPr>
              <w:t>Date: 18 January, 2012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Date: 18 January, 2012</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140" w:type="dxa"/>
            <w:vAlign w:val="bottom"/>
            <w:gridSpan w:val="10"/>
          </w:tcPr>
          <w:p>
            <w:pPr>
              <w:jc w:val="center"/>
              <w:ind w:right="3360"/>
              <w:spacing w:after="0"/>
              <w:rPr>
                <w:sz w:val="20"/>
                <w:szCs w:val="20"/>
                <w:color w:val="auto"/>
              </w:rPr>
            </w:pPr>
            <w:r>
              <w:rPr>
                <w:rFonts w:ascii="Arial" w:cs="Arial" w:eastAsia="Arial" w:hAnsi="Arial"/>
                <w:sz w:val="17"/>
                <w:szCs w:val="17"/>
                <w:b w:val="1"/>
                <w:bCs w:val="1"/>
                <w:color w:val="auto"/>
              </w:rPr>
              <w:t>[SIGNATURE PAGE TO CO-PROMOTION AGREEMENT]</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17"/>
                <w:szCs w:val="17"/>
                <w:color w:val="auto"/>
                <w:w w:val="94"/>
              </w:rPr>
              <w:t>46</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730"/>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4"/>
          </w:tcPr>
          <w:p>
            <w:pPr>
              <w:ind w:left="100"/>
              <w:spacing w:after="0"/>
              <w:rPr>
                <w:sz w:val="20"/>
                <w:szCs w:val="20"/>
                <w:color w:val="auto"/>
              </w:rPr>
            </w:pPr>
            <w:r>
              <w:rPr>
                <w:rFonts w:ascii="Arial" w:cs="Arial" w:eastAsia="Arial" w:hAnsi="Arial"/>
                <w:sz w:val="17"/>
                <w:szCs w:val="17"/>
                <w:color w:val="auto"/>
                <w:w w:val="95"/>
              </w:rPr>
              <w:t>*** Confidential material redacted and filed separately with the Commission.</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6"/>
          </w:tcPr>
          <w:p>
            <w:pPr>
              <w:jc w:val="center"/>
              <w:ind w:left="274"/>
              <w:spacing w:after="0"/>
              <w:rPr>
                <w:sz w:val="20"/>
                <w:szCs w:val="20"/>
                <w:color w:val="auto"/>
              </w:rPr>
            </w:pPr>
            <w:r>
              <w:rPr>
                <w:rFonts w:ascii="Arial" w:cs="Arial" w:eastAsia="Arial" w:hAnsi="Arial"/>
                <w:sz w:val="17"/>
                <w:szCs w:val="17"/>
                <w:b w:val="1"/>
                <w:bCs w:val="1"/>
                <w:color w:val="auto"/>
              </w:rPr>
              <w:t>EXHIBIT A</w:t>
            </w: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00" w:type="dxa"/>
            <w:vAlign w:val="bottom"/>
            <w:gridSpan w:val="8"/>
          </w:tcPr>
          <w:p>
            <w:pPr>
              <w:jc w:val="center"/>
              <w:ind w:right="3800"/>
              <w:spacing w:after="0"/>
              <w:rPr>
                <w:sz w:val="20"/>
                <w:szCs w:val="20"/>
                <w:color w:val="auto"/>
              </w:rPr>
            </w:pPr>
            <w:r>
              <w:rPr>
                <w:rFonts w:ascii="Arial" w:cs="Arial" w:eastAsia="Arial" w:hAnsi="Arial"/>
                <w:sz w:val="17"/>
                <w:szCs w:val="17"/>
                <w:b w:val="1"/>
                <w:bCs w:val="1"/>
                <w:color w:val="auto"/>
                <w:w w:val="93"/>
              </w:rPr>
              <w:t>Veracyte Patents &amp; Patent Applications (U.S.)</w:t>
            </w:r>
          </w:p>
        </w:tc>
        <w:tc>
          <w:tcPr>
            <w:tcW w:w="0" w:type="dxa"/>
            <w:vAlign w:val="bottom"/>
          </w:tcPr>
          <w:p>
            <w:pPr>
              <w:spacing w:after="0"/>
              <w:rPr>
                <w:sz w:val="1"/>
                <w:szCs w:val="1"/>
                <w:color w:val="auto"/>
              </w:rPr>
            </w:pPr>
          </w:p>
        </w:tc>
      </w:tr>
      <w:tr>
        <w:trPr>
          <w:trHeight w:val="332"/>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Application</w:t>
            </w:r>
          </w:p>
        </w:tc>
        <w:tc>
          <w:tcPr>
            <w:tcW w:w="1200" w:type="dxa"/>
            <w:vAlign w:val="bottom"/>
          </w:tcPr>
          <w:p>
            <w:pPr>
              <w:jc w:val="center"/>
              <w:ind w:left="135"/>
              <w:spacing w:after="0"/>
              <w:rPr>
                <w:sz w:val="20"/>
                <w:szCs w:val="20"/>
                <w:color w:val="auto"/>
              </w:rPr>
            </w:pPr>
            <w:r>
              <w:rPr>
                <w:rFonts w:ascii="Arial" w:cs="Arial" w:eastAsia="Arial" w:hAnsi="Arial"/>
                <w:sz w:val="14"/>
                <w:szCs w:val="14"/>
                <w:b w:val="1"/>
                <w:bCs w:val="1"/>
                <w:color w:val="auto"/>
                <w:w w:val="91"/>
              </w:rPr>
              <w:t>Application</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Publication Number</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Publication</w:t>
            </w:r>
          </w:p>
        </w:tc>
        <w:tc>
          <w:tcPr>
            <w:tcW w:w="41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167"/>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center"/>
              <w:ind w:left="115"/>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4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8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auto"/>
                <w:w w:val="91"/>
              </w:rPr>
              <w:t>61/199,585</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ind w:left="115"/>
              <w:spacing w:after="0" w:line="190" w:lineRule="exact"/>
              <w:rPr>
                <w:sz w:val="20"/>
                <w:szCs w:val="20"/>
                <w:color w:val="auto"/>
              </w:rPr>
            </w:pPr>
            <w:r>
              <w:rPr>
                <w:rFonts w:ascii="Arial" w:cs="Arial" w:eastAsia="Arial" w:hAnsi="Arial"/>
                <w:sz w:val="17"/>
                <w:szCs w:val="17"/>
                <w:color w:val="auto"/>
                <w:w w:val="93"/>
              </w:rPr>
              <w:t>11/17/2008</w:t>
            </w: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ind w:left="280"/>
              <w:spacing w:after="0" w:line="190" w:lineRule="exact"/>
              <w:rPr>
                <w:sz w:val="20"/>
                <w:szCs w:val="20"/>
                <w:color w:val="auto"/>
              </w:rPr>
            </w:pPr>
            <w:r>
              <w:rPr>
                <w:rFonts w:ascii="Arial" w:cs="Arial" w:eastAsia="Arial" w:hAnsi="Arial"/>
                <w:sz w:val="17"/>
                <w:szCs w:val="17"/>
                <w:color w:val="auto"/>
              </w:rPr>
              <w:t>Not Yet Available</w:t>
            </w: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gridSpan w:val="2"/>
            <w:shd w:val="clear" w:color="auto" w:fill="CCEEFF"/>
          </w:tcPr>
          <w:p>
            <w:pPr>
              <w:jc w:val="center"/>
              <w:spacing w:after="0" w:line="190" w:lineRule="exact"/>
              <w:rPr>
                <w:sz w:val="20"/>
                <w:szCs w:val="20"/>
                <w:color w:val="auto"/>
              </w:rPr>
            </w:pPr>
            <w:r>
              <w:rPr>
                <w:rFonts w:ascii="Arial" w:cs="Arial" w:eastAsia="Arial" w:hAnsi="Arial"/>
                <w:sz w:val="17"/>
                <w:szCs w:val="17"/>
                <w:color w:val="auto"/>
                <w:w w:val="96"/>
              </w:rPr>
              <w:t>Not Yet Available</w:t>
            </w:r>
          </w:p>
        </w:tc>
        <w:tc>
          <w:tcPr>
            <w:tcW w:w="22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auto"/>
                <w:w w:val="95"/>
              </w:rPr>
              <w:t>Methods and Compositions of Molecular Profiling for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Diagnosis of Cancer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61/270,812</w:t>
            </w:r>
          </w:p>
        </w:tc>
        <w:tc>
          <w:tcPr>
            <w:tcW w:w="220" w:type="dxa"/>
            <w:vAlign w:val="bottom"/>
          </w:tcPr>
          <w:p>
            <w:pPr>
              <w:spacing w:after="0"/>
              <w:rPr>
                <w:sz w:val="17"/>
                <w:szCs w:val="17"/>
                <w:color w:val="auto"/>
              </w:rPr>
            </w:pPr>
          </w:p>
        </w:tc>
        <w:tc>
          <w:tcPr>
            <w:tcW w:w="1200" w:type="dxa"/>
            <w:vAlign w:val="bottom"/>
          </w:tcPr>
          <w:p>
            <w:pPr>
              <w:jc w:val="center"/>
              <w:ind w:left="115"/>
              <w:spacing w:after="0"/>
              <w:rPr>
                <w:sz w:val="20"/>
                <w:szCs w:val="20"/>
                <w:color w:val="auto"/>
              </w:rPr>
            </w:pPr>
            <w:r>
              <w:rPr>
                <w:rFonts w:ascii="Arial" w:cs="Arial" w:eastAsia="Arial" w:hAnsi="Arial"/>
                <w:sz w:val="17"/>
                <w:szCs w:val="17"/>
                <w:color w:val="auto"/>
                <w:w w:val="95"/>
              </w:rPr>
              <w:t>7/13/2009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5"/>
              </w:rPr>
              <w:t>Methods and Compositions of Molecular Profiling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20"/>
              <w:spacing w:after="0"/>
              <w:rPr>
                <w:sz w:val="20"/>
                <w:szCs w:val="20"/>
                <w:color w:val="auto"/>
              </w:rPr>
            </w:pPr>
            <w:r>
              <w:rPr>
                <w:rFonts w:ascii="Arial" w:cs="Arial" w:eastAsia="Arial" w:hAnsi="Arial"/>
                <w:sz w:val="17"/>
                <w:szCs w:val="17"/>
                <w:color w:val="auto"/>
                <w:w w:val="92"/>
              </w:rPr>
              <w:t>Diagnosis of Cancer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12/592,065</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115"/>
              <w:spacing w:after="0"/>
              <w:rPr>
                <w:sz w:val="20"/>
                <w:szCs w:val="20"/>
                <w:color w:val="auto"/>
              </w:rPr>
            </w:pPr>
            <w:r>
              <w:rPr>
                <w:rFonts w:ascii="Arial" w:cs="Arial" w:eastAsia="Arial" w:hAnsi="Arial"/>
                <w:sz w:val="17"/>
                <w:szCs w:val="17"/>
                <w:color w:val="auto"/>
                <w:w w:val="93"/>
              </w:rPr>
              <w:t>11/17/2009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US2010/0131432</w:t>
            </w:r>
          </w:p>
        </w:tc>
        <w:tc>
          <w:tcPr>
            <w:tcW w:w="1520" w:type="dxa"/>
            <w:vAlign w:val="bottom"/>
            <w:gridSpan w:val="4"/>
            <w:shd w:val="clear" w:color="auto" w:fill="CCEEFF"/>
          </w:tcPr>
          <w:p>
            <w:pPr>
              <w:jc w:val="center"/>
              <w:ind w:left="173"/>
              <w:spacing w:after="0"/>
              <w:rPr>
                <w:sz w:val="20"/>
                <w:szCs w:val="20"/>
                <w:color w:val="auto"/>
              </w:rPr>
            </w:pPr>
            <w:r>
              <w:rPr>
                <w:rFonts w:ascii="Arial" w:cs="Arial" w:eastAsia="Arial" w:hAnsi="Arial"/>
                <w:sz w:val="17"/>
                <w:szCs w:val="17"/>
                <w:color w:val="auto"/>
                <w:w w:val="92"/>
              </w:rPr>
              <w:t>5/27/2010</w:t>
            </w:r>
          </w:p>
        </w:tc>
        <w:tc>
          <w:tcPr>
            <w:tcW w:w="220" w:type="dxa"/>
            <w:vAlign w:val="bottom"/>
            <w:shd w:val="clear" w:color="auto" w:fill="CCEEFF"/>
          </w:tcPr>
          <w:p>
            <w:pPr>
              <w:spacing w:after="0"/>
              <w:rPr>
                <w:sz w:val="17"/>
                <w:szCs w:val="17"/>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Methods and Compositions of Molecular Profiling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Disease Diagnostics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tcPr>
          <w:p>
            <w:pPr>
              <w:jc w:val="center"/>
              <w:ind w:lef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61/176,471</w:t>
            </w:r>
          </w:p>
        </w:tc>
        <w:tc>
          <w:tcPr>
            <w:tcW w:w="220" w:type="dxa"/>
            <w:vAlign w:val="bottom"/>
          </w:tcPr>
          <w:p>
            <w:pPr>
              <w:spacing w:after="0"/>
              <w:rPr>
                <w:sz w:val="17"/>
                <w:szCs w:val="17"/>
                <w:color w:val="auto"/>
              </w:rPr>
            </w:pPr>
          </w:p>
        </w:tc>
        <w:tc>
          <w:tcPr>
            <w:tcW w:w="1200" w:type="dxa"/>
            <w:vAlign w:val="bottom"/>
          </w:tcPr>
          <w:p>
            <w:pPr>
              <w:jc w:val="center"/>
              <w:ind w:left="135"/>
              <w:spacing w:after="0"/>
              <w:rPr>
                <w:sz w:val="20"/>
                <w:szCs w:val="20"/>
                <w:color w:val="auto"/>
              </w:rPr>
            </w:pPr>
            <w:r>
              <w:rPr>
                <w:rFonts w:ascii="Arial" w:cs="Arial" w:eastAsia="Arial" w:hAnsi="Arial"/>
                <w:sz w:val="17"/>
                <w:szCs w:val="17"/>
                <w:color w:val="auto"/>
                <w:w w:val="93"/>
              </w:rPr>
              <w:t>5/7/2009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4"/>
              </w:rPr>
              <w:t>Methods and Compositions for Diagnosis of Thyroid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40"/>
              <w:spacing w:after="0"/>
              <w:rPr>
                <w:sz w:val="20"/>
                <w:szCs w:val="20"/>
                <w:color w:val="auto"/>
              </w:rPr>
            </w:pPr>
            <w:r>
              <w:rPr>
                <w:rFonts w:ascii="Arial" w:cs="Arial" w:eastAsia="Arial" w:hAnsi="Arial"/>
                <w:sz w:val="17"/>
                <w:szCs w:val="17"/>
                <w:color w:val="auto"/>
                <w:w w:val="94"/>
              </w:rPr>
              <w:t>Conditions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13/318,751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2"/>
              </w:rPr>
              <w:t>11/3/2011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Methods and Compositions for Diagnosis of Thyroid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Conditions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61/333,717</w:t>
            </w:r>
          </w:p>
        </w:tc>
        <w:tc>
          <w:tcPr>
            <w:tcW w:w="220" w:type="dxa"/>
            <w:vAlign w:val="bottom"/>
          </w:tcPr>
          <w:p>
            <w:pPr>
              <w:spacing w:after="0"/>
              <w:rPr>
                <w:sz w:val="17"/>
                <w:szCs w:val="17"/>
                <w:color w:val="auto"/>
              </w:rPr>
            </w:pPr>
          </w:p>
        </w:tc>
        <w:tc>
          <w:tcPr>
            <w:tcW w:w="1200" w:type="dxa"/>
            <w:vAlign w:val="bottom"/>
          </w:tcPr>
          <w:p>
            <w:pPr>
              <w:jc w:val="center"/>
              <w:ind w:left="135"/>
              <w:spacing w:after="0"/>
              <w:rPr>
                <w:sz w:val="20"/>
                <w:szCs w:val="20"/>
                <w:color w:val="auto"/>
              </w:rPr>
            </w:pPr>
            <w:r>
              <w:rPr>
                <w:rFonts w:ascii="Arial" w:cs="Arial" w:eastAsia="Arial" w:hAnsi="Arial"/>
                <w:sz w:val="17"/>
                <w:szCs w:val="17"/>
                <w:color w:val="auto"/>
                <w:w w:val="92"/>
              </w:rPr>
              <w:t>5/11/2010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6"/>
              </w:rPr>
              <w:t>Molecular Classification of Thyroid Nodules Using High-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20"/>
              <w:spacing w:after="0"/>
              <w:rPr>
                <w:sz w:val="20"/>
                <w:szCs w:val="20"/>
                <w:color w:val="auto"/>
              </w:rPr>
            </w:pPr>
            <w:r>
              <w:rPr>
                <w:rFonts w:ascii="Arial" w:cs="Arial" w:eastAsia="Arial" w:hAnsi="Arial"/>
                <w:sz w:val="17"/>
                <w:szCs w:val="17"/>
                <w:color w:val="auto"/>
                <w:w w:val="95"/>
              </w:rPr>
              <w:t>Dimensionality Genomic Data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61/389,810</w:t>
            </w:r>
          </w:p>
        </w:tc>
        <w:tc>
          <w:tcPr>
            <w:tcW w:w="220" w:type="dxa"/>
            <w:vAlign w:val="bottom"/>
          </w:tcPr>
          <w:p>
            <w:pPr>
              <w:spacing w:after="0"/>
              <w:rPr>
                <w:sz w:val="18"/>
                <w:szCs w:val="18"/>
                <w:color w:val="auto"/>
              </w:rPr>
            </w:pPr>
          </w:p>
        </w:tc>
        <w:tc>
          <w:tcPr>
            <w:tcW w:w="1200" w:type="dxa"/>
            <w:vAlign w:val="bottom"/>
          </w:tcPr>
          <w:p>
            <w:pPr>
              <w:jc w:val="center"/>
              <w:ind w:left="115"/>
              <w:spacing w:after="0"/>
              <w:rPr>
                <w:sz w:val="20"/>
                <w:szCs w:val="20"/>
                <w:color w:val="auto"/>
              </w:rPr>
            </w:pPr>
            <w:r>
              <w:rPr>
                <w:rFonts w:ascii="Arial" w:cs="Arial" w:eastAsia="Arial" w:hAnsi="Arial"/>
                <w:sz w:val="17"/>
                <w:szCs w:val="17"/>
                <w:color w:val="auto"/>
                <w:w w:val="95"/>
              </w:rPr>
              <w:t>10/5/2010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4"/>
              </w:rPr>
              <w:t>Methods and Compositions for Diagnosing Conditions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13/105,756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2"/>
              </w:rPr>
              <w:t>5/11/2011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Methods and Compositions for Diagnosing Conditions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61/568,870</w:t>
            </w:r>
          </w:p>
        </w:tc>
        <w:tc>
          <w:tcPr>
            <w:tcW w:w="220" w:type="dxa"/>
            <w:vAlign w:val="bottom"/>
          </w:tcPr>
          <w:p>
            <w:pPr>
              <w:spacing w:after="0"/>
              <w:rPr>
                <w:sz w:val="18"/>
                <w:szCs w:val="18"/>
                <w:color w:val="auto"/>
              </w:rPr>
            </w:pPr>
          </w:p>
        </w:tc>
        <w:tc>
          <w:tcPr>
            <w:tcW w:w="1200" w:type="dxa"/>
            <w:vAlign w:val="bottom"/>
          </w:tcPr>
          <w:p>
            <w:pPr>
              <w:jc w:val="center"/>
              <w:ind w:left="135"/>
              <w:spacing w:after="0"/>
              <w:rPr>
                <w:sz w:val="20"/>
                <w:szCs w:val="20"/>
                <w:color w:val="auto"/>
              </w:rPr>
            </w:pPr>
            <w:r>
              <w:rPr>
                <w:rFonts w:ascii="Arial" w:cs="Arial" w:eastAsia="Arial" w:hAnsi="Arial"/>
                <w:sz w:val="17"/>
                <w:szCs w:val="17"/>
                <w:color w:val="auto"/>
                <w:w w:val="92"/>
              </w:rPr>
              <w:t>12/9/2011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4"/>
              </w:rPr>
              <w:t>Methods and Compositions for Classification of Samples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17"/>
                <w:szCs w:val="17"/>
                <w:color w:val="auto"/>
                <w:w w:val="94"/>
              </w:rPr>
              <w:t>47</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-4373880</wp:posOffset>
            </wp:positionV>
            <wp:extent cx="12700"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-4373880</wp:posOffset>
            </wp:positionV>
            <wp:extent cx="12700"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Trademarks</w:t>
      </w:r>
    </w:p>
    <w:p>
      <w:pPr>
        <w:sectPr>
          <w:pgSz w:w="11900" w:h="16838" w:orient="portrait"/>
          <w:cols w:equalWidth="0" w:num="1">
            <w:col w:w="11460"/>
          </w:cols>
          <w:pgMar w:left="240" w:top="127" w:right="199" w:bottom="0" w:gutter="0" w:footer="0" w:header="0"/>
        </w:sectPr>
      </w:pPr>
    </w:p>
    <w:bookmarkStart w:id="202" w:name="page203"/>
    <w:bookmarkEnd w:id="202"/>
    <w:p>
      <w:pPr>
        <w:spacing w:after="0"/>
        <w:rPr>
          <w:sz w:val="20"/>
          <w:szCs w:val="20"/>
          <w:color w:val="auto"/>
        </w:rPr>
      </w:pPr>
      <w:r>
        <w:rPr>
          <w:rFonts w:ascii="Arial" w:cs="Arial" w:eastAsia="Arial" w:hAnsi="Arial"/>
          <w:sz w:val="17"/>
          <w:szCs w:val="17"/>
          <w:color w:val="auto"/>
        </w:rPr>
        <w:t>“Veracyte” and “Afirma” are registered Trademarks of Veracyte.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“Genzyme” and “Thyrogen” are registered Trademarks of Genzyme.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Customer Support</w:t>
      </w:r>
    </w:p>
    <w:p>
      <w:pPr>
        <w:spacing w:after="0" w:line="230" w:lineRule="exact"/>
        <w:rPr>
          <w:sz w:val="20"/>
          <w:szCs w:val="20"/>
          <w:color w:val="auto"/>
        </w:rPr>
      </w:pPr>
    </w:p>
    <w:p>
      <w:pPr>
        <w:ind w:left="640" w:right="260" w:hanging="321"/>
        <w:spacing w:after="0" w:line="289"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Territory A, Veracyte will provide reasonable first level customer support to end users for the Test. In Territory B, Genzyme will provide reasonable first level customer support to end users for the Test.</w:t>
      </w:r>
    </w:p>
    <w:p>
      <w:pPr>
        <w:spacing w:after="0" w:line="158" w:lineRule="exact"/>
        <w:rPr>
          <w:rFonts w:ascii="Arial" w:cs="Arial" w:eastAsia="Arial" w:hAnsi="Arial"/>
          <w:sz w:val="17"/>
          <w:szCs w:val="17"/>
          <w:color w:val="auto"/>
        </w:rPr>
      </w:pPr>
    </w:p>
    <w:p>
      <w:pPr>
        <w:ind w:left="640" w:right="320" w:hanging="321"/>
        <w:spacing w:after="0" w:line="289"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Territory A, Veracyte will provide a dedicated phone line for end users to call. In Territory B, Genzyme will provide a dedicated phone line for end users to call. Opening hours of the hot line will be adapted for local needs. Call hours will be mutually determined.</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Territory B, Genzyme will respond to calls, questions, and requests for information.</w:t>
      </w:r>
    </w:p>
    <w:p>
      <w:pPr>
        <w:spacing w:after="0" w:line="224" w:lineRule="exact"/>
        <w:rPr>
          <w:rFonts w:ascii="Arial" w:cs="Arial" w:eastAsia="Arial" w:hAnsi="Arial"/>
          <w:sz w:val="17"/>
          <w:szCs w:val="17"/>
          <w:color w:val="auto"/>
        </w:rPr>
      </w:pPr>
    </w:p>
    <w:p>
      <w:pPr>
        <w:ind w:left="640" w:right="640" w:hanging="321"/>
        <w:spacing w:after="0" w:line="289"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Veracyte will provide second level phone line support of customers in Territory B. What is not able to be answered in the field, can be referred to Veracyte call center.</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Support issues in Territory B that Genzyme is unable to resolve will be referred to Veracyte.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340" w:type="dxa"/>
            <w:vAlign w:val="bottom"/>
            <w:gridSpan w:val="2"/>
          </w:tcPr>
          <w:p>
            <w:pPr>
              <w:ind w:left="286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640" w:type="dxa"/>
            <w:vAlign w:val="bottom"/>
          </w:tcPr>
          <w:p>
            <w:pPr>
              <w:spacing w:after="0"/>
              <w:rPr>
                <w:sz w:val="16"/>
                <w:szCs w:val="16"/>
                <w:color w:val="auto"/>
              </w:rPr>
            </w:pPr>
          </w:p>
        </w:tc>
        <w:tc>
          <w:tcPr>
            <w:tcW w:w="28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Coverage Time</w:t>
            </w:r>
          </w:p>
        </w:tc>
        <w:tc>
          <w:tcPr>
            <w:tcW w:w="4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International : 8:00 AM to 5:00 PM (GMT+02:00)</w:t>
            </w:r>
          </w:p>
        </w:tc>
        <w:tc>
          <w:tcPr>
            <w:tcW w:w="940" w:type="dxa"/>
            <w:vAlign w:val="bottom"/>
          </w:tcPr>
          <w:p>
            <w:pPr>
              <w:spacing w:after="0"/>
              <w:rPr>
                <w:sz w:val="16"/>
                <w:szCs w:val="16"/>
                <w:color w:val="auto"/>
              </w:rPr>
            </w:pPr>
          </w:p>
        </w:tc>
      </w:tr>
      <w:tr>
        <w:trPr>
          <w:trHeight w:val="222"/>
        </w:trPr>
        <w:tc>
          <w:tcPr>
            <w:tcW w:w="64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Mon- Thu office hours.</w:t>
            </w:r>
          </w:p>
        </w:tc>
        <w:tc>
          <w:tcPr>
            <w:tcW w:w="940" w:type="dxa"/>
            <w:vAlign w:val="bottom"/>
          </w:tcPr>
          <w:p>
            <w:pPr>
              <w:spacing w:after="0"/>
              <w:rPr>
                <w:sz w:val="19"/>
                <w:szCs w:val="19"/>
                <w:color w:val="auto"/>
              </w:rPr>
            </w:pPr>
          </w:p>
        </w:tc>
      </w:tr>
      <w:tr>
        <w:trPr>
          <w:trHeight w:val="210"/>
        </w:trPr>
        <w:tc>
          <w:tcPr>
            <w:tcW w:w="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Service Language</w:t>
            </w:r>
          </w:p>
        </w:tc>
        <w:tc>
          <w:tcPr>
            <w:tcW w:w="440" w:type="dxa"/>
            <w:vAlign w:val="bottom"/>
          </w:tcPr>
          <w:p>
            <w:pPr>
              <w:spacing w:after="0"/>
              <w:rPr>
                <w:sz w:val="18"/>
                <w:szCs w:val="18"/>
                <w:color w:val="auto"/>
              </w:rPr>
            </w:pPr>
          </w:p>
        </w:tc>
        <w:tc>
          <w:tcPr>
            <w:tcW w:w="6640" w:type="dxa"/>
            <w:vAlign w:val="bottom"/>
            <w:gridSpan w:val="2"/>
          </w:tcPr>
          <w:p>
            <w:pPr>
              <w:ind w:left="240"/>
              <w:spacing w:after="0"/>
              <w:rPr>
                <w:sz w:val="20"/>
                <w:szCs w:val="20"/>
                <w:color w:val="auto"/>
              </w:rPr>
            </w:pPr>
            <w:r>
              <w:rPr>
                <w:rFonts w:ascii="Arial" w:cs="Arial" w:eastAsia="Arial" w:hAnsi="Arial"/>
                <w:sz w:val="17"/>
                <w:szCs w:val="17"/>
                <w:color w:val="auto"/>
              </w:rPr>
              <w:t>English and local languages in Territory B</w:t>
            </w:r>
          </w:p>
        </w:tc>
        <w:tc>
          <w:tcPr>
            <w:tcW w:w="9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Recall time in during coverage time</w:t>
            </w:r>
          </w:p>
        </w:tc>
        <w:tc>
          <w:tcPr>
            <w:tcW w:w="44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Within 3 hours</w:t>
            </w:r>
          </w:p>
        </w:tc>
        <w:tc>
          <w:tcPr>
            <w:tcW w:w="9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Initial Response time</w:t>
            </w:r>
          </w:p>
        </w:tc>
        <w:tc>
          <w:tcPr>
            <w:tcW w:w="440" w:type="dxa"/>
            <w:vAlign w:val="bottom"/>
          </w:tcPr>
          <w:p>
            <w:pPr>
              <w:spacing w:after="0"/>
              <w:rPr>
                <w:sz w:val="18"/>
                <w:szCs w:val="18"/>
                <w:color w:val="auto"/>
              </w:rPr>
            </w:pPr>
          </w:p>
        </w:tc>
        <w:tc>
          <w:tcPr>
            <w:tcW w:w="6640" w:type="dxa"/>
            <w:vAlign w:val="bottom"/>
            <w:gridSpan w:val="2"/>
          </w:tcPr>
          <w:p>
            <w:pPr>
              <w:ind w:left="240"/>
              <w:spacing w:after="0"/>
              <w:rPr>
                <w:sz w:val="20"/>
                <w:szCs w:val="20"/>
                <w:color w:val="auto"/>
              </w:rPr>
            </w:pPr>
            <w:r>
              <w:rPr>
                <w:rFonts w:ascii="Arial" w:cs="Arial" w:eastAsia="Arial" w:hAnsi="Arial"/>
                <w:sz w:val="17"/>
                <w:szCs w:val="17"/>
                <w:color w:val="auto"/>
              </w:rPr>
              <w:t>Within 24 hours</w:t>
            </w:r>
          </w:p>
        </w:tc>
        <w:tc>
          <w:tcPr>
            <w:tcW w:w="9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Number of incidents</w:t>
            </w:r>
          </w:p>
        </w:tc>
        <w:tc>
          <w:tcPr>
            <w:tcW w:w="44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Unlimited</w:t>
            </w:r>
          </w:p>
        </w:tc>
        <w:tc>
          <w:tcPr>
            <w:tcW w:w="940" w:type="dxa"/>
            <w:vAlign w:val="bottom"/>
          </w:tcPr>
          <w:p>
            <w:pPr>
              <w:spacing w:after="0"/>
              <w:rPr>
                <w:sz w:val="18"/>
                <w:szCs w:val="18"/>
                <w:color w:val="auto"/>
              </w:rPr>
            </w:pPr>
          </w:p>
        </w:tc>
      </w:tr>
      <w:tr>
        <w:trPr>
          <w:trHeight w:val="419"/>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80" w:type="dxa"/>
            <w:vAlign w:val="bottom"/>
            <w:gridSpan w:val="3"/>
          </w:tcPr>
          <w:p>
            <w:pPr>
              <w:jc w:val="center"/>
              <w:ind w:right="2456"/>
              <w:spacing w:after="0"/>
              <w:rPr>
                <w:sz w:val="20"/>
                <w:szCs w:val="20"/>
                <w:color w:val="auto"/>
              </w:rPr>
            </w:pPr>
            <w:r>
              <w:rPr>
                <w:rFonts w:ascii="Arial" w:cs="Arial" w:eastAsia="Arial" w:hAnsi="Arial"/>
                <w:sz w:val="17"/>
                <w:szCs w:val="17"/>
                <w:color w:val="auto"/>
                <w:w w:val="94"/>
              </w:rPr>
              <w:t>49</w:t>
            </w:r>
          </w:p>
        </w:tc>
        <w:tc>
          <w:tcPr>
            <w:tcW w:w="940" w:type="dxa"/>
            <w:vAlign w:val="bottom"/>
          </w:tcPr>
          <w:p>
            <w:pPr>
              <w:spacing w:after="0"/>
              <w:rPr>
                <w:sz w:val="24"/>
                <w:szCs w:val="24"/>
                <w:color w:val="auto"/>
              </w:rPr>
            </w:pPr>
          </w:p>
        </w:tc>
      </w:tr>
      <w:tr>
        <w:trPr>
          <w:trHeight w:val="128"/>
        </w:trPr>
        <w:tc>
          <w:tcPr>
            <w:tcW w:w="64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340" w:type="dxa"/>
            <w:vAlign w:val="bottom"/>
            <w:tcBorders>
              <w:bottom w:val="single" w:sz="8" w:color="010101"/>
            </w:tcBorders>
            <w:gridSpan w:val="2"/>
          </w:tcPr>
          <w:p>
            <w:pPr>
              <w:spacing w:after="0"/>
              <w:rPr>
                <w:sz w:val="11"/>
                <w:szCs w:val="11"/>
                <w:color w:val="auto"/>
              </w:rPr>
            </w:pPr>
          </w:p>
        </w:tc>
      </w:tr>
      <w:tr>
        <w:trPr>
          <w:trHeight w:val="756"/>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40" w:type="dxa"/>
            <w:vAlign w:val="bottom"/>
            <w:gridSpan w:val="2"/>
          </w:tcPr>
          <w:p>
            <w:pPr>
              <w:ind w:left="1880"/>
              <w:spacing w:after="0"/>
              <w:rPr>
                <w:sz w:val="20"/>
                <w:szCs w:val="20"/>
                <w:color w:val="auto"/>
              </w:rPr>
            </w:pPr>
            <w:r>
              <w:rPr>
                <w:rFonts w:ascii="Arial" w:cs="Arial" w:eastAsia="Arial" w:hAnsi="Arial"/>
                <w:sz w:val="17"/>
                <w:szCs w:val="17"/>
                <w:color w:val="auto"/>
                <w:w w:val="95"/>
              </w:rPr>
              <w:t>*** Confidential material redacted and filed separately with the Commission.</w:t>
            </w:r>
          </w:p>
        </w:tc>
      </w:tr>
      <w:tr>
        <w:trPr>
          <w:trHeight w:val="419"/>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40" w:type="dxa"/>
            <w:vAlign w:val="bottom"/>
            <w:gridSpan w:val="2"/>
          </w:tcPr>
          <w:p>
            <w:pPr>
              <w:jc w:val="center"/>
              <w:ind w:right="4140"/>
              <w:spacing w:after="0"/>
              <w:rPr>
                <w:sz w:val="20"/>
                <w:szCs w:val="20"/>
                <w:color w:val="auto"/>
              </w:rPr>
            </w:pPr>
            <w:r>
              <w:rPr>
                <w:rFonts w:ascii="Arial" w:cs="Arial" w:eastAsia="Arial" w:hAnsi="Arial"/>
                <w:sz w:val="17"/>
                <w:szCs w:val="17"/>
                <w:b w:val="1"/>
                <w:bCs w:val="1"/>
                <w:color w:val="auto"/>
              </w:rPr>
              <w:t>EXHIBIT D</w:t>
            </w:r>
          </w:p>
        </w:tc>
      </w:tr>
      <w:tr>
        <w:trPr>
          <w:trHeight w:val="419"/>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20" w:type="dxa"/>
            <w:vAlign w:val="bottom"/>
            <w:gridSpan w:val="4"/>
          </w:tcPr>
          <w:p>
            <w:pPr>
              <w:jc w:val="center"/>
              <w:ind w:right="3460"/>
              <w:spacing w:after="0"/>
              <w:rPr>
                <w:sz w:val="20"/>
                <w:szCs w:val="20"/>
                <w:color w:val="auto"/>
              </w:rPr>
            </w:pPr>
            <w:r>
              <w:rPr>
                <w:rFonts w:ascii="Arial" w:cs="Arial" w:eastAsia="Arial" w:hAnsi="Arial"/>
                <w:sz w:val="17"/>
                <w:szCs w:val="17"/>
                <w:b w:val="1"/>
                <w:bCs w:val="1"/>
                <w:color w:val="auto"/>
                <w:w w:val="93"/>
              </w:rPr>
              <w:t>Territory A Sales Force FTEs as of the Effective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FTEs in Genzyme’s Territory A Sales Force as of the Effective Date: *** FTEs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Countries in Territory B</w:t>
      </w:r>
    </w:p>
    <w:p>
      <w:pPr>
        <w:spacing w:after="0" w:line="230" w:lineRule="exact"/>
        <w:rPr>
          <w:sz w:val="20"/>
          <w:szCs w:val="20"/>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Argentina</w:t>
      </w:r>
    </w:p>
    <w:p>
      <w:pPr>
        <w:spacing w:after="0" w:line="26"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Australia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Austria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Belgium</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Brazil</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Bulgaria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Canada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Chile</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Colombia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Croatia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Czech Republic</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Denmark</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Finland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France</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Germany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Greece</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Hong-Kong</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Hungary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Ireland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Israel</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Italy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Luxembourg</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Malaysia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Mexico</w:t>
      </w:r>
    </w:p>
    <w:p>
      <w:pPr>
        <w:sectPr>
          <w:pgSz w:w="11900" w:h="16838" w:orient="portrait"/>
          <w:cols w:equalWidth="0" w:num="1">
            <w:col w:w="11460"/>
          </w:cols>
          <w:pgMar w:left="240" w:top="337" w:right="199" w:bottom="0" w:gutter="0" w:footer="0" w:header="0"/>
        </w:sectPr>
      </w:pPr>
    </w:p>
    <w:bookmarkStart w:id="203" w:name="page204"/>
    <w:bookmarkEnd w:id="203"/>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Netherlands</w:t>
      </w:r>
    </w:p>
    <w:p>
      <w:pPr>
        <w:spacing w:after="0" w:line="26"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Norway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Peru</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Poland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Portugal</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Romania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Singapore</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Slovakia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South Africa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South Korea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Spain</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Sweden</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Switzerland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Thailand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Turkey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United Kingdom</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color w:val="auto"/>
        </w:rPr>
        <w:t>Exhibit 10.8</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CONFIDENTIAL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April 9,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By Overnight Delivery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Genzyme Corporation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500 Kendall Street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Cambridge, MA 02142</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General Manager, Endocrine Business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Facsimile: (617) 761-8667</w:t>
      </w:r>
    </w:p>
    <w:p>
      <w:pPr>
        <w:spacing w:after="0" w:line="20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color w:val="auto"/>
        </w:rPr>
        <w:t>First Amendment to Co-Promotion Agreement to Extend Time to Pay Promotion Fees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22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letter (the “Amendment”), effective as of the date first indicated above (the “Amendment Date”), amends that certain Co-Promotion Agreement (the “CoPromote”) dated as of January 18, 2012 by and between Genzyme Corporation (“Genzyme”) and Veracyte, Inc. (“Veracyte”) in accordance with Section 12.11 thereto. All capitalized terms used but not otherwise defined herein shall have the respective meanings ascribed to them in the CoPromote.</w:t>
      </w:r>
    </w:p>
    <w:p>
      <w:pPr>
        <w:spacing w:after="0" w:line="154" w:lineRule="exact"/>
        <w:rPr>
          <w:sz w:val="20"/>
          <w:szCs w:val="20"/>
          <w:color w:val="auto"/>
        </w:rPr>
      </w:pPr>
    </w:p>
    <w:p>
      <w:pPr>
        <w:ind w:left="380" w:hanging="375"/>
        <w:spacing w:after="0"/>
        <w:tabs>
          <w:tab w:leader="none" w:pos="3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Section 6.1 of the CoPromote is hereby deleted and replaced in its entirety as follows:</w:t>
      </w:r>
    </w:p>
    <w:p>
      <w:pPr>
        <w:spacing w:after="0" w:line="224" w:lineRule="exact"/>
        <w:rPr>
          <w:sz w:val="20"/>
          <w:szCs w:val="20"/>
          <w:color w:val="auto"/>
        </w:rPr>
      </w:pPr>
    </w:p>
    <w:p>
      <w:pPr>
        <w:ind w:left="380" w:right="140"/>
        <w:spacing w:after="0" w:line="289" w:lineRule="auto"/>
        <w:rPr>
          <w:sz w:val="20"/>
          <w:szCs w:val="20"/>
          <w:color w:val="auto"/>
        </w:rPr>
      </w:pPr>
      <w:r>
        <w:rPr>
          <w:rFonts w:ascii="Arial" w:cs="Arial" w:eastAsia="Arial" w:hAnsi="Arial"/>
          <w:sz w:val="17"/>
          <w:szCs w:val="17"/>
          <w:i w:val="1"/>
          <w:iCs w:val="1"/>
          <w:u w:val="single" w:color="auto"/>
          <w:color w:val="auto"/>
        </w:rPr>
        <w:t>6.1 Compensation to Genzyme.</w:t>
      </w:r>
      <w:r>
        <w:rPr>
          <w:rFonts w:ascii="Arial" w:cs="Arial" w:eastAsia="Arial" w:hAnsi="Arial"/>
          <w:sz w:val="17"/>
          <w:szCs w:val="17"/>
          <w:i w:val="1"/>
          <w:iCs w:val="1"/>
          <w:color w:val="auto"/>
        </w:rPr>
        <w:t xml:space="preserve"> Subject to the provisions of and during the Term of this Agreement, as compensation for its marketing, promotion, and other activities and obligations under this Agreement, Genzyme shall receive a fee (the “Promotion Fees”) as follows:</w:t>
      </w:r>
    </w:p>
    <w:p>
      <w:pPr>
        <w:spacing w:after="0" w:line="158" w:lineRule="exact"/>
        <w:rPr>
          <w:sz w:val="20"/>
          <w:szCs w:val="20"/>
          <w:color w:val="auto"/>
        </w:rPr>
      </w:pPr>
    </w:p>
    <w:p>
      <w:pPr>
        <w:ind w:left="760" w:right="120"/>
        <w:spacing w:after="0" w:line="289" w:lineRule="auto"/>
        <w:rPr>
          <w:sz w:val="20"/>
          <w:szCs w:val="20"/>
          <w:color w:val="auto"/>
        </w:rPr>
      </w:pPr>
      <w:r>
        <w:rPr>
          <w:rFonts w:ascii="Arial" w:cs="Arial" w:eastAsia="Arial" w:hAnsi="Arial"/>
          <w:sz w:val="17"/>
          <w:szCs w:val="17"/>
          <w:i w:val="1"/>
          <w:iCs w:val="1"/>
          <w:color w:val="auto"/>
        </w:rPr>
        <w:t>6.1.1 Fifty percent (50%) of Net Revenues received by Veracyte on the Test in Territory A and Territory B on and after the Effective Date but before the first (1st) anniversary of the Effective Date;</w:t>
      </w:r>
    </w:p>
    <w:p>
      <w:pPr>
        <w:spacing w:after="0" w:line="158" w:lineRule="exact"/>
        <w:rPr>
          <w:sz w:val="20"/>
          <w:szCs w:val="20"/>
          <w:color w:val="auto"/>
        </w:rPr>
      </w:pPr>
    </w:p>
    <w:p>
      <w:pPr>
        <w:ind w:left="760" w:right="100"/>
        <w:spacing w:after="0" w:line="289" w:lineRule="auto"/>
        <w:rPr>
          <w:sz w:val="20"/>
          <w:szCs w:val="20"/>
          <w:color w:val="auto"/>
        </w:rPr>
      </w:pPr>
      <w:r>
        <w:rPr>
          <w:rFonts w:ascii="Arial" w:cs="Arial" w:eastAsia="Arial" w:hAnsi="Arial"/>
          <w:sz w:val="17"/>
          <w:szCs w:val="17"/>
          <w:i w:val="1"/>
          <w:iCs w:val="1"/>
          <w:color w:val="auto"/>
        </w:rPr>
        <w:t xml:space="preserve">6.1.2 Forty percent (40%) of Net Revenues received by Veracyte on the Test in Territory A and Territory B on and after the first (1st) anniversary of the Effective Date but before </w:t>
      </w:r>
      <w:r>
        <w:rPr>
          <w:rFonts w:ascii="Arial" w:cs="Arial" w:eastAsia="Arial" w:hAnsi="Arial"/>
          <w:sz w:val="17"/>
          <w:szCs w:val="17"/>
          <w:b w:val="1"/>
          <w:bCs w:val="1"/>
          <w:i w:val="1"/>
          <w:iCs w:val="1"/>
          <w:color w:val="auto"/>
        </w:rPr>
        <w:t>February 28, 2014</w:t>
      </w:r>
      <w:r>
        <w:rPr>
          <w:rFonts w:ascii="Arial" w:cs="Arial" w:eastAsia="Arial" w:hAnsi="Arial"/>
          <w:sz w:val="17"/>
          <w:szCs w:val="17"/>
          <w:i w:val="1"/>
          <w:iCs w:val="1"/>
          <w:color w:val="auto"/>
        </w:rPr>
        <w:t>; and</w:t>
      </w:r>
    </w:p>
    <w:p>
      <w:pPr>
        <w:spacing w:after="0" w:line="158" w:lineRule="exact"/>
        <w:rPr>
          <w:sz w:val="20"/>
          <w:szCs w:val="20"/>
          <w:color w:val="auto"/>
        </w:rPr>
      </w:pPr>
    </w:p>
    <w:p>
      <w:pPr>
        <w:ind w:left="760" w:right="60"/>
        <w:spacing w:after="0" w:line="289" w:lineRule="auto"/>
        <w:rPr>
          <w:sz w:val="20"/>
          <w:szCs w:val="20"/>
          <w:color w:val="auto"/>
        </w:rPr>
      </w:pPr>
      <w:r>
        <w:rPr>
          <w:rFonts w:ascii="Arial" w:cs="Arial" w:eastAsia="Arial" w:hAnsi="Arial"/>
          <w:sz w:val="17"/>
          <w:szCs w:val="17"/>
          <w:i w:val="1"/>
          <w:iCs w:val="1"/>
          <w:color w:val="auto"/>
        </w:rPr>
        <w:t xml:space="preserve">6.1.3 Thirty two percent (32%) of Net Revenues received by Veracyte on the Test in Territory A and Territory B on and after </w:t>
      </w:r>
      <w:r>
        <w:rPr>
          <w:rFonts w:ascii="Arial" w:cs="Arial" w:eastAsia="Arial" w:hAnsi="Arial"/>
          <w:sz w:val="17"/>
          <w:szCs w:val="17"/>
          <w:b w:val="1"/>
          <w:bCs w:val="1"/>
          <w:i w:val="1"/>
          <w:iCs w:val="1"/>
          <w:color w:val="auto"/>
        </w:rPr>
        <w:t>February 28, 2014</w:t>
      </w:r>
      <w:r>
        <w:rPr>
          <w:rFonts w:ascii="Arial" w:cs="Arial" w:eastAsia="Arial" w:hAnsi="Arial"/>
          <w:sz w:val="17"/>
          <w:szCs w:val="17"/>
          <w:i w:val="1"/>
          <w:iCs w:val="1"/>
          <w:color w:val="auto"/>
        </w:rPr>
        <w:t xml:space="preserve"> through the effective date of the expiration or termination of this Agreement (inclusive).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7"/>
          <w:szCs w:val="17"/>
          <w:i w:val="1"/>
          <w:iCs w:val="1"/>
          <w:color w:val="auto"/>
        </w:rPr>
        <w:t>Such Promotion Fees shall be due on a quarterly basis as set forth in Section 6.3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hanging="375"/>
        <w:spacing w:after="0"/>
        <w:tabs>
          <w:tab w:leader="none" w:pos="3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Section 6.3 of the CoPromote is hereby deleted and replaced in its entirety as follows:</w:t>
      </w:r>
    </w:p>
    <w:p>
      <w:pPr>
        <w:spacing w:after="0" w:line="224" w:lineRule="exact"/>
        <w:rPr>
          <w:sz w:val="20"/>
          <w:szCs w:val="20"/>
          <w:color w:val="auto"/>
        </w:rPr>
      </w:pPr>
    </w:p>
    <w:p>
      <w:pPr>
        <w:ind w:left="380" w:right="120"/>
        <w:spacing w:after="0" w:line="281" w:lineRule="auto"/>
        <w:rPr>
          <w:sz w:val="20"/>
          <w:szCs w:val="20"/>
          <w:color w:val="auto"/>
        </w:rPr>
      </w:pPr>
      <w:r>
        <w:rPr>
          <w:rFonts w:ascii="Arial" w:cs="Arial" w:eastAsia="Arial" w:hAnsi="Arial"/>
          <w:sz w:val="16"/>
          <w:szCs w:val="16"/>
          <w:i w:val="1"/>
          <w:iCs w:val="1"/>
          <w:u w:val="single" w:color="auto"/>
          <w:color w:val="auto"/>
        </w:rPr>
        <w:t>6.3 Invoicing and Payment.</w:t>
      </w:r>
      <w:r>
        <w:rPr>
          <w:rFonts w:ascii="Arial" w:cs="Arial" w:eastAsia="Arial" w:hAnsi="Arial"/>
          <w:sz w:val="16"/>
          <w:szCs w:val="16"/>
          <w:i w:val="1"/>
          <w:iCs w:val="1"/>
          <w:color w:val="auto"/>
        </w:rPr>
        <w:t xml:space="preserve"> Invoicing shall take place on a quarterly basis. Each invoice shall be based on the data contained in the Quarterly Net Revenue Reports received by Genzyme in accordance with Section 6.2 above and payment shall be due from Veracyte for such Promotion Fees not more than the </w:t>
      </w:r>
      <w:r>
        <w:rPr>
          <w:rFonts w:ascii="Arial" w:cs="Arial" w:eastAsia="Arial" w:hAnsi="Arial"/>
          <w:sz w:val="16"/>
          <w:szCs w:val="16"/>
          <w:b w:val="1"/>
          <w:bCs w:val="1"/>
          <w:i w:val="1"/>
          <w:iCs w:val="1"/>
          <w:color w:val="auto"/>
        </w:rPr>
        <w:t xml:space="preserve">Payment Period Days (as described below) </w:t>
      </w:r>
      <w:r>
        <w:rPr>
          <w:rFonts w:ascii="Arial" w:cs="Arial" w:eastAsia="Arial" w:hAnsi="Arial"/>
          <w:sz w:val="16"/>
          <w:szCs w:val="16"/>
          <w:i w:val="1"/>
          <w:iCs w:val="1"/>
          <w:color w:val="auto"/>
        </w:rPr>
        <w:t>from the date of invoice and may be made in the form of a wire transfer. With respect to invoices for assistance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and support provided by one party to the other party at such other party’s expense pursuant to the terms and conditions of this Agreement, payment shall be due within thirty (30) calendar days after receipt of a reasonably detailed invoice for such assistance and support. </w:t>
      </w:r>
      <w:r>
        <w:rPr>
          <w:rFonts w:ascii="Arial" w:cs="Arial" w:eastAsia="Arial" w:hAnsi="Arial"/>
          <w:sz w:val="16"/>
          <w:szCs w:val="16"/>
          <w:b w:val="1"/>
          <w:bCs w:val="1"/>
          <w:i w:val="1"/>
          <w:iCs w:val="1"/>
          <w:color w:val="auto"/>
        </w:rPr>
        <w:t>For invoices received by Veracyte from</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the date March 1, 2013 through September 30, 2014, the Payment Period Days shall be two hundred ten (210) calendar days. For invoices received by Veracyte following that date, the Payment Period Days shall be thirty (30) calendar days.</w:t>
      </w:r>
    </w:p>
    <w:p>
      <w:pPr>
        <w:spacing w:after="0" w:line="170" w:lineRule="exact"/>
        <w:rPr>
          <w:sz w:val="20"/>
          <w:szCs w:val="20"/>
          <w:color w:val="auto"/>
        </w:rPr>
      </w:pPr>
    </w:p>
    <w:p>
      <w:pPr>
        <w:ind w:left="380" w:right="80" w:hanging="375"/>
        <w:spacing w:after="0" w:line="273" w:lineRule="auto"/>
        <w:tabs>
          <w:tab w:leader="none" w:pos="38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For purposes of clarity, it is the understanding of the parties that payment for any other amounts due under the CoPromote from Genzyme to Veracyte, including the License Fees described in Section 2.3.2 and the Funding Commitments described in Section 3.4, shall not be offset by any Promotion Fees that may be owed by Veracyte.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All other provisions of the CoPromote remain unchanged and the CoPromote remains in full force and effect on its terms.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If the foregoing is agreeable, kindly sign below to evidence your acceptance and approval.</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24"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7"/>
          <w:szCs w:val="17"/>
          <w:color w:val="auto"/>
        </w:rPr>
        <w:t>By:</w:t>
        <w:tab/>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Bonnie Anderson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foregoing is agreed to and accepted by the undersigned, duly authorized officer of Genzyme:</w:t>
      </w:r>
    </w:p>
    <w:p>
      <w:pPr>
        <w:sectPr>
          <w:pgSz w:w="11900" w:h="16838" w:orient="portrait"/>
          <w:cols w:equalWidth="0" w:num="1">
            <w:col w:w="11420"/>
          </w:cols>
          <w:pgMar w:left="240" w:top="357" w:right="239" w:bottom="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22"/>
        </w:trPr>
        <w:tc>
          <w:tcPr>
            <w:tcW w:w="11460" w:type="dxa"/>
            <w:vAlign w:val="bottom"/>
            <w:gridSpan w:val="91"/>
          </w:tcPr>
          <w:p>
            <w:pPr>
              <w:spacing w:after="0"/>
              <w:rPr>
                <w:sz w:val="20"/>
                <w:szCs w:val="20"/>
                <w:color w:val="auto"/>
              </w:rPr>
            </w:pPr>
            <w:r>
              <w:rPr>
                <w:rFonts w:ascii="Arial" w:cs="Arial" w:eastAsia="Arial" w:hAnsi="Arial"/>
                <w:sz w:val="17"/>
                <w:szCs w:val="17"/>
                <w:color w:val="auto"/>
                <w:w w:val="96"/>
              </w:rPr>
              <w:t>Genzyme Corporation</w:t>
            </w:r>
          </w:p>
        </w:tc>
        <w:tc>
          <w:tcPr>
            <w:tcW w:w="0" w:type="dxa"/>
            <w:vAlign w:val="bottom"/>
          </w:tcPr>
          <w:p>
            <w:pPr>
              <w:spacing w:after="0"/>
              <w:rPr>
                <w:sz w:val="1"/>
                <w:szCs w:val="1"/>
                <w:color w:val="auto"/>
              </w:rPr>
            </w:pPr>
          </w:p>
        </w:tc>
      </w:tr>
      <w:tr>
        <w:trPr>
          <w:trHeight w:val="629"/>
        </w:trPr>
        <w:tc>
          <w:tcPr>
            <w:tcW w:w="800" w:type="dxa"/>
            <w:vAlign w:val="bottom"/>
            <w:gridSpan w:val="2"/>
          </w:tcPr>
          <w:p>
            <w:pPr>
              <w:spacing w:after="0"/>
              <w:rPr>
                <w:sz w:val="20"/>
                <w:szCs w:val="20"/>
                <w:color w:val="auto"/>
              </w:rPr>
            </w:pPr>
            <w:r>
              <w:rPr>
                <w:rFonts w:ascii="Arial" w:cs="Arial" w:eastAsia="Arial" w:hAnsi="Arial"/>
                <w:sz w:val="17"/>
                <w:szCs w:val="17"/>
                <w:color w:val="auto"/>
              </w:rPr>
              <w:t>By:</w:t>
            </w:r>
          </w:p>
        </w:tc>
        <w:tc>
          <w:tcPr>
            <w:tcW w:w="4260" w:type="dxa"/>
            <w:vAlign w:val="bottom"/>
            <w:tcBorders>
              <w:bottom w:val="single" w:sz="8" w:color="auto"/>
            </w:tcBorders>
            <w:gridSpan w:val="36"/>
          </w:tcPr>
          <w:p>
            <w:pPr>
              <w:spacing w:after="0"/>
              <w:rPr>
                <w:sz w:val="20"/>
                <w:szCs w:val="20"/>
                <w:color w:val="auto"/>
              </w:rPr>
            </w:pPr>
            <w:r>
              <w:rPr>
                <w:rFonts w:ascii="Arial" w:cs="Arial" w:eastAsia="Arial" w:hAnsi="Arial"/>
                <w:sz w:val="17"/>
                <w:szCs w:val="17"/>
                <w:color w:val="auto"/>
              </w:rPr>
              <w:t>/s/ Rogerio Vivaldi</w:t>
            </w:r>
          </w:p>
        </w:tc>
        <w:tc>
          <w:tcPr>
            <w:tcW w:w="6400" w:type="dxa"/>
            <w:vAlign w:val="bottom"/>
            <w:gridSpan w:val="5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gridSpan w:val="2"/>
          </w:tcPr>
          <w:p>
            <w:pPr>
              <w:spacing w:after="0"/>
              <w:rPr>
                <w:sz w:val="20"/>
                <w:szCs w:val="20"/>
                <w:color w:val="auto"/>
              </w:rPr>
            </w:pPr>
            <w:r>
              <w:rPr>
                <w:rFonts w:ascii="Arial" w:cs="Arial" w:eastAsia="Arial" w:hAnsi="Arial"/>
                <w:sz w:val="17"/>
                <w:szCs w:val="17"/>
                <w:color w:val="auto"/>
              </w:rPr>
              <w:t>Name:</w:t>
            </w:r>
          </w:p>
        </w:tc>
        <w:tc>
          <w:tcPr>
            <w:tcW w:w="10660" w:type="dxa"/>
            <w:vAlign w:val="bottom"/>
            <w:gridSpan w:val="89"/>
          </w:tcPr>
          <w:p>
            <w:pPr>
              <w:spacing w:after="0"/>
              <w:rPr>
                <w:sz w:val="20"/>
                <w:szCs w:val="20"/>
                <w:color w:val="auto"/>
              </w:rPr>
            </w:pPr>
            <w:r>
              <w:rPr>
                <w:rFonts w:ascii="Arial" w:cs="Arial" w:eastAsia="Arial" w:hAnsi="Arial"/>
                <w:sz w:val="17"/>
                <w:szCs w:val="17"/>
                <w:color w:val="auto"/>
              </w:rPr>
              <w:t>ROGERIO VIVALDI</w:t>
            </w:r>
          </w:p>
        </w:tc>
        <w:tc>
          <w:tcPr>
            <w:tcW w:w="0" w:type="dxa"/>
            <w:vAlign w:val="bottom"/>
          </w:tcPr>
          <w:p>
            <w:pPr>
              <w:spacing w:after="0"/>
              <w:rPr>
                <w:sz w:val="1"/>
                <w:szCs w:val="1"/>
                <w:color w:val="auto"/>
              </w:rPr>
            </w:pPr>
          </w:p>
        </w:tc>
      </w:tr>
      <w:tr>
        <w:trPr>
          <w:trHeight w:val="419"/>
        </w:trPr>
        <w:tc>
          <w:tcPr>
            <w:tcW w:w="800" w:type="dxa"/>
            <w:vAlign w:val="bottom"/>
            <w:gridSpan w:val="2"/>
          </w:tcPr>
          <w:p>
            <w:pPr>
              <w:spacing w:after="0"/>
              <w:rPr>
                <w:sz w:val="20"/>
                <w:szCs w:val="20"/>
                <w:color w:val="auto"/>
              </w:rPr>
            </w:pPr>
            <w:r>
              <w:rPr>
                <w:rFonts w:ascii="Arial" w:cs="Arial" w:eastAsia="Arial" w:hAnsi="Arial"/>
                <w:sz w:val="17"/>
                <w:szCs w:val="17"/>
                <w:color w:val="auto"/>
              </w:rPr>
              <w:t>Title:</w:t>
            </w:r>
          </w:p>
        </w:tc>
        <w:tc>
          <w:tcPr>
            <w:tcW w:w="10660" w:type="dxa"/>
            <w:vAlign w:val="bottom"/>
            <w:gridSpan w:val="89"/>
          </w:tcPr>
          <w:p>
            <w:pPr>
              <w:spacing w:after="0"/>
              <w:rPr>
                <w:sz w:val="20"/>
                <w:szCs w:val="20"/>
                <w:color w:val="auto"/>
              </w:rPr>
            </w:pPr>
            <w:r>
              <w:rPr>
                <w:rFonts w:ascii="Arial" w:cs="Arial" w:eastAsia="Arial" w:hAnsi="Arial"/>
                <w:sz w:val="17"/>
                <w:szCs w:val="17"/>
                <w:color w:val="auto"/>
                <w:w w:val="95"/>
              </w:rPr>
              <w:t>SVP, HEAD OF RARE DISEASES</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gridSpan w:val="60"/>
          </w:tcPr>
          <w:p>
            <w:pPr>
              <w:jc w:val="center"/>
              <w:spacing w:after="0"/>
              <w:rPr>
                <w:sz w:val="20"/>
                <w:szCs w:val="20"/>
                <w:color w:val="auto"/>
              </w:rPr>
            </w:pPr>
            <w:r>
              <w:rPr>
                <w:rFonts w:ascii="Arial" w:cs="Arial" w:eastAsia="Arial" w:hAnsi="Arial"/>
                <w:sz w:val="17"/>
                <w:szCs w:val="17"/>
                <w:color w:val="auto"/>
                <w:w w:val="98"/>
              </w:rPr>
              <w:t>[SIGNATURE PAGE TO FIRST AMENDMENT TO CO-PROMOTION AGREEMENT</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60" w:type="dxa"/>
            <w:vAlign w:val="bottom"/>
            <w:gridSpan w:val="91"/>
          </w:tcPr>
          <w:p>
            <w:pPr>
              <w:spacing w:after="0"/>
              <w:rPr>
                <w:sz w:val="20"/>
                <w:szCs w:val="20"/>
                <w:color w:val="auto"/>
              </w:rPr>
            </w:pPr>
            <w:r>
              <w:rPr>
                <w:rFonts w:ascii="Arial" w:cs="Arial" w:eastAsia="Arial" w:hAnsi="Arial"/>
                <w:sz w:val="17"/>
                <w:szCs w:val="17"/>
                <w:color w:val="auto"/>
              </w:rPr>
              <w:t>BETWEEN GENZYME AND VERACYTE]</w:t>
            </w:r>
          </w:p>
        </w:tc>
        <w:tc>
          <w:tcPr>
            <w:tcW w:w="0" w:type="dxa"/>
            <w:vAlign w:val="bottom"/>
          </w:tcPr>
          <w:p>
            <w:pPr>
              <w:spacing w:after="0"/>
              <w:rPr>
                <w:sz w:val="1"/>
                <w:szCs w:val="1"/>
                <w:color w:val="auto"/>
              </w:rPr>
            </w:pPr>
          </w:p>
        </w:tc>
      </w:tr>
      <w:tr>
        <w:trPr>
          <w:trHeight w:val="419"/>
        </w:trPr>
        <w:tc>
          <w:tcPr>
            <w:tcW w:w="11460" w:type="dxa"/>
            <w:vAlign w:val="bottom"/>
            <w:gridSpan w:val="91"/>
          </w:tcPr>
          <w:p>
            <w:pPr>
              <w:jc w:val="right"/>
              <w:ind w:right="114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28"/>
        </w:trPr>
        <w:tc>
          <w:tcPr>
            <w:tcW w:w="11460" w:type="dxa"/>
            <w:vAlign w:val="bottom"/>
            <w:tcBorders>
              <w:bottom w:val="single" w:sz="8" w:color="010101"/>
            </w:tcBorders>
            <w:gridSpan w:val="91"/>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1780" w:type="dxa"/>
            <w:vAlign w:val="bottom"/>
            <w:gridSpan w:val="7"/>
          </w:tcPr>
          <w:p>
            <w:pPr>
              <w:spacing w:after="0"/>
              <w:rPr>
                <w:sz w:val="24"/>
                <w:szCs w:val="24"/>
                <w:color w:val="auto"/>
              </w:rPr>
            </w:pPr>
          </w:p>
        </w:tc>
        <w:tc>
          <w:tcPr>
            <w:tcW w:w="8680" w:type="dxa"/>
            <w:vAlign w:val="bottom"/>
            <w:tcBorders>
              <w:bottom w:val="single" w:sz="8" w:color="auto"/>
            </w:tcBorders>
            <w:gridSpan w:val="76"/>
          </w:tcPr>
          <w:p>
            <w:pPr>
              <w:spacing w:after="0"/>
              <w:rPr>
                <w:sz w:val="20"/>
                <w:szCs w:val="20"/>
                <w:color w:val="auto"/>
              </w:rPr>
            </w:pPr>
            <w:r>
              <w:rPr>
                <w:rFonts w:ascii="Arial" w:cs="Arial" w:eastAsia="Arial" w:hAnsi="Arial"/>
                <w:sz w:val="14"/>
                <w:szCs w:val="14"/>
                <w:b w:val="1"/>
                <w:bCs w:val="1"/>
                <w:color w:val="auto"/>
              </w:rPr>
              <w:t>Regular Payments Schedule</w:t>
            </w:r>
          </w:p>
        </w:tc>
        <w:tc>
          <w:tcPr>
            <w:tcW w:w="1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980" w:type="dxa"/>
            <w:vAlign w:val="bottom"/>
            <w:gridSpan w:val="5"/>
          </w:tcPr>
          <w:p>
            <w:pPr>
              <w:spacing w:after="0"/>
              <w:rPr>
                <w:sz w:val="11"/>
                <w:szCs w:val="11"/>
                <w:color w:val="auto"/>
              </w:rPr>
            </w:pPr>
          </w:p>
        </w:tc>
        <w:tc>
          <w:tcPr>
            <w:tcW w:w="2780" w:type="dxa"/>
            <w:vAlign w:val="bottom"/>
            <w:tcBorders>
              <w:bottom w:val="single" w:sz="8" w:color="auto"/>
            </w:tcBorders>
            <w:gridSpan w:val="27"/>
          </w:tcPr>
          <w:p>
            <w:pPr>
              <w:jc w:val="right"/>
              <w:ind w:right="2780"/>
              <w:spacing w:after="0"/>
              <w:rPr>
                <w:sz w:val="20"/>
                <w:szCs w:val="20"/>
                <w:color w:val="auto"/>
              </w:rPr>
            </w:pPr>
            <w:r>
              <w:rPr>
                <w:rFonts w:ascii="Arial" w:cs="Arial" w:eastAsia="Arial" w:hAnsi="Arial"/>
                <w:sz w:val="14"/>
                <w:szCs w:val="14"/>
                <w:b w:val="1"/>
                <w:bCs w:val="1"/>
                <w:color w:val="auto"/>
              </w:rPr>
              <w:t>2013</w:t>
            </w:r>
          </w:p>
        </w:tc>
        <w:tc>
          <w:tcPr>
            <w:tcW w:w="100" w:type="dxa"/>
            <w:vAlign w:val="bottom"/>
            <w:gridSpan w:val="2"/>
          </w:tcPr>
          <w:p>
            <w:pPr>
              <w:spacing w:after="0"/>
              <w:rPr>
                <w:sz w:val="11"/>
                <w:szCs w:val="11"/>
                <w:color w:val="auto"/>
              </w:rPr>
            </w:pPr>
          </w:p>
        </w:tc>
        <w:tc>
          <w:tcPr>
            <w:tcW w:w="2840" w:type="dxa"/>
            <w:vAlign w:val="bottom"/>
            <w:tcBorders>
              <w:bottom w:val="single" w:sz="8" w:color="auto"/>
            </w:tcBorders>
            <w:gridSpan w:val="22"/>
          </w:tcPr>
          <w:p>
            <w:pPr>
              <w:jc w:val="right"/>
              <w:ind w:right="2770"/>
              <w:spacing w:after="0"/>
              <w:rPr>
                <w:sz w:val="20"/>
                <w:szCs w:val="20"/>
                <w:color w:val="auto"/>
              </w:rPr>
            </w:pPr>
            <w:r>
              <w:rPr>
                <w:rFonts w:ascii="Arial" w:cs="Arial" w:eastAsia="Arial" w:hAnsi="Arial"/>
                <w:sz w:val="14"/>
                <w:szCs w:val="14"/>
                <w:b w:val="1"/>
                <w:bCs w:val="1"/>
                <w:color w:val="auto"/>
              </w:rPr>
              <w:t>2014</w:t>
            </w:r>
          </w:p>
        </w:tc>
        <w:tc>
          <w:tcPr>
            <w:tcW w:w="100" w:type="dxa"/>
            <w:vAlign w:val="bottom"/>
            <w:gridSpan w:val="2"/>
          </w:tcPr>
          <w:p>
            <w:pPr>
              <w:spacing w:after="0"/>
              <w:rPr>
                <w:sz w:val="11"/>
                <w:szCs w:val="11"/>
                <w:color w:val="auto"/>
              </w:rPr>
            </w:pPr>
          </w:p>
        </w:tc>
        <w:tc>
          <w:tcPr>
            <w:tcW w:w="2860" w:type="dxa"/>
            <w:vAlign w:val="bottom"/>
            <w:tcBorders>
              <w:bottom w:val="single" w:sz="8" w:color="auto"/>
            </w:tcBorders>
            <w:gridSpan w:val="23"/>
          </w:tcPr>
          <w:p>
            <w:pPr>
              <w:jc w:val="right"/>
              <w:ind w:right="2790"/>
              <w:spacing w:after="0"/>
              <w:rPr>
                <w:sz w:val="20"/>
                <w:szCs w:val="20"/>
                <w:color w:val="auto"/>
              </w:rPr>
            </w:pPr>
            <w:r>
              <w:rPr>
                <w:rFonts w:ascii="Arial" w:cs="Arial" w:eastAsia="Arial" w:hAnsi="Arial"/>
                <w:sz w:val="14"/>
                <w:szCs w:val="14"/>
                <w:b w:val="1"/>
                <w:bCs w:val="1"/>
                <w:color w:val="auto"/>
              </w:rPr>
              <w:t>2015</w:t>
            </w:r>
          </w:p>
        </w:tc>
        <w:tc>
          <w:tcPr>
            <w:tcW w:w="120" w:type="dxa"/>
            <w:vAlign w:val="bottom"/>
            <w:gridSpan w:val="3"/>
          </w:tcPr>
          <w:p>
            <w:pPr>
              <w:spacing w:after="0"/>
              <w:rPr>
                <w:sz w:val="11"/>
                <w:szCs w:val="11"/>
                <w:color w:val="auto"/>
              </w:rPr>
            </w:pPr>
          </w:p>
        </w:tc>
        <w:tc>
          <w:tcPr>
            <w:tcW w:w="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Total Pymts</w:t>
            </w:r>
          </w:p>
        </w:tc>
        <w:tc>
          <w:tcPr>
            <w:tcW w:w="0" w:type="dxa"/>
            <w:vAlign w:val="bottom"/>
          </w:tcPr>
          <w:p>
            <w:pPr>
              <w:spacing w:after="0"/>
              <w:rPr>
                <w:sz w:val="1"/>
                <w:szCs w:val="1"/>
                <w:color w:val="auto"/>
              </w:rPr>
            </w:pPr>
          </w:p>
        </w:tc>
      </w:tr>
      <w:tr>
        <w:trPr>
          <w:trHeight w:val="137"/>
        </w:trPr>
        <w:tc>
          <w:tcPr>
            <w:tcW w:w="800" w:type="dxa"/>
            <w:vAlign w:val="bottom"/>
            <w:gridSpan w:val="2"/>
            <w:vMerge w:val="continue"/>
          </w:tcPr>
          <w:p>
            <w:pPr>
              <w:spacing w:after="0"/>
              <w:rPr>
                <w:sz w:val="11"/>
                <w:szCs w:val="11"/>
                <w:color w:val="auto"/>
              </w:rPr>
            </w:pPr>
          </w:p>
        </w:tc>
        <w:tc>
          <w:tcPr>
            <w:tcW w:w="1680" w:type="dxa"/>
            <w:vAlign w:val="bottom"/>
            <w:gridSpan w:val="10"/>
          </w:tcPr>
          <w:p>
            <w:pPr>
              <w:spacing w:after="0"/>
              <w:rPr>
                <w:sz w:val="20"/>
                <w:szCs w:val="20"/>
                <w:color w:val="auto"/>
              </w:rPr>
            </w:pPr>
            <w:r>
              <w:rPr>
                <w:rFonts w:ascii="Arial" w:cs="Arial" w:eastAsia="Arial" w:hAnsi="Arial"/>
                <w:sz w:val="14"/>
                <w:szCs w:val="14"/>
                <w:b w:val="1"/>
                <w:bCs w:val="1"/>
                <w:color w:val="auto"/>
              </w:rPr>
              <w:t>Q1</w:t>
            </w:r>
          </w:p>
        </w:tc>
        <w:tc>
          <w:tcPr>
            <w:tcW w:w="520" w:type="dxa"/>
            <w:vAlign w:val="bottom"/>
            <w:gridSpan w:val="7"/>
          </w:tcPr>
          <w:p>
            <w:pPr>
              <w:jc w:val="right"/>
              <w:ind w:right="250"/>
              <w:spacing w:after="0" w:line="137" w:lineRule="exact"/>
              <w:rPr>
                <w:sz w:val="20"/>
                <w:szCs w:val="20"/>
                <w:color w:val="auto"/>
              </w:rPr>
            </w:pPr>
            <w:r>
              <w:rPr>
                <w:rFonts w:ascii="Arial" w:cs="Arial" w:eastAsia="Arial" w:hAnsi="Arial"/>
                <w:sz w:val="14"/>
                <w:szCs w:val="14"/>
                <w:b w:val="1"/>
                <w:bCs w:val="1"/>
                <w:color w:val="auto"/>
                <w:w w:val="96"/>
              </w:rPr>
              <w:t>Q2</w:t>
            </w:r>
          </w:p>
        </w:tc>
        <w:tc>
          <w:tcPr>
            <w:tcW w:w="580" w:type="dxa"/>
            <w:vAlign w:val="bottom"/>
            <w:gridSpan w:val="7"/>
          </w:tcPr>
          <w:p>
            <w:pPr>
              <w:jc w:val="center"/>
              <w:ind w:right="170"/>
              <w:spacing w:after="0" w:line="137" w:lineRule="exact"/>
              <w:rPr>
                <w:sz w:val="20"/>
                <w:szCs w:val="20"/>
                <w:color w:val="auto"/>
              </w:rPr>
            </w:pPr>
            <w:r>
              <w:rPr>
                <w:rFonts w:ascii="Arial" w:cs="Arial" w:eastAsia="Arial" w:hAnsi="Arial"/>
                <w:sz w:val="14"/>
                <w:szCs w:val="14"/>
                <w:b w:val="1"/>
                <w:bCs w:val="1"/>
                <w:color w:val="auto"/>
                <w:w w:val="96"/>
              </w:rPr>
              <w:t>Q3</w:t>
            </w:r>
          </w:p>
        </w:tc>
        <w:tc>
          <w:tcPr>
            <w:tcW w:w="500" w:type="dxa"/>
            <w:vAlign w:val="bottom"/>
            <w:gridSpan w:val="6"/>
          </w:tcPr>
          <w:p>
            <w:pPr>
              <w:jc w:val="right"/>
              <w:ind w:right="170"/>
              <w:spacing w:after="0" w:line="137" w:lineRule="exact"/>
              <w:rPr>
                <w:sz w:val="20"/>
                <w:szCs w:val="20"/>
                <w:color w:val="auto"/>
              </w:rPr>
            </w:pPr>
            <w:r>
              <w:rPr>
                <w:rFonts w:ascii="Arial" w:cs="Arial" w:eastAsia="Arial" w:hAnsi="Arial"/>
                <w:sz w:val="14"/>
                <w:szCs w:val="14"/>
                <w:b w:val="1"/>
                <w:bCs w:val="1"/>
                <w:color w:val="auto"/>
              </w:rPr>
              <w:t>Q4</w:t>
            </w:r>
          </w:p>
        </w:tc>
        <w:tc>
          <w:tcPr>
            <w:tcW w:w="660" w:type="dxa"/>
            <w:vAlign w:val="bottom"/>
            <w:gridSpan w:val="5"/>
          </w:tcPr>
          <w:p>
            <w:pPr>
              <w:jc w:val="right"/>
              <w:ind w:right="256"/>
              <w:spacing w:after="0" w:line="137" w:lineRule="exact"/>
              <w:rPr>
                <w:sz w:val="20"/>
                <w:szCs w:val="20"/>
                <w:color w:val="auto"/>
              </w:rPr>
            </w:pPr>
            <w:r>
              <w:rPr>
                <w:rFonts w:ascii="Arial" w:cs="Arial" w:eastAsia="Arial" w:hAnsi="Arial"/>
                <w:sz w:val="14"/>
                <w:szCs w:val="14"/>
                <w:b w:val="1"/>
                <w:bCs w:val="1"/>
                <w:color w:val="auto"/>
              </w:rPr>
              <w:t>FY</w:t>
            </w:r>
          </w:p>
        </w:tc>
        <w:tc>
          <w:tcPr>
            <w:tcW w:w="580" w:type="dxa"/>
            <w:vAlign w:val="bottom"/>
            <w:gridSpan w:val="5"/>
          </w:tcPr>
          <w:p>
            <w:pPr>
              <w:ind w:left="60"/>
              <w:spacing w:after="0" w:line="137" w:lineRule="exact"/>
              <w:rPr>
                <w:sz w:val="20"/>
                <w:szCs w:val="20"/>
                <w:color w:val="auto"/>
              </w:rPr>
            </w:pPr>
            <w:r>
              <w:rPr>
                <w:rFonts w:ascii="Arial" w:cs="Arial" w:eastAsia="Arial" w:hAnsi="Arial"/>
                <w:sz w:val="14"/>
                <w:szCs w:val="14"/>
                <w:b w:val="1"/>
                <w:bCs w:val="1"/>
                <w:color w:val="auto"/>
              </w:rPr>
              <w:t>Q1</w:t>
            </w:r>
          </w:p>
        </w:tc>
        <w:tc>
          <w:tcPr>
            <w:tcW w:w="580" w:type="dxa"/>
            <w:vAlign w:val="bottom"/>
            <w:gridSpan w:val="5"/>
          </w:tcPr>
          <w:p>
            <w:pPr>
              <w:jc w:val="right"/>
              <w:ind w:right="288"/>
              <w:spacing w:after="0" w:line="137" w:lineRule="exact"/>
              <w:rPr>
                <w:sz w:val="20"/>
                <w:szCs w:val="20"/>
                <w:color w:val="auto"/>
              </w:rPr>
            </w:pPr>
            <w:r>
              <w:rPr>
                <w:rFonts w:ascii="Arial" w:cs="Arial" w:eastAsia="Arial" w:hAnsi="Arial"/>
                <w:sz w:val="14"/>
                <w:szCs w:val="14"/>
                <w:b w:val="1"/>
                <w:bCs w:val="1"/>
                <w:color w:val="auto"/>
              </w:rPr>
              <w:t>Q2</w:t>
            </w:r>
          </w:p>
        </w:tc>
        <w:tc>
          <w:tcPr>
            <w:tcW w:w="600" w:type="dxa"/>
            <w:vAlign w:val="bottom"/>
            <w:gridSpan w:val="5"/>
          </w:tcPr>
          <w:p>
            <w:pPr>
              <w:jc w:val="center"/>
              <w:ind w:right="230"/>
              <w:spacing w:after="0" w:line="137" w:lineRule="exact"/>
              <w:rPr>
                <w:sz w:val="20"/>
                <w:szCs w:val="20"/>
                <w:color w:val="auto"/>
              </w:rPr>
            </w:pPr>
            <w:r>
              <w:rPr>
                <w:rFonts w:ascii="Arial" w:cs="Arial" w:eastAsia="Arial" w:hAnsi="Arial"/>
                <w:sz w:val="14"/>
                <w:szCs w:val="14"/>
                <w:b w:val="1"/>
                <w:bCs w:val="1"/>
                <w:color w:val="auto"/>
                <w:w w:val="96"/>
              </w:rPr>
              <w:t>Q3</w:t>
            </w:r>
          </w:p>
        </w:tc>
        <w:tc>
          <w:tcPr>
            <w:tcW w:w="600" w:type="dxa"/>
            <w:vAlign w:val="bottom"/>
            <w:gridSpan w:val="5"/>
          </w:tcPr>
          <w:p>
            <w:pPr>
              <w:jc w:val="right"/>
              <w:ind w:right="380"/>
              <w:spacing w:after="0" w:line="137" w:lineRule="exact"/>
              <w:rPr>
                <w:sz w:val="20"/>
                <w:szCs w:val="20"/>
                <w:color w:val="auto"/>
              </w:rPr>
            </w:pPr>
            <w:r>
              <w:rPr>
                <w:rFonts w:ascii="Arial" w:cs="Arial" w:eastAsia="Arial" w:hAnsi="Arial"/>
                <w:sz w:val="14"/>
                <w:szCs w:val="14"/>
                <w:b w:val="1"/>
                <w:bCs w:val="1"/>
                <w:color w:val="auto"/>
              </w:rPr>
              <w:t>Q4</w:t>
            </w:r>
          </w:p>
        </w:tc>
        <w:tc>
          <w:tcPr>
            <w:tcW w:w="640" w:type="dxa"/>
            <w:vAlign w:val="bottom"/>
            <w:gridSpan w:val="5"/>
          </w:tcPr>
          <w:p>
            <w:pPr>
              <w:jc w:val="right"/>
              <w:ind w:right="350"/>
              <w:spacing w:after="0" w:line="137" w:lineRule="exact"/>
              <w:rPr>
                <w:sz w:val="20"/>
                <w:szCs w:val="20"/>
                <w:color w:val="auto"/>
              </w:rPr>
            </w:pPr>
            <w:r>
              <w:rPr>
                <w:rFonts w:ascii="Arial" w:cs="Arial" w:eastAsia="Arial" w:hAnsi="Arial"/>
                <w:sz w:val="14"/>
                <w:szCs w:val="14"/>
                <w:b w:val="1"/>
                <w:bCs w:val="1"/>
                <w:color w:val="auto"/>
              </w:rPr>
              <w:t>FY</w:t>
            </w:r>
          </w:p>
        </w:tc>
        <w:tc>
          <w:tcPr>
            <w:tcW w:w="580" w:type="dxa"/>
            <w:vAlign w:val="bottom"/>
            <w:gridSpan w:val="5"/>
          </w:tcPr>
          <w:p>
            <w:pPr>
              <w:ind w:left="20"/>
              <w:spacing w:after="0" w:line="137" w:lineRule="exact"/>
              <w:rPr>
                <w:sz w:val="20"/>
                <w:szCs w:val="20"/>
                <w:color w:val="auto"/>
              </w:rPr>
            </w:pPr>
            <w:r>
              <w:rPr>
                <w:rFonts w:ascii="Arial" w:cs="Arial" w:eastAsia="Arial" w:hAnsi="Arial"/>
                <w:sz w:val="14"/>
                <w:szCs w:val="14"/>
                <w:b w:val="1"/>
                <w:bCs w:val="1"/>
                <w:color w:val="auto"/>
              </w:rPr>
              <w:t>Q1</w:t>
            </w:r>
          </w:p>
        </w:tc>
        <w:tc>
          <w:tcPr>
            <w:tcW w:w="580" w:type="dxa"/>
            <w:vAlign w:val="bottom"/>
            <w:gridSpan w:val="5"/>
          </w:tcPr>
          <w:p>
            <w:pPr>
              <w:jc w:val="right"/>
              <w:ind w:right="328"/>
              <w:spacing w:after="0" w:line="137" w:lineRule="exact"/>
              <w:rPr>
                <w:sz w:val="20"/>
                <w:szCs w:val="20"/>
                <w:color w:val="auto"/>
              </w:rPr>
            </w:pPr>
            <w:r>
              <w:rPr>
                <w:rFonts w:ascii="Arial" w:cs="Arial" w:eastAsia="Arial" w:hAnsi="Arial"/>
                <w:sz w:val="14"/>
                <w:szCs w:val="14"/>
                <w:b w:val="1"/>
                <w:bCs w:val="1"/>
                <w:color w:val="auto"/>
                <w:w w:val="96"/>
              </w:rPr>
              <w:t>Q2</w:t>
            </w:r>
          </w:p>
        </w:tc>
        <w:tc>
          <w:tcPr>
            <w:tcW w:w="580" w:type="dxa"/>
            <w:vAlign w:val="bottom"/>
            <w:gridSpan w:val="5"/>
          </w:tcPr>
          <w:p>
            <w:pPr>
              <w:jc w:val="right"/>
              <w:ind w:right="348"/>
              <w:spacing w:after="0" w:line="137" w:lineRule="exact"/>
              <w:rPr>
                <w:sz w:val="20"/>
                <w:szCs w:val="20"/>
                <w:color w:val="auto"/>
              </w:rPr>
            </w:pPr>
            <w:r>
              <w:rPr>
                <w:rFonts w:ascii="Arial" w:cs="Arial" w:eastAsia="Arial" w:hAnsi="Arial"/>
                <w:sz w:val="14"/>
                <w:szCs w:val="14"/>
                <w:b w:val="1"/>
                <w:bCs w:val="1"/>
                <w:color w:val="auto"/>
                <w:w w:val="85"/>
              </w:rPr>
              <w:t>Q3</w:t>
            </w:r>
          </w:p>
        </w:tc>
        <w:tc>
          <w:tcPr>
            <w:tcW w:w="580" w:type="dxa"/>
            <w:vAlign w:val="bottom"/>
            <w:gridSpan w:val="5"/>
          </w:tcPr>
          <w:p>
            <w:pPr>
              <w:jc w:val="right"/>
              <w:ind w:right="400"/>
              <w:spacing w:after="0" w:line="137" w:lineRule="exact"/>
              <w:rPr>
                <w:sz w:val="20"/>
                <w:szCs w:val="20"/>
                <w:color w:val="auto"/>
              </w:rPr>
            </w:pPr>
            <w:r>
              <w:rPr>
                <w:rFonts w:ascii="Arial" w:cs="Arial" w:eastAsia="Arial" w:hAnsi="Arial"/>
                <w:sz w:val="14"/>
                <w:szCs w:val="14"/>
                <w:b w:val="1"/>
                <w:bCs w:val="1"/>
                <w:color w:val="auto"/>
                <w:w w:val="85"/>
              </w:rPr>
              <w:t>Q4</w:t>
            </w:r>
          </w:p>
        </w:tc>
        <w:tc>
          <w:tcPr>
            <w:tcW w:w="520" w:type="dxa"/>
            <w:vAlign w:val="bottom"/>
            <w:gridSpan w:val="4"/>
          </w:tcPr>
          <w:p>
            <w:pPr>
              <w:ind w:left="40"/>
              <w:spacing w:after="0" w:line="137" w:lineRule="exact"/>
              <w:rPr>
                <w:sz w:val="20"/>
                <w:szCs w:val="20"/>
                <w:color w:val="auto"/>
              </w:rPr>
            </w:pPr>
            <w:r>
              <w:rPr>
                <w:rFonts w:ascii="Arial" w:cs="Arial" w:eastAsia="Arial" w:hAnsi="Arial"/>
                <w:sz w:val="14"/>
                <w:szCs w:val="14"/>
                <w:b w:val="1"/>
                <w:bCs w:val="1"/>
                <w:color w:val="auto"/>
              </w:rPr>
              <w:t>FY</w:t>
            </w:r>
          </w:p>
        </w:tc>
        <w:tc>
          <w:tcPr>
            <w:tcW w:w="8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640" w:type="dxa"/>
            <w:vAlign w:val="bottom"/>
            <w:tcBorders>
              <w:top w:val="single" w:sz="8" w:color="auto"/>
            </w:tcBorders>
            <w:gridSpan w:val="4"/>
            <w:shd w:val="clear" w:color="auto" w:fill="CCEEFF"/>
          </w:tcPr>
          <w:p>
            <w:pPr>
              <w:spacing w:after="0" w:line="137" w:lineRule="exact"/>
              <w:rPr>
                <w:sz w:val="20"/>
                <w:szCs w:val="20"/>
                <w:color w:val="auto"/>
              </w:rPr>
            </w:pPr>
            <w:r>
              <w:rPr>
                <w:rFonts w:ascii="Arial" w:cs="Arial" w:eastAsia="Arial" w:hAnsi="Arial"/>
                <w:sz w:val="14"/>
                <w:szCs w:val="14"/>
                <w:color w:val="auto"/>
              </w:rPr>
              <w:t>Invoice by GZ</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460" w:type="dxa"/>
            <w:vAlign w:val="bottom"/>
            <w:tcBorders>
              <w:top w:val="single" w:sz="8" w:color="auto"/>
            </w:tcBorders>
            <w:gridSpan w:val="3"/>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1,757</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Arial" w:cs="Arial" w:eastAsia="Arial" w:hAnsi="Arial"/>
                <w:sz w:val="14"/>
                <w:szCs w:val="14"/>
                <w:color w:val="auto"/>
              </w:rPr>
              <w:t>1,910</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Arial" w:cs="Arial" w:eastAsia="Arial" w:hAnsi="Arial"/>
                <w:sz w:val="14"/>
                <w:szCs w:val="14"/>
                <w:color w:val="auto"/>
              </w:rPr>
              <w:t>2,349</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3,045</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2,958</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3,543</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6"/>
              </w:rPr>
              <w:t>4,471</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3"/>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5,065</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8"/>
              <w:spacing w:after="0" w:line="137"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5,867</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8"/>
              <w:spacing w:after="0" w:line="137"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6,570</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8,053</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3"/>
            <w:shd w:val="clear" w:color="auto" w:fill="CCEEFF"/>
          </w:tcPr>
          <w:p>
            <w:pPr>
              <w:spacing w:after="0"/>
              <w:rPr>
                <w:sz w:val="11"/>
                <w:szCs w:val="11"/>
                <w:color w:val="auto"/>
              </w:rPr>
            </w:pPr>
          </w:p>
        </w:tc>
        <w:tc>
          <w:tcPr>
            <w:tcW w:w="120" w:type="dxa"/>
            <w:vAlign w:val="bottom"/>
            <w:tcBorders>
              <w:top w:val="single" w:sz="8" w:color="CCEEFF"/>
            </w:tcBorders>
            <w:gridSpan w:val="3"/>
            <w:shd w:val="clear" w:color="auto" w:fill="CCEEFF"/>
          </w:tcPr>
          <w:p>
            <w:pPr>
              <w:spacing w:after="0"/>
              <w:rPr>
                <w:sz w:val="11"/>
                <w:szCs w:val="11"/>
                <w:color w:val="auto"/>
              </w:rPr>
            </w:pPr>
          </w:p>
        </w:tc>
        <w:tc>
          <w:tcPr>
            <w:tcW w:w="740" w:type="dxa"/>
            <w:vAlign w:val="bottom"/>
            <w:tcBorders>
              <w:top w:val="single" w:sz="8" w:color="auto"/>
            </w:tcBorders>
            <w:gridSpan w:val="3"/>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80" w:type="dxa"/>
            <w:vAlign w:val="bottom"/>
            <w:gridSpan w:val="14"/>
          </w:tcPr>
          <w:p>
            <w:pPr>
              <w:spacing w:after="0"/>
              <w:rPr>
                <w:sz w:val="20"/>
                <w:szCs w:val="20"/>
                <w:color w:val="auto"/>
              </w:rPr>
            </w:pPr>
            <w:r>
              <w:rPr>
                <w:rFonts w:ascii="Arial" w:cs="Arial" w:eastAsia="Arial" w:hAnsi="Arial"/>
                <w:sz w:val="14"/>
                <w:szCs w:val="14"/>
                <w:color w:val="auto"/>
              </w:rPr>
              <w:t>Time to Pay (in Days)</w:t>
            </w:r>
          </w:p>
        </w:tc>
        <w:tc>
          <w:tcPr>
            <w:tcW w:w="320" w:type="dxa"/>
            <w:vAlign w:val="bottom"/>
            <w:gridSpan w:val="5"/>
          </w:tcPr>
          <w:p>
            <w:pPr>
              <w:jc w:val="right"/>
              <w:ind w:right="110"/>
              <w:spacing w:after="0" w:line="144" w:lineRule="exact"/>
              <w:rPr>
                <w:sz w:val="20"/>
                <w:szCs w:val="20"/>
                <w:color w:val="auto"/>
              </w:rPr>
            </w:pPr>
            <w:r>
              <w:rPr>
                <w:rFonts w:ascii="Arial" w:cs="Arial" w:eastAsia="Arial" w:hAnsi="Arial"/>
                <w:sz w:val="14"/>
                <w:szCs w:val="14"/>
                <w:color w:val="auto"/>
                <w:w w:val="76"/>
              </w:rPr>
              <w:t>30</w:t>
            </w:r>
          </w:p>
        </w:tc>
        <w:tc>
          <w:tcPr>
            <w:tcW w:w="580" w:type="dxa"/>
            <w:vAlign w:val="bottom"/>
            <w:gridSpan w:val="7"/>
          </w:tcPr>
          <w:p>
            <w:pPr>
              <w:jc w:val="right"/>
              <w:ind w:right="110"/>
              <w:spacing w:after="0" w:line="144" w:lineRule="exact"/>
              <w:rPr>
                <w:sz w:val="20"/>
                <w:szCs w:val="20"/>
                <w:color w:val="auto"/>
              </w:rPr>
            </w:pPr>
            <w:r>
              <w:rPr>
                <w:rFonts w:ascii="Arial" w:cs="Arial" w:eastAsia="Arial" w:hAnsi="Arial"/>
                <w:sz w:val="14"/>
                <w:szCs w:val="14"/>
                <w:color w:val="auto"/>
              </w:rPr>
              <w:t>30</w:t>
            </w:r>
          </w:p>
        </w:tc>
        <w:tc>
          <w:tcPr>
            <w:tcW w:w="1160" w:type="dxa"/>
            <w:vAlign w:val="bottom"/>
            <w:gridSpan w:val="11"/>
          </w:tcPr>
          <w:p>
            <w:pPr>
              <w:jc w:val="right"/>
              <w:ind w:right="696"/>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2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48"/>
              <w:spacing w:after="0" w:line="144" w:lineRule="exact"/>
              <w:rPr>
                <w:sz w:val="20"/>
                <w:szCs w:val="20"/>
                <w:color w:val="auto"/>
              </w:rPr>
            </w:pPr>
            <w:r>
              <w:rPr>
                <w:rFonts w:ascii="Arial" w:cs="Arial" w:eastAsia="Arial" w:hAnsi="Arial"/>
                <w:sz w:val="14"/>
                <w:szCs w:val="14"/>
                <w:color w:val="auto"/>
              </w:rPr>
              <w:t>30</w:t>
            </w:r>
          </w:p>
        </w:tc>
        <w:tc>
          <w:tcPr>
            <w:tcW w:w="600" w:type="dxa"/>
            <w:vAlign w:val="bottom"/>
            <w:gridSpan w:val="5"/>
          </w:tcPr>
          <w:p>
            <w:pPr>
              <w:jc w:val="right"/>
              <w:ind w:right="150"/>
              <w:spacing w:after="0" w:line="144" w:lineRule="exact"/>
              <w:rPr>
                <w:sz w:val="20"/>
                <w:szCs w:val="20"/>
                <w:color w:val="auto"/>
              </w:rPr>
            </w:pPr>
            <w:r>
              <w:rPr>
                <w:rFonts w:ascii="Arial" w:cs="Arial" w:eastAsia="Arial" w:hAnsi="Arial"/>
                <w:sz w:val="14"/>
                <w:szCs w:val="14"/>
                <w:color w:val="auto"/>
              </w:rPr>
              <w:t>30</w:t>
            </w:r>
          </w:p>
        </w:tc>
        <w:tc>
          <w:tcPr>
            <w:tcW w:w="1240" w:type="dxa"/>
            <w:vAlign w:val="bottom"/>
            <w:gridSpan w:val="10"/>
          </w:tcPr>
          <w:p>
            <w:pPr>
              <w:jc w:val="right"/>
              <w:ind w:right="810"/>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8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8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88"/>
              <w:spacing w:after="0" w:line="144" w:lineRule="exact"/>
              <w:rPr>
                <w:sz w:val="20"/>
                <w:szCs w:val="20"/>
                <w:color w:val="auto"/>
              </w:rPr>
            </w:pPr>
            <w:r>
              <w:rPr>
                <w:rFonts w:ascii="Arial" w:cs="Arial" w:eastAsia="Arial" w:hAnsi="Arial"/>
                <w:sz w:val="14"/>
                <w:szCs w:val="14"/>
                <w:color w:val="auto"/>
              </w:rPr>
              <w:t>30</w:t>
            </w:r>
          </w:p>
        </w:tc>
        <w:tc>
          <w:tcPr>
            <w:tcW w:w="1980" w:type="dxa"/>
            <w:vAlign w:val="bottom"/>
            <w:gridSpan w:val="14"/>
          </w:tcPr>
          <w:p>
            <w:pPr>
              <w:jc w:val="right"/>
              <w:ind w:right="1640"/>
              <w:spacing w:after="0" w:line="144"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440" w:type="dxa"/>
            <w:vAlign w:val="bottom"/>
            <w:gridSpan w:val="90"/>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440" w:type="dxa"/>
            <w:vAlign w:val="bottom"/>
            <w:gridSpan w:val="90"/>
          </w:tcPr>
          <w:p>
            <w:pPr>
              <w:spacing w:after="0" w:line="126" w:lineRule="exact"/>
              <w:rPr>
                <w:sz w:val="20"/>
                <w:szCs w:val="20"/>
                <w:color w:val="auto"/>
              </w:rPr>
            </w:pPr>
            <w:r>
              <w:rPr>
                <w:rFonts w:ascii="Arial" w:cs="Arial" w:eastAsia="Arial" w:hAnsi="Arial"/>
                <w:sz w:val="14"/>
                <w:szCs w:val="14"/>
                <w:color w:val="auto"/>
                <w:w w:val="89"/>
              </w:rPr>
              <w:t>Projected Cash Payments to</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auto"/>
              </w:rPr>
              <w:t>GZ</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5"/>
          </w:tcPr>
          <w:p>
            <w:pPr>
              <w:jc w:val="right"/>
              <w:spacing w:after="0"/>
              <w:rPr>
                <w:sz w:val="20"/>
                <w:szCs w:val="20"/>
                <w:color w:val="auto"/>
              </w:rPr>
            </w:pPr>
            <w:r>
              <w:rPr>
                <w:rFonts w:ascii="Arial" w:cs="Arial" w:eastAsia="Arial" w:hAnsi="Arial"/>
                <w:sz w:val="14"/>
                <w:szCs w:val="14"/>
                <w:color w:val="auto"/>
                <w:w w:val="91"/>
              </w:rPr>
              <w:t>1,757</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440" w:type="dxa"/>
            <w:vAlign w:val="bottom"/>
            <w:gridSpan w:val="5"/>
          </w:tcPr>
          <w:p>
            <w:pPr>
              <w:jc w:val="right"/>
              <w:ind w:right="40"/>
              <w:spacing w:after="0"/>
              <w:rPr>
                <w:sz w:val="20"/>
                <w:szCs w:val="20"/>
                <w:color w:val="auto"/>
              </w:rPr>
            </w:pPr>
            <w:r>
              <w:rPr>
                <w:rFonts w:ascii="Arial" w:cs="Arial" w:eastAsia="Arial" w:hAnsi="Arial"/>
                <w:sz w:val="14"/>
                <w:szCs w:val="14"/>
                <w:color w:val="auto"/>
              </w:rPr>
              <w:t>1,910</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460" w:type="dxa"/>
            <w:vAlign w:val="bottom"/>
            <w:gridSpan w:val="5"/>
          </w:tcPr>
          <w:p>
            <w:pPr>
              <w:jc w:val="right"/>
              <w:ind w:right="60"/>
              <w:spacing w:after="0"/>
              <w:rPr>
                <w:sz w:val="20"/>
                <w:szCs w:val="20"/>
                <w:color w:val="auto"/>
              </w:rPr>
            </w:pPr>
            <w:r>
              <w:rPr>
                <w:rFonts w:ascii="Arial" w:cs="Arial" w:eastAsia="Arial" w:hAnsi="Arial"/>
                <w:sz w:val="14"/>
                <w:szCs w:val="14"/>
                <w:color w:val="auto"/>
              </w:rPr>
              <w:t>2,349</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$ 6,016</w:t>
            </w:r>
          </w:p>
        </w:tc>
        <w:tc>
          <w:tcPr>
            <w:tcW w:w="8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3,045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2,958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3,543</w:t>
            </w:r>
          </w:p>
        </w:tc>
        <w:tc>
          <w:tcPr>
            <w:tcW w:w="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4,471</w:t>
            </w:r>
          </w:p>
        </w:tc>
        <w:tc>
          <w:tcPr>
            <w:tcW w:w="4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14,017</w:t>
            </w:r>
          </w:p>
        </w:tc>
        <w:tc>
          <w:tcPr>
            <w:tcW w:w="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5,065</w:t>
            </w:r>
          </w:p>
        </w:tc>
        <w:tc>
          <w:tcPr>
            <w:tcW w:w="40" w:type="dxa"/>
            <w:vAlign w:val="bottom"/>
          </w:tcPr>
          <w:p>
            <w:pPr>
              <w:spacing w:after="0"/>
              <w:rPr>
                <w:sz w:val="15"/>
                <w:szCs w:val="15"/>
                <w:color w:val="auto"/>
              </w:rPr>
            </w:pPr>
          </w:p>
        </w:tc>
        <w:tc>
          <w:tcPr>
            <w:tcW w:w="14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5,867</w:t>
            </w:r>
          </w:p>
        </w:tc>
        <w:tc>
          <w:tcPr>
            <w:tcW w:w="60" w:type="dxa"/>
            <w:vAlign w:val="bottom"/>
          </w:tcPr>
          <w:p>
            <w:pPr>
              <w:spacing w:after="0"/>
              <w:rPr>
                <w:sz w:val="15"/>
                <w:szCs w:val="15"/>
                <w:color w:val="auto"/>
              </w:rPr>
            </w:pPr>
          </w:p>
        </w:tc>
        <w:tc>
          <w:tcPr>
            <w:tcW w:w="14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6,570</w:t>
            </w:r>
          </w:p>
        </w:tc>
        <w:tc>
          <w:tcPr>
            <w:tcW w:w="60" w:type="dxa"/>
            <w:vAlign w:val="bottom"/>
          </w:tcPr>
          <w:p>
            <w:pPr>
              <w:spacing w:after="0"/>
              <w:rPr>
                <w:sz w:val="15"/>
                <w:szCs w:val="15"/>
                <w:color w:val="auto"/>
              </w:rPr>
            </w:pPr>
          </w:p>
        </w:tc>
        <w:tc>
          <w:tcPr>
            <w:tcW w:w="140" w:type="dxa"/>
            <w:vAlign w:val="bottom"/>
            <w:gridSpan w:val="2"/>
          </w:tcPr>
          <w:p>
            <w:pPr>
              <w:jc w:val="right"/>
              <w:ind w:right="28"/>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8,053</w:t>
            </w:r>
          </w:p>
        </w:tc>
        <w:tc>
          <w:tcPr>
            <w:tcW w:w="60" w:type="dxa"/>
            <w:vAlign w:val="bottom"/>
          </w:tcPr>
          <w:p>
            <w:pPr>
              <w:spacing w:after="0"/>
              <w:rPr>
                <w:sz w:val="15"/>
                <w:szCs w:val="15"/>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3"/>
              </w:rPr>
              <w:t>25,555</w:t>
            </w:r>
          </w:p>
        </w:tc>
        <w:tc>
          <w:tcPr>
            <w:tcW w:w="40" w:type="dxa"/>
            <w:vAlign w:val="bottom"/>
          </w:tcPr>
          <w:p>
            <w:pPr>
              <w:spacing w:after="0"/>
              <w:rPr>
                <w:sz w:val="15"/>
                <w:szCs w:val="15"/>
                <w:color w:val="auto"/>
              </w:rPr>
            </w:pPr>
          </w:p>
        </w:tc>
        <w:tc>
          <w:tcPr>
            <w:tcW w:w="26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45,588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gridSpan w:val="4"/>
          </w:tcPr>
          <w:p>
            <w:pPr>
              <w:spacing w:after="0"/>
              <w:rPr>
                <w:sz w:val="24"/>
                <w:szCs w:val="24"/>
                <w:color w:val="auto"/>
              </w:rPr>
            </w:pPr>
          </w:p>
        </w:tc>
        <w:tc>
          <w:tcPr>
            <w:tcW w:w="8880" w:type="dxa"/>
            <w:vAlign w:val="bottom"/>
            <w:tcBorders>
              <w:bottom w:val="single" w:sz="8" w:color="auto"/>
            </w:tcBorders>
            <w:gridSpan w:val="80"/>
          </w:tcPr>
          <w:p>
            <w:pPr>
              <w:spacing w:after="0"/>
              <w:rPr>
                <w:sz w:val="20"/>
                <w:szCs w:val="20"/>
                <w:color w:val="auto"/>
              </w:rPr>
            </w:pPr>
            <w:r>
              <w:rPr>
                <w:rFonts w:ascii="Arial" w:cs="Arial" w:eastAsia="Arial" w:hAnsi="Arial"/>
                <w:sz w:val="14"/>
                <w:szCs w:val="14"/>
                <w:b w:val="1"/>
                <w:bCs w:val="1"/>
                <w:color w:val="auto"/>
              </w:rPr>
              <w:t>Delayed Payments Schedule</w:t>
            </w:r>
          </w:p>
        </w:tc>
        <w:tc>
          <w:tcPr>
            <w:tcW w:w="9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820" w:type="dxa"/>
            <w:vAlign w:val="bottom"/>
            <w:gridSpan w:val="2"/>
          </w:tcPr>
          <w:p>
            <w:pPr>
              <w:spacing w:after="0"/>
              <w:rPr>
                <w:sz w:val="11"/>
                <w:szCs w:val="11"/>
                <w:color w:val="auto"/>
              </w:rPr>
            </w:pPr>
          </w:p>
        </w:tc>
        <w:tc>
          <w:tcPr>
            <w:tcW w:w="2820" w:type="dxa"/>
            <w:vAlign w:val="bottom"/>
            <w:tcBorders>
              <w:bottom w:val="single" w:sz="8" w:color="auto"/>
            </w:tcBorders>
            <w:gridSpan w:val="29"/>
          </w:tcPr>
          <w:p>
            <w:pPr>
              <w:jc w:val="right"/>
              <w:ind w:right="275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1"/>
                <w:szCs w:val="11"/>
                <w:color w:val="auto"/>
              </w:rPr>
            </w:pPr>
          </w:p>
        </w:tc>
        <w:tc>
          <w:tcPr>
            <w:tcW w:w="3000" w:type="dxa"/>
            <w:vAlign w:val="bottom"/>
            <w:tcBorders>
              <w:bottom w:val="single" w:sz="8" w:color="auto"/>
            </w:tcBorders>
            <w:gridSpan w:val="25"/>
          </w:tcPr>
          <w:p>
            <w:pPr>
              <w:jc w:val="right"/>
              <w:ind w:right="3000"/>
              <w:spacing w:after="0"/>
              <w:rPr>
                <w:sz w:val="20"/>
                <w:szCs w:val="20"/>
                <w:color w:val="auto"/>
              </w:rPr>
            </w:pPr>
            <w:r>
              <w:rPr>
                <w:rFonts w:ascii="Arial" w:cs="Arial" w:eastAsia="Arial" w:hAnsi="Arial"/>
                <w:sz w:val="14"/>
                <w:szCs w:val="14"/>
                <w:b w:val="1"/>
                <w:bCs w:val="1"/>
                <w:color w:val="auto"/>
              </w:rPr>
              <w:t>2014</w:t>
            </w:r>
          </w:p>
        </w:tc>
        <w:tc>
          <w:tcPr>
            <w:tcW w:w="100" w:type="dxa"/>
            <w:vAlign w:val="bottom"/>
            <w:gridSpan w:val="2"/>
          </w:tcPr>
          <w:p>
            <w:pPr>
              <w:spacing w:after="0"/>
              <w:rPr>
                <w:sz w:val="11"/>
                <w:szCs w:val="11"/>
                <w:color w:val="auto"/>
              </w:rPr>
            </w:pPr>
          </w:p>
        </w:tc>
        <w:tc>
          <w:tcPr>
            <w:tcW w:w="2840" w:type="dxa"/>
            <w:vAlign w:val="bottom"/>
            <w:tcBorders>
              <w:bottom w:val="single" w:sz="8" w:color="auto"/>
            </w:tcBorders>
            <w:gridSpan w:val="23"/>
          </w:tcPr>
          <w:p>
            <w:pPr>
              <w:jc w:val="right"/>
              <w:ind w:right="2840"/>
              <w:spacing w:after="0"/>
              <w:rPr>
                <w:sz w:val="20"/>
                <w:szCs w:val="20"/>
                <w:color w:val="auto"/>
              </w:rPr>
            </w:pPr>
            <w:r>
              <w:rPr>
                <w:rFonts w:ascii="Arial" w:cs="Arial" w:eastAsia="Arial" w:hAnsi="Arial"/>
                <w:sz w:val="14"/>
                <w:szCs w:val="14"/>
                <w:b w:val="1"/>
                <w:bCs w:val="1"/>
                <w:color w:val="auto"/>
              </w:rPr>
              <w:t>2015</w:t>
            </w:r>
          </w:p>
        </w:tc>
        <w:tc>
          <w:tcPr>
            <w:tcW w:w="120" w:type="dxa"/>
            <w:vAlign w:val="bottom"/>
            <w:gridSpan w:val="3"/>
          </w:tcPr>
          <w:p>
            <w:pPr>
              <w:spacing w:after="0"/>
              <w:rPr>
                <w:sz w:val="11"/>
                <w:szCs w:val="11"/>
                <w:color w:val="auto"/>
              </w:rPr>
            </w:pPr>
          </w:p>
        </w:tc>
        <w:tc>
          <w:tcPr>
            <w:tcW w:w="8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85"/>
              </w:rPr>
              <w:t>Total Pymts</w:t>
            </w:r>
          </w:p>
        </w:tc>
        <w:tc>
          <w:tcPr>
            <w:tcW w:w="0" w:type="dxa"/>
            <w:vAlign w:val="bottom"/>
          </w:tcPr>
          <w:p>
            <w:pPr>
              <w:spacing w:after="0"/>
              <w:rPr>
                <w:sz w:val="1"/>
                <w:szCs w:val="1"/>
                <w:color w:val="auto"/>
              </w:rPr>
            </w:pPr>
          </w:p>
        </w:tc>
      </w:tr>
      <w:tr>
        <w:trPr>
          <w:trHeight w:val="137"/>
        </w:trPr>
        <w:tc>
          <w:tcPr>
            <w:tcW w:w="800" w:type="dxa"/>
            <w:vAlign w:val="bottom"/>
            <w:gridSpan w:val="2"/>
            <w:vMerge w:val="continue"/>
          </w:tcPr>
          <w:p>
            <w:pPr>
              <w:spacing w:after="0"/>
              <w:rPr>
                <w:sz w:val="11"/>
                <w:szCs w:val="11"/>
                <w:color w:val="auto"/>
              </w:rPr>
            </w:pPr>
          </w:p>
        </w:tc>
        <w:tc>
          <w:tcPr>
            <w:tcW w:w="1440" w:type="dxa"/>
            <w:vAlign w:val="bottom"/>
            <w:gridSpan w:val="8"/>
          </w:tcPr>
          <w:p>
            <w:pPr>
              <w:spacing w:after="0"/>
              <w:rPr>
                <w:sz w:val="20"/>
                <w:szCs w:val="20"/>
                <w:color w:val="auto"/>
              </w:rPr>
            </w:pPr>
            <w:r>
              <w:rPr>
                <w:rFonts w:ascii="Arial" w:cs="Arial" w:eastAsia="Arial" w:hAnsi="Arial"/>
                <w:sz w:val="14"/>
                <w:szCs w:val="14"/>
                <w:b w:val="1"/>
                <w:bCs w:val="1"/>
                <w:color w:val="auto"/>
              </w:rPr>
              <w:t>Q1</w:t>
            </w:r>
          </w:p>
        </w:tc>
        <w:tc>
          <w:tcPr>
            <w:tcW w:w="620" w:type="dxa"/>
            <w:vAlign w:val="bottom"/>
            <w:gridSpan w:val="7"/>
          </w:tcPr>
          <w:p>
            <w:pPr>
              <w:jc w:val="right"/>
              <w:ind w:right="330"/>
              <w:spacing w:after="0" w:line="137" w:lineRule="exact"/>
              <w:rPr>
                <w:sz w:val="20"/>
                <w:szCs w:val="20"/>
                <w:color w:val="auto"/>
              </w:rPr>
            </w:pPr>
            <w:r>
              <w:rPr>
                <w:rFonts w:ascii="Arial" w:cs="Arial" w:eastAsia="Arial" w:hAnsi="Arial"/>
                <w:sz w:val="14"/>
                <w:szCs w:val="14"/>
                <w:b w:val="1"/>
                <w:bCs w:val="1"/>
                <w:color w:val="auto"/>
              </w:rPr>
              <w:t>Q2</w:t>
            </w:r>
          </w:p>
        </w:tc>
        <w:tc>
          <w:tcPr>
            <w:tcW w:w="580" w:type="dxa"/>
            <w:vAlign w:val="bottom"/>
            <w:gridSpan w:val="7"/>
          </w:tcPr>
          <w:p>
            <w:pPr>
              <w:ind w:left="40"/>
              <w:spacing w:after="0" w:line="137" w:lineRule="exact"/>
              <w:rPr>
                <w:sz w:val="20"/>
                <w:szCs w:val="20"/>
                <w:color w:val="auto"/>
              </w:rPr>
            </w:pPr>
            <w:r>
              <w:rPr>
                <w:rFonts w:ascii="Arial" w:cs="Arial" w:eastAsia="Arial" w:hAnsi="Arial"/>
                <w:sz w:val="14"/>
                <w:szCs w:val="14"/>
                <w:b w:val="1"/>
                <w:bCs w:val="1"/>
                <w:color w:val="auto"/>
              </w:rPr>
              <w:t>Q3</w:t>
            </w:r>
          </w:p>
        </w:tc>
        <w:tc>
          <w:tcPr>
            <w:tcW w:w="640" w:type="dxa"/>
            <w:vAlign w:val="bottom"/>
            <w:gridSpan w:val="8"/>
          </w:tcPr>
          <w:p>
            <w:pPr>
              <w:ind w:left="60"/>
              <w:spacing w:after="0" w:line="137" w:lineRule="exact"/>
              <w:rPr>
                <w:sz w:val="20"/>
                <w:szCs w:val="20"/>
                <w:color w:val="auto"/>
              </w:rPr>
            </w:pPr>
            <w:r>
              <w:rPr>
                <w:rFonts w:ascii="Arial" w:cs="Arial" w:eastAsia="Arial" w:hAnsi="Arial"/>
                <w:sz w:val="14"/>
                <w:szCs w:val="14"/>
                <w:b w:val="1"/>
                <w:bCs w:val="1"/>
                <w:color w:val="auto"/>
              </w:rPr>
              <w:t>Q4</w:t>
            </w:r>
          </w:p>
        </w:tc>
        <w:tc>
          <w:tcPr>
            <w:tcW w:w="580" w:type="dxa"/>
            <w:vAlign w:val="bottom"/>
            <w:gridSpan w:val="4"/>
          </w:tcPr>
          <w:p>
            <w:pPr>
              <w:jc w:val="right"/>
              <w:ind w:right="310"/>
              <w:spacing w:after="0" w:line="137" w:lineRule="exact"/>
              <w:rPr>
                <w:sz w:val="20"/>
                <w:szCs w:val="20"/>
                <w:color w:val="auto"/>
              </w:rPr>
            </w:pPr>
            <w:r>
              <w:rPr>
                <w:rFonts w:ascii="Arial" w:cs="Arial" w:eastAsia="Arial" w:hAnsi="Arial"/>
                <w:sz w:val="14"/>
                <w:szCs w:val="14"/>
                <w:b w:val="1"/>
                <w:bCs w:val="1"/>
                <w:color w:val="auto"/>
              </w:rPr>
              <w:t>FY</w:t>
            </w:r>
          </w:p>
        </w:tc>
        <w:tc>
          <w:tcPr>
            <w:tcW w:w="660" w:type="dxa"/>
            <w:vAlign w:val="bottom"/>
            <w:gridSpan w:val="6"/>
          </w:tcPr>
          <w:p>
            <w:pPr>
              <w:ind w:left="60"/>
              <w:spacing w:after="0" w:line="137" w:lineRule="exact"/>
              <w:rPr>
                <w:sz w:val="20"/>
                <w:szCs w:val="20"/>
                <w:color w:val="auto"/>
              </w:rPr>
            </w:pPr>
            <w:r>
              <w:rPr>
                <w:rFonts w:ascii="Arial" w:cs="Arial" w:eastAsia="Arial" w:hAnsi="Arial"/>
                <w:sz w:val="14"/>
                <w:szCs w:val="14"/>
                <w:b w:val="1"/>
                <w:bCs w:val="1"/>
                <w:color w:val="auto"/>
              </w:rPr>
              <w:t>Q1</w:t>
            </w:r>
          </w:p>
        </w:tc>
        <w:tc>
          <w:tcPr>
            <w:tcW w:w="580" w:type="dxa"/>
            <w:vAlign w:val="bottom"/>
            <w:gridSpan w:val="5"/>
          </w:tcPr>
          <w:p>
            <w:pPr>
              <w:jc w:val="right"/>
              <w:ind w:right="328"/>
              <w:spacing w:after="0" w:line="137" w:lineRule="exact"/>
              <w:rPr>
                <w:sz w:val="20"/>
                <w:szCs w:val="20"/>
                <w:color w:val="auto"/>
              </w:rPr>
            </w:pPr>
            <w:r>
              <w:rPr>
                <w:rFonts w:ascii="Arial" w:cs="Arial" w:eastAsia="Arial" w:hAnsi="Arial"/>
                <w:sz w:val="14"/>
                <w:szCs w:val="14"/>
                <w:b w:val="1"/>
                <w:bCs w:val="1"/>
                <w:color w:val="auto"/>
                <w:w w:val="96"/>
              </w:rPr>
              <w:t>Q2</w:t>
            </w:r>
          </w:p>
        </w:tc>
        <w:tc>
          <w:tcPr>
            <w:tcW w:w="600" w:type="dxa"/>
            <w:vAlign w:val="bottom"/>
            <w:gridSpan w:val="5"/>
          </w:tcPr>
          <w:p>
            <w:pPr>
              <w:jc w:val="center"/>
              <w:ind w:right="230"/>
              <w:spacing w:after="0" w:line="137" w:lineRule="exact"/>
              <w:rPr>
                <w:sz w:val="20"/>
                <w:szCs w:val="20"/>
                <w:color w:val="auto"/>
              </w:rPr>
            </w:pPr>
            <w:r>
              <w:rPr>
                <w:rFonts w:ascii="Arial" w:cs="Arial" w:eastAsia="Arial" w:hAnsi="Arial"/>
                <w:sz w:val="14"/>
                <w:szCs w:val="14"/>
                <w:b w:val="1"/>
                <w:bCs w:val="1"/>
                <w:color w:val="auto"/>
                <w:w w:val="96"/>
              </w:rPr>
              <w:t>Q3</w:t>
            </w:r>
          </w:p>
        </w:tc>
        <w:tc>
          <w:tcPr>
            <w:tcW w:w="600" w:type="dxa"/>
            <w:vAlign w:val="bottom"/>
            <w:gridSpan w:val="5"/>
          </w:tcPr>
          <w:p>
            <w:pPr>
              <w:jc w:val="right"/>
              <w:ind w:right="360"/>
              <w:spacing w:after="0" w:line="137" w:lineRule="exact"/>
              <w:rPr>
                <w:sz w:val="20"/>
                <w:szCs w:val="20"/>
                <w:color w:val="auto"/>
              </w:rPr>
            </w:pPr>
            <w:r>
              <w:rPr>
                <w:rFonts w:ascii="Arial" w:cs="Arial" w:eastAsia="Arial" w:hAnsi="Arial"/>
                <w:sz w:val="14"/>
                <w:szCs w:val="14"/>
                <w:b w:val="1"/>
                <w:bCs w:val="1"/>
                <w:color w:val="auto"/>
              </w:rPr>
              <w:t>Q4</w:t>
            </w:r>
          </w:p>
        </w:tc>
        <w:tc>
          <w:tcPr>
            <w:tcW w:w="640" w:type="dxa"/>
            <w:vAlign w:val="bottom"/>
            <w:gridSpan w:val="5"/>
          </w:tcPr>
          <w:p>
            <w:pPr>
              <w:jc w:val="right"/>
              <w:ind w:right="290"/>
              <w:spacing w:after="0" w:line="137" w:lineRule="exact"/>
              <w:rPr>
                <w:sz w:val="20"/>
                <w:szCs w:val="20"/>
                <w:color w:val="auto"/>
              </w:rPr>
            </w:pPr>
            <w:r>
              <w:rPr>
                <w:rFonts w:ascii="Arial" w:cs="Arial" w:eastAsia="Arial" w:hAnsi="Arial"/>
                <w:sz w:val="14"/>
                <w:szCs w:val="14"/>
                <w:b w:val="1"/>
                <w:bCs w:val="1"/>
                <w:color w:val="auto"/>
              </w:rPr>
              <w:t>FY</w:t>
            </w:r>
          </w:p>
        </w:tc>
        <w:tc>
          <w:tcPr>
            <w:tcW w:w="580" w:type="dxa"/>
            <w:vAlign w:val="bottom"/>
            <w:gridSpan w:val="5"/>
          </w:tcPr>
          <w:p>
            <w:pPr>
              <w:ind w:left="60"/>
              <w:spacing w:after="0" w:line="137" w:lineRule="exact"/>
              <w:rPr>
                <w:sz w:val="20"/>
                <w:szCs w:val="20"/>
                <w:color w:val="auto"/>
              </w:rPr>
            </w:pPr>
            <w:r>
              <w:rPr>
                <w:rFonts w:ascii="Arial" w:cs="Arial" w:eastAsia="Arial" w:hAnsi="Arial"/>
                <w:sz w:val="14"/>
                <w:szCs w:val="14"/>
                <w:b w:val="1"/>
                <w:bCs w:val="1"/>
                <w:color w:val="auto"/>
              </w:rPr>
              <w:t>Q1</w:t>
            </w:r>
          </w:p>
        </w:tc>
        <w:tc>
          <w:tcPr>
            <w:tcW w:w="580" w:type="dxa"/>
            <w:vAlign w:val="bottom"/>
            <w:gridSpan w:val="5"/>
          </w:tcPr>
          <w:p>
            <w:pPr>
              <w:ind w:left="60"/>
              <w:spacing w:after="0" w:line="137" w:lineRule="exact"/>
              <w:rPr>
                <w:sz w:val="20"/>
                <w:szCs w:val="20"/>
                <w:color w:val="auto"/>
              </w:rPr>
            </w:pPr>
            <w:r>
              <w:rPr>
                <w:rFonts w:ascii="Arial" w:cs="Arial" w:eastAsia="Arial" w:hAnsi="Arial"/>
                <w:sz w:val="14"/>
                <w:szCs w:val="14"/>
                <w:b w:val="1"/>
                <w:bCs w:val="1"/>
                <w:color w:val="auto"/>
              </w:rPr>
              <w:t>Q2</w:t>
            </w:r>
          </w:p>
        </w:tc>
        <w:tc>
          <w:tcPr>
            <w:tcW w:w="580" w:type="dxa"/>
            <w:vAlign w:val="bottom"/>
            <w:gridSpan w:val="5"/>
          </w:tcPr>
          <w:p>
            <w:pPr>
              <w:jc w:val="right"/>
              <w:ind w:right="288"/>
              <w:spacing w:after="0" w:line="137" w:lineRule="exact"/>
              <w:rPr>
                <w:sz w:val="20"/>
                <w:szCs w:val="20"/>
                <w:color w:val="auto"/>
              </w:rPr>
            </w:pPr>
            <w:r>
              <w:rPr>
                <w:rFonts w:ascii="Arial" w:cs="Arial" w:eastAsia="Arial" w:hAnsi="Arial"/>
                <w:sz w:val="14"/>
                <w:szCs w:val="14"/>
                <w:b w:val="1"/>
                <w:bCs w:val="1"/>
                <w:color w:val="auto"/>
              </w:rPr>
              <w:t>Q3</w:t>
            </w:r>
          </w:p>
        </w:tc>
        <w:tc>
          <w:tcPr>
            <w:tcW w:w="580" w:type="dxa"/>
            <w:vAlign w:val="bottom"/>
            <w:gridSpan w:val="5"/>
          </w:tcPr>
          <w:p>
            <w:pPr>
              <w:jc w:val="right"/>
              <w:ind w:right="340"/>
              <w:spacing w:after="0" w:line="137" w:lineRule="exact"/>
              <w:rPr>
                <w:sz w:val="20"/>
                <w:szCs w:val="20"/>
                <w:color w:val="auto"/>
              </w:rPr>
            </w:pPr>
            <w:r>
              <w:rPr>
                <w:rFonts w:ascii="Arial" w:cs="Arial" w:eastAsia="Arial" w:hAnsi="Arial"/>
                <w:sz w:val="14"/>
                <w:szCs w:val="14"/>
                <w:b w:val="1"/>
                <w:bCs w:val="1"/>
                <w:color w:val="auto"/>
              </w:rPr>
              <w:t>Q4</w:t>
            </w:r>
          </w:p>
        </w:tc>
        <w:tc>
          <w:tcPr>
            <w:tcW w:w="560" w:type="dxa"/>
            <w:vAlign w:val="bottom"/>
            <w:gridSpan w:val="5"/>
          </w:tcPr>
          <w:p>
            <w:pPr>
              <w:ind w:left="80"/>
              <w:spacing w:after="0" w:line="137" w:lineRule="exact"/>
              <w:rPr>
                <w:sz w:val="20"/>
                <w:szCs w:val="20"/>
                <w:color w:val="auto"/>
              </w:rPr>
            </w:pPr>
            <w:r>
              <w:rPr>
                <w:rFonts w:ascii="Arial" w:cs="Arial" w:eastAsia="Arial" w:hAnsi="Arial"/>
                <w:sz w:val="14"/>
                <w:szCs w:val="14"/>
                <w:b w:val="1"/>
                <w:bCs w:val="1"/>
                <w:color w:val="auto"/>
              </w:rPr>
              <w:t>FY</w:t>
            </w:r>
          </w:p>
        </w:tc>
        <w:tc>
          <w:tcPr>
            <w:tcW w:w="8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Borders>
              <w:top w:val="single" w:sz="8" w:color="auto"/>
            </w:tcBorders>
            <w:gridSpan w:val="2"/>
            <w:shd w:val="clear" w:color="auto" w:fill="CCEEFF"/>
          </w:tcPr>
          <w:p>
            <w:pPr>
              <w:spacing w:after="0" w:line="137" w:lineRule="exact"/>
              <w:rPr>
                <w:sz w:val="20"/>
                <w:szCs w:val="20"/>
                <w:color w:val="auto"/>
              </w:rPr>
            </w:pPr>
            <w:r>
              <w:rPr>
                <w:rFonts w:ascii="Arial" w:cs="Arial" w:eastAsia="Arial" w:hAnsi="Arial"/>
                <w:sz w:val="14"/>
                <w:szCs w:val="14"/>
                <w:color w:val="auto"/>
              </w:rPr>
              <w:t>Invoice by GZ</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gridSpan w:val="3"/>
            <w:shd w:val="clear" w:color="auto" w:fill="CCEEFF"/>
          </w:tcPr>
          <w:p>
            <w:pPr>
              <w:jc w:val="right"/>
              <w:spacing w:after="0" w:line="137" w:lineRule="exact"/>
              <w:rPr>
                <w:sz w:val="20"/>
                <w:szCs w:val="20"/>
                <w:color w:val="auto"/>
              </w:rPr>
            </w:pPr>
            <w:r>
              <w:rPr>
                <w:rFonts w:ascii="Arial" w:cs="Arial" w:eastAsia="Arial" w:hAnsi="Arial"/>
                <w:sz w:val="14"/>
                <w:szCs w:val="14"/>
                <w:color w:val="auto"/>
              </w:rPr>
              <w:t>1,757</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gridSpan w:val="3"/>
            <w:shd w:val="clear" w:color="auto" w:fill="CCEEFF"/>
          </w:tcPr>
          <w:p>
            <w:pPr>
              <w:ind w:left="60"/>
              <w:spacing w:after="0" w:line="137" w:lineRule="exact"/>
              <w:rPr>
                <w:sz w:val="20"/>
                <w:szCs w:val="20"/>
                <w:color w:val="auto"/>
              </w:rPr>
            </w:pPr>
            <w:r>
              <w:rPr>
                <w:rFonts w:ascii="Arial" w:cs="Arial" w:eastAsia="Arial" w:hAnsi="Arial"/>
                <w:sz w:val="14"/>
                <w:szCs w:val="14"/>
                <w:color w:val="auto"/>
                <w:w w:val="79"/>
              </w:rPr>
              <w:t>1,910</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gridSpan w:val="3"/>
            <w:shd w:val="clear" w:color="auto" w:fill="CCEEFF"/>
          </w:tcPr>
          <w:p>
            <w:pPr>
              <w:jc w:val="right"/>
              <w:spacing w:after="0" w:line="137" w:lineRule="exact"/>
              <w:rPr>
                <w:sz w:val="20"/>
                <w:szCs w:val="20"/>
                <w:color w:val="auto"/>
              </w:rPr>
            </w:pPr>
            <w:r>
              <w:rPr>
                <w:rFonts w:ascii="Arial" w:cs="Arial" w:eastAsia="Arial" w:hAnsi="Arial"/>
                <w:sz w:val="14"/>
                <w:szCs w:val="14"/>
                <w:color w:val="auto"/>
              </w:rPr>
              <w:t>2,349</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00" w:type="dxa"/>
            <w:vAlign w:val="bottom"/>
            <w:tcBorders>
              <w:top w:val="single" w:sz="8" w:color="auto"/>
            </w:tcBorders>
            <w:gridSpan w:val="4"/>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gridSpan w:val="3"/>
            <w:shd w:val="clear" w:color="auto" w:fill="CCEEFF"/>
          </w:tcPr>
          <w:p>
            <w:pPr>
              <w:jc w:val="right"/>
              <w:ind w:right="5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85"/>
              </w:rPr>
              <w:t>3,045</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28"/>
              <w:spacing w:after="0" w:line="137"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6"/>
              </w:rPr>
              <w:t>2,958</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3,543</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4,471</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3"/>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5,065</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ind w:left="80"/>
              <w:spacing w:after="0" w:line="137" w:lineRule="exact"/>
              <w:rPr>
                <w:sz w:val="20"/>
                <w:szCs w:val="20"/>
                <w:color w:val="auto"/>
              </w:rPr>
            </w:pPr>
            <w:r>
              <w:rPr>
                <w:rFonts w:ascii="Arial" w:cs="Arial" w:eastAsia="Arial" w:hAnsi="Arial"/>
                <w:sz w:val="14"/>
                <w:szCs w:val="14"/>
                <w:color w:val="auto"/>
                <w:w w:val="79"/>
              </w:rPr>
              <w:t>5,867</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6,570</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8,053</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3"/>
            <w:shd w:val="clear" w:color="auto" w:fill="CCEEFF"/>
          </w:tcPr>
          <w:p>
            <w:pPr>
              <w:spacing w:after="0"/>
              <w:rPr>
                <w:sz w:val="11"/>
                <w:szCs w:val="11"/>
                <w:color w:val="auto"/>
              </w:rPr>
            </w:pPr>
          </w:p>
        </w:tc>
        <w:tc>
          <w:tcPr>
            <w:tcW w:w="120" w:type="dxa"/>
            <w:vAlign w:val="bottom"/>
            <w:tcBorders>
              <w:top w:val="single" w:sz="8" w:color="CCEEFF"/>
            </w:tcBorders>
            <w:gridSpan w:val="3"/>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gridSpan w:val="10"/>
          </w:tcPr>
          <w:p>
            <w:pPr>
              <w:spacing w:after="0"/>
              <w:rPr>
                <w:sz w:val="20"/>
                <w:szCs w:val="20"/>
                <w:color w:val="auto"/>
              </w:rPr>
            </w:pPr>
            <w:r>
              <w:rPr>
                <w:rFonts w:ascii="Arial" w:cs="Arial" w:eastAsia="Arial" w:hAnsi="Arial"/>
                <w:sz w:val="14"/>
                <w:szCs w:val="14"/>
                <w:color w:val="auto"/>
              </w:rPr>
              <w:t>Time to Pay (in Days)</w:t>
            </w:r>
          </w:p>
        </w:tc>
        <w:tc>
          <w:tcPr>
            <w:tcW w:w="760" w:type="dxa"/>
            <w:vAlign w:val="bottom"/>
            <w:gridSpan w:val="9"/>
          </w:tcPr>
          <w:p>
            <w:pPr>
              <w:jc w:val="right"/>
              <w:ind w:right="310"/>
              <w:spacing w:after="0" w:line="144" w:lineRule="exact"/>
              <w:rPr>
                <w:sz w:val="20"/>
                <w:szCs w:val="20"/>
                <w:color w:val="auto"/>
              </w:rPr>
            </w:pPr>
            <w:r>
              <w:rPr>
                <w:rFonts w:ascii="Arial" w:cs="Arial" w:eastAsia="Arial" w:hAnsi="Arial"/>
                <w:sz w:val="14"/>
                <w:szCs w:val="14"/>
                <w:color w:val="auto"/>
              </w:rPr>
              <w:t>210</w:t>
            </w:r>
          </w:p>
        </w:tc>
        <w:tc>
          <w:tcPr>
            <w:tcW w:w="580" w:type="dxa"/>
            <w:vAlign w:val="bottom"/>
            <w:gridSpan w:val="7"/>
          </w:tcPr>
          <w:p>
            <w:pPr>
              <w:jc w:val="right"/>
              <w:ind w:right="290"/>
              <w:spacing w:after="0" w:line="144" w:lineRule="exact"/>
              <w:rPr>
                <w:sz w:val="20"/>
                <w:szCs w:val="20"/>
                <w:color w:val="auto"/>
              </w:rPr>
            </w:pPr>
            <w:r>
              <w:rPr>
                <w:rFonts w:ascii="Arial" w:cs="Arial" w:eastAsia="Arial" w:hAnsi="Arial"/>
                <w:sz w:val="14"/>
                <w:szCs w:val="14"/>
                <w:color w:val="auto"/>
                <w:w w:val="85"/>
              </w:rPr>
              <w:t>210</w:t>
            </w:r>
          </w:p>
        </w:tc>
        <w:tc>
          <w:tcPr>
            <w:tcW w:w="1160" w:type="dxa"/>
            <w:vAlign w:val="bottom"/>
            <w:gridSpan w:val="11"/>
          </w:tcPr>
          <w:p>
            <w:pPr>
              <w:jc w:val="right"/>
              <w:ind w:right="836"/>
              <w:spacing w:after="0" w:line="144" w:lineRule="exact"/>
              <w:rPr>
                <w:sz w:val="20"/>
                <w:szCs w:val="20"/>
                <w:color w:val="auto"/>
              </w:rPr>
            </w:pPr>
            <w:r>
              <w:rPr>
                <w:rFonts w:ascii="Arial" w:cs="Arial" w:eastAsia="Arial" w:hAnsi="Arial"/>
                <w:sz w:val="14"/>
                <w:szCs w:val="14"/>
                <w:color w:val="auto"/>
              </w:rPr>
              <w:t>210</w:t>
            </w:r>
          </w:p>
        </w:tc>
        <w:tc>
          <w:tcPr>
            <w:tcW w:w="580" w:type="dxa"/>
            <w:vAlign w:val="bottom"/>
            <w:gridSpan w:val="5"/>
          </w:tcPr>
          <w:p>
            <w:pPr>
              <w:jc w:val="right"/>
              <w:ind w:right="208"/>
              <w:spacing w:after="0" w:line="144" w:lineRule="exact"/>
              <w:rPr>
                <w:sz w:val="20"/>
                <w:szCs w:val="20"/>
                <w:color w:val="auto"/>
              </w:rPr>
            </w:pPr>
            <w:r>
              <w:rPr>
                <w:rFonts w:ascii="Arial" w:cs="Arial" w:eastAsia="Arial" w:hAnsi="Arial"/>
                <w:sz w:val="14"/>
                <w:szCs w:val="14"/>
                <w:color w:val="auto"/>
              </w:rPr>
              <w:t>210</w:t>
            </w:r>
          </w:p>
        </w:tc>
        <w:tc>
          <w:tcPr>
            <w:tcW w:w="580" w:type="dxa"/>
            <w:vAlign w:val="bottom"/>
            <w:gridSpan w:val="5"/>
          </w:tcPr>
          <w:p>
            <w:pPr>
              <w:jc w:val="right"/>
              <w:ind w:right="168"/>
              <w:spacing w:after="0" w:line="144" w:lineRule="exact"/>
              <w:rPr>
                <w:sz w:val="20"/>
                <w:szCs w:val="20"/>
                <w:color w:val="auto"/>
              </w:rPr>
            </w:pPr>
            <w:r>
              <w:rPr>
                <w:rFonts w:ascii="Arial" w:cs="Arial" w:eastAsia="Arial" w:hAnsi="Arial"/>
                <w:sz w:val="14"/>
                <w:szCs w:val="14"/>
                <w:color w:val="auto"/>
              </w:rPr>
              <w:t>210</w:t>
            </w:r>
          </w:p>
        </w:tc>
        <w:tc>
          <w:tcPr>
            <w:tcW w:w="600" w:type="dxa"/>
            <w:vAlign w:val="bottom"/>
            <w:gridSpan w:val="5"/>
          </w:tcPr>
          <w:p>
            <w:pPr>
              <w:jc w:val="right"/>
              <w:ind w:right="130"/>
              <w:spacing w:after="0" w:line="144" w:lineRule="exact"/>
              <w:rPr>
                <w:sz w:val="20"/>
                <w:szCs w:val="20"/>
                <w:color w:val="auto"/>
              </w:rPr>
            </w:pPr>
            <w:r>
              <w:rPr>
                <w:rFonts w:ascii="Arial" w:cs="Arial" w:eastAsia="Arial" w:hAnsi="Arial"/>
                <w:sz w:val="14"/>
                <w:szCs w:val="14"/>
                <w:color w:val="auto"/>
              </w:rPr>
              <w:t>210</w:t>
            </w:r>
          </w:p>
        </w:tc>
        <w:tc>
          <w:tcPr>
            <w:tcW w:w="1240" w:type="dxa"/>
            <w:vAlign w:val="bottom"/>
            <w:gridSpan w:val="10"/>
          </w:tcPr>
          <w:p>
            <w:pPr>
              <w:jc w:val="right"/>
              <w:ind w:right="750"/>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2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4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48"/>
              <w:spacing w:after="0" w:line="144" w:lineRule="exact"/>
              <w:rPr>
                <w:sz w:val="20"/>
                <w:szCs w:val="20"/>
                <w:color w:val="auto"/>
              </w:rPr>
            </w:pPr>
            <w:r>
              <w:rPr>
                <w:rFonts w:ascii="Arial" w:cs="Arial" w:eastAsia="Arial" w:hAnsi="Arial"/>
                <w:sz w:val="14"/>
                <w:szCs w:val="14"/>
                <w:color w:val="auto"/>
              </w:rPr>
              <w:t>30</w:t>
            </w:r>
          </w:p>
        </w:tc>
        <w:tc>
          <w:tcPr>
            <w:tcW w:w="1980" w:type="dxa"/>
            <w:vAlign w:val="bottom"/>
            <w:gridSpan w:val="14"/>
          </w:tcPr>
          <w:p>
            <w:pPr>
              <w:jc w:val="right"/>
              <w:ind w:right="1600"/>
              <w:spacing w:after="0" w:line="144"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440" w:type="dxa"/>
            <w:vAlign w:val="bottom"/>
            <w:gridSpan w:val="90"/>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600" w:type="dxa"/>
            <w:vAlign w:val="bottom"/>
            <w:gridSpan w:val="3"/>
          </w:tcPr>
          <w:p>
            <w:pPr>
              <w:spacing w:after="0" w:line="144" w:lineRule="exact"/>
              <w:rPr>
                <w:sz w:val="20"/>
                <w:szCs w:val="20"/>
                <w:color w:val="auto"/>
              </w:rPr>
            </w:pPr>
            <w:r>
              <w:rPr>
                <w:rFonts w:ascii="Arial" w:cs="Arial" w:eastAsia="Arial" w:hAnsi="Arial"/>
                <w:sz w:val="14"/>
                <w:szCs w:val="14"/>
                <w:color w:val="auto"/>
              </w:rPr>
              <w:t>Regular Payments to GZ</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ind w:right="60"/>
              <w:spacing w:after="0" w:line="144" w:lineRule="exact"/>
              <w:rPr>
                <w:sz w:val="20"/>
                <w:szCs w:val="20"/>
                <w:color w:val="auto"/>
              </w:rPr>
            </w:pPr>
            <w:r>
              <w:rPr>
                <w:rFonts w:ascii="Arial" w:cs="Arial" w:eastAsia="Arial" w:hAnsi="Arial"/>
                <w:sz w:val="14"/>
                <w:szCs w:val="14"/>
                <w:color w:val="auto"/>
              </w:rPr>
              <w:t>0</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0</w:t>
            </w:r>
          </w:p>
        </w:tc>
        <w:tc>
          <w:tcPr>
            <w:tcW w:w="1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4"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14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120"/>
              <w:spacing w:after="0" w:line="144"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160" w:type="dxa"/>
            <w:vAlign w:val="bottom"/>
            <w:gridSpan w:val="2"/>
          </w:tcPr>
          <w:p>
            <w:pPr>
              <w:jc w:val="right"/>
              <w:ind w:right="28"/>
              <w:spacing w:after="0" w:line="144"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4"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line="144" w:lineRule="exact"/>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80"/>
              <w:spacing w:after="0" w:line="144" w:lineRule="exact"/>
              <w:rPr>
                <w:sz w:val="20"/>
                <w:szCs w:val="20"/>
                <w:color w:val="auto"/>
              </w:rPr>
            </w:pPr>
            <w:r>
              <w:rPr>
                <w:rFonts w:ascii="Arial" w:cs="Arial" w:eastAsia="Arial" w:hAnsi="Arial"/>
                <w:sz w:val="14"/>
                <w:szCs w:val="14"/>
                <w:color w:val="auto"/>
              </w:rPr>
              <w:t>0</w:t>
            </w:r>
          </w:p>
        </w:tc>
        <w:tc>
          <w:tcPr>
            <w:tcW w:w="12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4,471</w:t>
            </w:r>
          </w:p>
        </w:tc>
        <w:tc>
          <w:tcPr>
            <w:tcW w:w="14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4,471</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5,065</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5,867</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6,570</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8,053</w:t>
            </w:r>
          </w:p>
        </w:tc>
        <w:tc>
          <w:tcPr>
            <w:tcW w:w="14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w w:val="97"/>
              </w:rPr>
              <w:t>25,555</w:t>
            </w:r>
          </w:p>
        </w:tc>
        <w:tc>
          <w:tcPr>
            <w:tcW w:w="260" w:type="dxa"/>
            <w:vAlign w:val="bottom"/>
            <w:gridSpan w:val="3"/>
          </w:tcPr>
          <w:p>
            <w:pPr>
              <w:ind w:left="80"/>
              <w:spacing w:after="0" w:line="144"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30,026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gridSpan w:val="12"/>
          </w:tcPr>
          <w:p>
            <w:pPr>
              <w:spacing w:after="0"/>
              <w:rPr>
                <w:sz w:val="20"/>
                <w:szCs w:val="20"/>
                <w:color w:val="auto"/>
              </w:rPr>
            </w:pPr>
            <w:r>
              <w:rPr>
                <w:rFonts w:ascii="Arial" w:cs="Arial" w:eastAsia="Arial" w:hAnsi="Arial"/>
                <w:sz w:val="14"/>
                <w:szCs w:val="14"/>
                <w:color w:val="auto"/>
              </w:rPr>
              <w:t>Delayed Payments to GZ</w:t>
            </w:r>
          </w:p>
        </w:tc>
        <w:tc>
          <w:tcPr>
            <w:tcW w:w="520" w:type="dxa"/>
            <w:vAlign w:val="bottom"/>
            <w:gridSpan w:val="7"/>
            <w:shd w:val="clear" w:color="auto" w:fill="CCEEFF"/>
          </w:tcPr>
          <w:p>
            <w:pPr>
              <w:jc w:val="right"/>
              <w:ind w:right="310"/>
              <w:spacing w:after="0" w:line="144" w:lineRule="exact"/>
              <w:rPr>
                <w:sz w:val="20"/>
                <w:szCs w:val="20"/>
                <w:color w:val="auto"/>
              </w:rPr>
            </w:pPr>
            <w:r>
              <w:rPr>
                <w:rFonts w:ascii="Arial" w:cs="Arial" w:eastAsia="Arial" w:hAnsi="Arial"/>
                <w:sz w:val="14"/>
                <w:szCs w:val="14"/>
                <w:color w:val="auto"/>
              </w:rPr>
              <w:t>0</w:t>
            </w:r>
          </w:p>
        </w:tc>
        <w:tc>
          <w:tcPr>
            <w:tcW w:w="440" w:type="dxa"/>
            <w:vAlign w:val="bottom"/>
            <w:gridSpan w:val="5"/>
            <w:shd w:val="clear" w:color="auto" w:fill="CCEEFF"/>
          </w:tcPr>
          <w:p>
            <w:pPr>
              <w:jc w:val="right"/>
              <w:ind w:right="220"/>
              <w:spacing w:after="0" w:line="144" w:lineRule="exact"/>
              <w:rPr>
                <w:sz w:val="20"/>
                <w:szCs w:val="20"/>
                <w:color w:val="auto"/>
              </w:rPr>
            </w:pPr>
            <w:r>
              <w:rPr>
                <w:rFonts w:ascii="Arial" w:cs="Arial" w:eastAsia="Arial" w:hAnsi="Arial"/>
                <w:sz w:val="14"/>
                <w:szCs w:val="14"/>
                <w:color w:val="auto"/>
              </w:rPr>
              <w:t>0</w:t>
            </w:r>
          </w:p>
        </w:tc>
        <w:tc>
          <w:tcPr>
            <w:tcW w:w="600" w:type="dxa"/>
            <w:vAlign w:val="bottom"/>
            <w:gridSpan w:val="7"/>
            <w:shd w:val="clear" w:color="auto" w:fill="CCEEFF"/>
          </w:tcPr>
          <w:p>
            <w:pPr>
              <w:jc w:val="right"/>
              <w:ind w:right="200"/>
              <w:spacing w:after="0" w:line="144" w:lineRule="exact"/>
              <w:rPr>
                <w:sz w:val="20"/>
                <w:szCs w:val="20"/>
                <w:color w:val="auto"/>
              </w:rPr>
            </w:pPr>
            <w:r>
              <w:rPr>
                <w:rFonts w:ascii="Arial" w:cs="Arial" w:eastAsia="Arial" w:hAnsi="Arial"/>
                <w:sz w:val="14"/>
                <w:szCs w:val="14"/>
                <w:color w:val="auto"/>
              </w:rPr>
              <w:t>1,757</w:t>
            </w:r>
          </w:p>
        </w:tc>
        <w:tc>
          <w:tcPr>
            <w:tcW w:w="700" w:type="dxa"/>
            <w:vAlign w:val="bottom"/>
            <w:gridSpan w:val="6"/>
            <w:shd w:val="clear" w:color="auto" w:fill="CCEEFF"/>
          </w:tcPr>
          <w:p>
            <w:pPr>
              <w:jc w:val="right"/>
              <w:ind w:right="236"/>
              <w:spacing w:after="0" w:line="144" w:lineRule="exact"/>
              <w:rPr>
                <w:sz w:val="20"/>
                <w:szCs w:val="20"/>
                <w:color w:val="auto"/>
              </w:rPr>
            </w:pPr>
            <w:r>
              <w:rPr>
                <w:rFonts w:ascii="Arial" w:cs="Arial" w:eastAsia="Arial" w:hAnsi="Arial"/>
                <w:sz w:val="14"/>
                <w:szCs w:val="14"/>
                <w:color w:val="auto"/>
              </w:rPr>
              <w:t>1,757</w:t>
            </w:r>
          </w:p>
        </w:tc>
        <w:tc>
          <w:tcPr>
            <w:tcW w:w="580" w:type="dxa"/>
            <w:vAlign w:val="bottom"/>
            <w:gridSpan w:val="5"/>
            <w:shd w:val="clear" w:color="auto" w:fill="CCEEFF"/>
          </w:tcPr>
          <w:p>
            <w:pPr>
              <w:jc w:val="right"/>
              <w:ind w:right="208"/>
              <w:spacing w:after="0" w:line="144" w:lineRule="exact"/>
              <w:rPr>
                <w:sz w:val="20"/>
                <w:szCs w:val="20"/>
                <w:color w:val="auto"/>
              </w:rPr>
            </w:pPr>
            <w:r>
              <w:rPr>
                <w:rFonts w:ascii="Arial" w:cs="Arial" w:eastAsia="Arial" w:hAnsi="Arial"/>
                <w:sz w:val="14"/>
                <w:szCs w:val="14"/>
                <w:color w:val="auto"/>
                <w:w w:val="85"/>
              </w:rPr>
              <w:t>1,910</w:t>
            </w:r>
          </w:p>
        </w:tc>
        <w:tc>
          <w:tcPr>
            <w:tcW w:w="580" w:type="dxa"/>
            <w:vAlign w:val="bottom"/>
            <w:gridSpan w:val="5"/>
            <w:shd w:val="clear" w:color="auto" w:fill="CCEEFF"/>
          </w:tcPr>
          <w:p>
            <w:pPr>
              <w:jc w:val="right"/>
              <w:ind w:right="168"/>
              <w:spacing w:after="0" w:line="144" w:lineRule="exact"/>
              <w:rPr>
                <w:sz w:val="20"/>
                <w:szCs w:val="20"/>
                <w:color w:val="auto"/>
              </w:rPr>
            </w:pPr>
            <w:r>
              <w:rPr>
                <w:rFonts w:ascii="Arial" w:cs="Arial" w:eastAsia="Arial" w:hAnsi="Arial"/>
                <w:sz w:val="14"/>
                <w:szCs w:val="14"/>
                <w:color w:val="auto"/>
                <w:w w:val="96"/>
              </w:rPr>
              <w:t>2,349</w:t>
            </w:r>
          </w:p>
        </w:tc>
        <w:tc>
          <w:tcPr>
            <w:tcW w:w="600" w:type="dxa"/>
            <w:vAlign w:val="bottom"/>
            <w:gridSpan w:val="5"/>
            <w:shd w:val="clear" w:color="auto" w:fill="CCEEFF"/>
          </w:tcPr>
          <w:p>
            <w:pPr>
              <w:jc w:val="right"/>
              <w:ind w:right="130"/>
              <w:spacing w:after="0" w:line="144" w:lineRule="exact"/>
              <w:rPr>
                <w:sz w:val="20"/>
                <w:szCs w:val="20"/>
                <w:color w:val="auto"/>
              </w:rPr>
            </w:pPr>
            <w:r>
              <w:rPr>
                <w:rFonts w:ascii="Arial" w:cs="Arial" w:eastAsia="Arial" w:hAnsi="Arial"/>
                <w:sz w:val="14"/>
                <w:szCs w:val="14"/>
                <w:color w:val="auto"/>
              </w:rPr>
              <w:t>3,045</w:t>
            </w:r>
          </w:p>
        </w:tc>
        <w:tc>
          <w:tcPr>
            <w:tcW w:w="600" w:type="dxa"/>
            <w:vAlign w:val="bottom"/>
            <w:gridSpan w:val="5"/>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3,270</w:t>
            </w:r>
          </w:p>
        </w:tc>
        <w:tc>
          <w:tcPr>
            <w:tcW w:w="640" w:type="dxa"/>
            <w:vAlign w:val="bottom"/>
            <w:gridSpan w:val="5"/>
            <w:shd w:val="clear" w:color="auto" w:fill="CCEEFF"/>
          </w:tcPr>
          <w:p>
            <w:pPr>
              <w:jc w:val="right"/>
              <w:ind w:right="110"/>
              <w:spacing w:after="0" w:line="144" w:lineRule="exact"/>
              <w:rPr>
                <w:sz w:val="20"/>
                <w:szCs w:val="20"/>
                <w:color w:val="auto"/>
              </w:rPr>
            </w:pPr>
            <w:r>
              <w:rPr>
                <w:rFonts w:ascii="Arial" w:cs="Arial" w:eastAsia="Arial" w:hAnsi="Arial"/>
                <w:sz w:val="14"/>
                <w:szCs w:val="14"/>
                <w:color w:val="auto"/>
              </w:rPr>
              <w:t>10,573</w:t>
            </w:r>
          </w:p>
        </w:tc>
        <w:tc>
          <w:tcPr>
            <w:tcW w:w="580" w:type="dxa"/>
            <w:vAlign w:val="bottom"/>
            <w:gridSpan w:val="5"/>
            <w:shd w:val="clear" w:color="auto" w:fill="CCEEFF"/>
          </w:tcPr>
          <w:p>
            <w:pPr>
              <w:jc w:val="right"/>
              <w:ind w:right="128"/>
              <w:spacing w:after="0" w:line="144" w:lineRule="exact"/>
              <w:rPr>
                <w:sz w:val="20"/>
                <w:szCs w:val="20"/>
                <w:color w:val="auto"/>
              </w:rPr>
            </w:pPr>
            <w:r>
              <w:rPr>
                <w:rFonts w:ascii="Arial" w:cs="Arial" w:eastAsia="Arial" w:hAnsi="Arial"/>
                <w:sz w:val="14"/>
                <w:szCs w:val="14"/>
                <w:color w:val="auto"/>
              </w:rPr>
              <w:t>3,543</w:t>
            </w:r>
          </w:p>
        </w:tc>
        <w:tc>
          <w:tcPr>
            <w:tcW w:w="580" w:type="dxa"/>
            <w:vAlign w:val="bottom"/>
            <w:gridSpan w:val="5"/>
            <w:shd w:val="clear" w:color="auto" w:fill="CCEEFF"/>
          </w:tcPr>
          <w:p>
            <w:pPr>
              <w:jc w:val="right"/>
              <w:ind w:right="148"/>
              <w:spacing w:after="0" w:line="144" w:lineRule="exact"/>
              <w:rPr>
                <w:sz w:val="20"/>
                <w:szCs w:val="20"/>
                <w:color w:val="auto"/>
              </w:rPr>
            </w:pPr>
            <w:r>
              <w:rPr>
                <w:rFonts w:ascii="Arial" w:cs="Arial" w:eastAsia="Arial" w:hAnsi="Arial"/>
                <w:sz w:val="14"/>
                <w:szCs w:val="14"/>
                <w:color w:val="auto"/>
              </w:rPr>
              <w:t>0</w:t>
            </w:r>
          </w:p>
        </w:tc>
        <w:tc>
          <w:tcPr>
            <w:tcW w:w="580" w:type="dxa"/>
            <w:vAlign w:val="bottom"/>
            <w:gridSpan w:val="5"/>
            <w:shd w:val="clear" w:color="auto" w:fill="CCEEFF"/>
          </w:tcPr>
          <w:p>
            <w:pPr>
              <w:jc w:val="right"/>
              <w:ind w:right="148"/>
              <w:spacing w:after="0" w:line="144" w:lineRule="exact"/>
              <w:rPr>
                <w:sz w:val="20"/>
                <w:szCs w:val="20"/>
                <w:color w:val="auto"/>
              </w:rPr>
            </w:pPr>
            <w:r>
              <w:rPr>
                <w:rFonts w:ascii="Arial" w:cs="Arial" w:eastAsia="Arial" w:hAnsi="Arial"/>
                <w:sz w:val="14"/>
                <w:szCs w:val="14"/>
                <w:color w:val="auto"/>
              </w:rPr>
              <w:t>0</w:t>
            </w:r>
          </w:p>
        </w:tc>
        <w:tc>
          <w:tcPr>
            <w:tcW w:w="580" w:type="dxa"/>
            <w:vAlign w:val="bottom"/>
            <w:gridSpan w:val="5"/>
            <w:shd w:val="clear" w:color="auto" w:fill="CCEEFF"/>
          </w:tcPr>
          <w:p>
            <w:pPr>
              <w:jc w:val="right"/>
              <w:ind w:right="200"/>
              <w:spacing w:after="0" w:line="144" w:lineRule="exact"/>
              <w:rPr>
                <w:sz w:val="20"/>
                <w:szCs w:val="20"/>
                <w:color w:val="auto"/>
              </w:rPr>
            </w:pPr>
            <w:r>
              <w:rPr>
                <w:rFonts w:ascii="Arial" w:cs="Arial" w:eastAsia="Arial" w:hAnsi="Arial"/>
                <w:sz w:val="14"/>
                <w:szCs w:val="14"/>
                <w:color w:val="auto"/>
              </w:rPr>
              <w:t>0</w:t>
            </w:r>
          </w:p>
        </w:tc>
        <w:tc>
          <w:tcPr>
            <w:tcW w:w="740" w:type="dxa"/>
            <w:vAlign w:val="bottom"/>
            <w:gridSpan w:val="6"/>
            <w:shd w:val="clear" w:color="auto" w:fill="CCEEFF"/>
          </w:tcPr>
          <w:p>
            <w:pPr>
              <w:jc w:val="right"/>
              <w:ind w:right="230"/>
              <w:spacing w:after="0" w:line="144" w:lineRule="exact"/>
              <w:rPr>
                <w:sz w:val="20"/>
                <w:szCs w:val="20"/>
                <w:color w:val="auto"/>
              </w:rPr>
            </w:pPr>
            <w:r>
              <w:rPr>
                <w:rFonts w:ascii="Arial" w:cs="Arial" w:eastAsia="Arial" w:hAnsi="Arial"/>
                <w:sz w:val="14"/>
                <w:szCs w:val="14"/>
                <w:color w:val="auto"/>
              </w:rPr>
              <w:t>3,543</w:t>
            </w:r>
          </w:p>
        </w:tc>
        <w:tc>
          <w:tcPr>
            <w:tcW w:w="66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15,873</w:t>
            </w:r>
          </w:p>
        </w:tc>
        <w:tc>
          <w:tcPr>
            <w:tcW w:w="0" w:type="dxa"/>
            <w:vAlign w:val="bottom"/>
          </w:tcPr>
          <w:p>
            <w:pPr>
              <w:spacing w:after="0"/>
              <w:rPr>
                <w:sz w:val="1"/>
                <w:szCs w:val="1"/>
                <w:color w:val="auto"/>
              </w:rPr>
            </w:pPr>
          </w:p>
        </w:tc>
      </w:tr>
      <w:tr>
        <w:trPr>
          <w:trHeight w:val="106"/>
        </w:trPr>
        <w:tc>
          <w:tcPr>
            <w:tcW w:w="1620" w:type="dxa"/>
            <w:vAlign w:val="bottom"/>
            <w:gridSpan w:val="4"/>
          </w:tcPr>
          <w:p>
            <w:pPr>
              <w:spacing w:after="0"/>
              <w:rPr>
                <w:sz w:val="20"/>
                <w:szCs w:val="20"/>
                <w:color w:val="auto"/>
              </w:rPr>
            </w:pPr>
            <w:r>
              <w:rPr>
                <w:rFonts w:ascii="Arial" w:cs="Arial" w:eastAsia="Arial" w:hAnsi="Arial"/>
                <w:sz w:val="12"/>
                <w:szCs w:val="12"/>
                <w:color w:val="auto"/>
              </w:rPr>
              <w:t>Total Projected Cash</w:t>
            </w:r>
          </w:p>
        </w:tc>
        <w:tc>
          <w:tcPr>
            <w:tcW w:w="42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20" w:type="dxa"/>
            <w:vAlign w:val="bottom"/>
            <w:gridSpan w:val="2"/>
          </w:tcPr>
          <w:p>
            <w:pPr>
              <w:spacing w:after="0"/>
              <w:rPr>
                <w:sz w:val="9"/>
                <w:szCs w:val="9"/>
                <w:color w:val="auto"/>
              </w:rPr>
            </w:pPr>
          </w:p>
        </w:tc>
        <w:tc>
          <w:tcPr>
            <w:tcW w:w="480" w:type="dxa"/>
            <w:vAlign w:val="bottom"/>
            <w:tcBorders>
              <w:top w:val="single" w:sz="8" w:color="auto"/>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500" w:type="dxa"/>
            <w:vAlign w:val="bottom"/>
            <w:tcBorders>
              <w:top w:val="single" w:sz="8" w:color="auto"/>
            </w:tcBorders>
            <w:gridSpan w:val="5"/>
          </w:tcPr>
          <w:p>
            <w:pPr>
              <w:spacing w:after="0"/>
              <w:rPr>
                <w:sz w:val="9"/>
                <w:szCs w:val="9"/>
                <w:color w:val="auto"/>
              </w:rPr>
            </w:pPr>
          </w:p>
        </w:tc>
        <w:tc>
          <w:tcPr>
            <w:tcW w:w="100" w:type="dxa"/>
            <w:vAlign w:val="bottom"/>
            <w:gridSpan w:val="2"/>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52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52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52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54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48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3"/>
          </w:tcPr>
          <w:p>
            <w:pPr>
              <w:spacing w:after="0"/>
              <w:rPr>
                <w:sz w:val="9"/>
                <w:szCs w:val="9"/>
                <w:color w:val="auto"/>
              </w:rPr>
            </w:pPr>
          </w:p>
        </w:tc>
        <w:tc>
          <w:tcPr>
            <w:tcW w:w="120" w:type="dxa"/>
            <w:vAlign w:val="bottom"/>
            <w:gridSpan w:val="2"/>
          </w:tcPr>
          <w:p>
            <w:pPr>
              <w:spacing w:after="0"/>
              <w:rPr>
                <w:sz w:val="9"/>
                <w:szCs w:val="9"/>
                <w:color w:val="auto"/>
              </w:rPr>
            </w:pPr>
          </w:p>
        </w:tc>
        <w:tc>
          <w:tcPr>
            <w:tcW w:w="460" w:type="dxa"/>
            <w:vAlign w:val="bottom"/>
            <w:tcBorders>
              <w:top w:val="single" w:sz="8" w:color="auto"/>
            </w:tcBorders>
            <w:gridSpan w:val="3"/>
          </w:tcPr>
          <w:p>
            <w:pPr>
              <w:spacing w:after="0"/>
              <w:rPr>
                <w:sz w:val="9"/>
                <w:szCs w:val="9"/>
                <w:color w:val="auto"/>
              </w:rPr>
            </w:pPr>
          </w:p>
        </w:tc>
        <w:tc>
          <w:tcPr>
            <w:tcW w:w="120" w:type="dxa"/>
            <w:vAlign w:val="bottom"/>
            <w:gridSpan w:val="2"/>
          </w:tcPr>
          <w:p>
            <w:pPr>
              <w:spacing w:after="0"/>
              <w:rPr>
                <w:sz w:val="9"/>
                <w:szCs w:val="9"/>
                <w:color w:val="auto"/>
              </w:rPr>
            </w:pPr>
          </w:p>
        </w:tc>
        <w:tc>
          <w:tcPr>
            <w:tcW w:w="46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540" w:type="dxa"/>
            <w:vAlign w:val="bottom"/>
            <w:tcBorders>
              <w:top w:val="single" w:sz="8" w:color="auto"/>
            </w:tcBorders>
            <w:gridSpan w:val="3"/>
          </w:tcPr>
          <w:p>
            <w:pPr>
              <w:spacing w:after="0"/>
              <w:rPr>
                <w:sz w:val="9"/>
                <w:szCs w:val="9"/>
                <w:color w:val="auto"/>
              </w:rPr>
            </w:pPr>
          </w:p>
        </w:tc>
        <w:tc>
          <w:tcPr>
            <w:tcW w:w="120" w:type="dxa"/>
            <w:vAlign w:val="bottom"/>
            <w:gridSpan w:val="3"/>
          </w:tcPr>
          <w:p>
            <w:pPr>
              <w:spacing w:after="0"/>
              <w:rPr>
                <w:sz w:val="9"/>
                <w:szCs w:val="9"/>
                <w:color w:val="auto"/>
              </w:rPr>
            </w:pPr>
          </w:p>
        </w:tc>
        <w:tc>
          <w:tcPr>
            <w:tcW w:w="700" w:type="dxa"/>
            <w:vAlign w:val="bottom"/>
            <w:tcBorders>
              <w:top w:val="single" w:sz="8" w:color="auto"/>
            </w:tcBorders>
            <w:gridSpan w:val="2"/>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color w:val="auto"/>
              </w:rPr>
              <w:t>Payments to GZ</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460" w:type="dxa"/>
            <w:vAlign w:val="bottom"/>
            <w:gridSpan w:val="4"/>
          </w:tcPr>
          <w:p>
            <w:pPr>
              <w:jc w:val="right"/>
              <w:ind w:right="60"/>
              <w:spacing w:after="0"/>
              <w:rPr>
                <w:sz w:val="20"/>
                <w:szCs w:val="20"/>
                <w:color w:val="auto"/>
              </w:rPr>
            </w:pPr>
            <w:r>
              <w:rPr>
                <w:rFonts w:ascii="Arial" w:cs="Arial" w:eastAsia="Arial" w:hAnsi="Arial"/>
                <w:sz w:val="14"/>
                <w:szCs w:val="14"/>
                <w:color w:val="auto"/>
              </w:rPr>
              <w:t>1,757</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4"/>
                <w:szCs w:val="14"/>
                <w:color w:val="auto"/>
              </w:rPr>
              <w:t>1,757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1,910</w:t>
            </w:r>
          </w:p>
        </w:tc>
        <w:tc>
          <w:tcPr>
            <w:tcW w:w="20" w:type="dxa"/>
            <w:vAlign w:val="bottom"/>
          </w:tcPr>
          <w:p>
            <w:pPr>
              <w:spacing w:after="0"/>
              <w:rPr>
                <w:sz w:val="14"/>
                <w:szCs w:val="14"/>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2,349</w:t>
            </w:r>
          </w:p>
        </w:tc>
        <w:tc>
          <w:tcPr>
            <w:tcW w:w="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80"/>
              <w:spacing w:after="0"/>
              <w:rPr>
                <w:sz w:val="20"/>
                <w:szCs w:val="20"/>
                <w:color w:val="auto"/>
              </w:rPr>
            </w:pPr>
            <w:r>
              <w:rPr>
                <w:rFonts w:ascii="Arial" w:cs="Arial" w:eastAsia="Arial" w:hAnsi="Arial"/>
                <w:sz w:val="14"/>
                <w:szCs w:val="14"/>
                <w:color w:val="auto"/>
              </w:rPr>
              <w:t>3,045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4"/>
                <w:szCs w:val="14"/>
                <w:color w:val="auto"/>
              </w:rPr>
              <w:t>7,741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15,044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8,607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5,867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6,570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8,053</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w w:val="97"/>
              </w:rPr>
              <w:t>29,098</w:t>
            </w:r>
          </w:p>
        </w:tc>
        <w:tc>
          <w:tcPr>
            <w:tcW w:w="2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45,899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440" w:type="dxa"/>
            <w:vAlign w:val="bottom"/>
            <w:gridSpan w:val="90"/>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440" w:type="dxa"/>
            <w:vAlign w:val="bottom"/>
            <w:gridSpan w:val="90"/>
          </w:tcPr>
          <w:p>
            <w:pPr>
              <w:spacing w:after="0" w:line="126" w:lineRule="exact"/>
              <w:rPr>
                <w:sz w:val="20"/>
                <w:szCs w:val="20"/>
                <w:color w:val="auto"/>
              </w:rPr>
            </w:pPr>
            <w:r>
              <w:rPr>
                <w:rFonts w:ascii="Arial" w:cs="Arial" w:eastAsia="Arial" w:hAnsi="Arial"/>
                <w:sz w:val="14"/>
                <w:szCs w:val="14"/>
                <w:color w:val="auto"/>
              </w:rPr>
              <w:t>Quarterly/Annual Impact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auto"/>
              </w:rPr>
              <w:t>to GZ</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center"/>
              <w:ind w:left="17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4"/>
                <w:szCs w:val="14"/>
                <w:color w:val="auto"/>
              </w:rPr>
            </w:pPr>
          </w:p>
        </w:tc>
        <w:tc>
          <w:tcPr>
            <w:tcW w:w="560" w:type="dxa"/>
            <w:vAlign w:val="bottom"/>
            <w:gridSpan w:val="5"/>
          </w:tcPr>
          <w:p>
            <w:pPr>
              <w:jc w:val="right"/>
              <w:spacing w:after="0"/>
              <w:rPr>
                <w:sz w:val="20"/>
                <w:szCs w:val="20"/>
                <w:color w:val="auto"/>
              </w:rPr>
            </w:pPr>
            <w:r>
              <w:rPr>
                <w:rFonts w:ascii="Arial" w:cs="Arial" w:eastAsia="Arial" w:hAnsi="Arial"/>
                <w:sz w:val="14"/>
                <w:szCs w:val="14"/>
                <w:color w:val="auto"/>
              </w:rPr>
              <w:t>(51,757)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5"/>
          </w:tcPr>
          <w:p>
            <w:pPr>
              <w:jc w:val="right"/>
              <w:ind w:right="40"/>
              <w:spacing w:after="0"/>
              <w:rPr>
                <w:sz w:val="20"/>
                <w:szCs w:val="20"/>
                <w:color w:val="auto"/>
              </w:rPr>
            </w:pPr>
            <w:r>
              <w:rPr>
                <w:rFonts w:ascii="Arial" w:cs="Arial" w:eastAsia="Arial" w:hAnsi="Arial"/>
                <w:sz w:val="14"/>
                <w:szCs w:val="14"/>
                <w:color w:val="auto"/>
                <w:w w:val="99"/>
              </w:rPr>
              <w:t>(1,910)</w:t>
            </w:r>
          </w:p>
        </w:tc>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(591)</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(4,259)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4"/>
          </w:tcPr>
          <w:p>
            <w:pPr>
              <w:jc w:val="right"/>
              <w:ind w:right="20"/>
              <w:spacing w:after="0"/>
              <w:rPr>
                <w:sz w:val="20"/>
                <w:szCs w:val="20"/>
                <w:color w:val="auto"/>
              </w:rPr>
            </w:pPr>
            <w:r>
              <w:rPr>
                <w:rFonts w:ascii="Arial" w:cs="Arial" w:eastAsia="Arial" w:hAnsi="Arial"/>
                <w:sz w:val="14"/>
                <w:szCs w:val="14"/>
                <w:color w:val="auto"/>
              </w:rPr>
              <w:t>(1,135)</w:t>
            </w:r>
          </w:p>
        </w:tc>
        <w:tc>
          <w:tcPr>
            <w:tcW w:w="20" w:type="dxa"/>
            <w:vAlign w:val="bottom"/>
          </w:tcPr>
          <w:p>
            <w:pPr>
              <w:spacing w:after="0"/>
              <w:rPr>
                <w:sz w:val="14"/>
                <w:szCs w:val="14"/>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auto"/>
              </w:rPr>
              <w:t>(610)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(498)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4"/>
                <w:szCs w:val="14"/>
                <w:color w:val="auto"/>
              </w:rPr>
              <w:t>3,270</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1,027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3,543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3,543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440" w:type="dxa"/>
            <w:vAlign w:val="bottom"/>
            <w:gridSpan w:val="90"/>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600" w:type="dxa"/>
            <w:vAlign w:val="bottom"/>
            <w:gridSpan w:val="3"/>
          </w:tcPr>
          <w:p>
            <w:pPr>
              <w:spacing w:after="0"/>
              <w:rPr>
                <w:sz w:val="20"/>
                <w:szCs w:val="20"/>
                <w:color w:val="auto"/>
              </w:rPr>
            </w:pPr>
            <w:r>
              <w:rPr>
                <w:rFonts w:ascii="Arial" w:cs="Arial" w:eastAsia="Arial" w:hAnsi="Arial"/>
                <w:sz w:val="14"/>
                <w:szCs w:val="14"/>
                <w:color w:val="auto"/>
              </w:rPr>
              <w:t>Cumulative Impact to GZ</w:t>
            </w: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center"/>
              <w:ind w:left="17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5"/>
                <w:szCs w:val="15"/>
                <w:color w:val="auto"/>
              </w:rPr>
            </w:pPr>
          </w:p>
        </w:tc>
        <w:tc>
          <w:tcPr>
            <w:tcW w:w="560" w:type="dxa"/>
            <w:vAlign w:val="bottom"/>
            <w:gridSpan w:val="5"/>
          </w:tcPr>
          <w:p>
            <w:pPr>
              <w:jc w:val="right"/>
              <w:spacing w:after="0"/>
              <w:rPr>
                <w:sz w:val="20"/>
                <w:szCs w:val="20"/>
                <w:color w:val="auto"/>
              </w:rPr>
            </w:pPr>
            <w:r>
              <w:rPr>
                <w:rFonts w:ascii="Arial" w:cs="Arial" w:eastAsia="Arial" w:hAnsi="Arial"/>
                <w:sz w:val="14"/>
                <w:szCs w:val="14"/>
                <w:color w:val="auto"/>
                <w:w w:val="96"/>
              </w:rPr>
              <w:t>$ (1,757)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5"/>
          </w:tcPr>
          <w:p>
            <w:pPr>
              <w:jc w:val="right"/>
              <w:ind w:right="40"/>
              <w:spacing w:after="0"/>
              <w:rPr>
                <w:sz w:val="20"/>
                <w:szCs w:val="20"/>
                <w:color w:val="auto"/>
              </w:rPr>
            </w:pPr>
            <w:r>
              <w:rPr>
                <w:rFonts w:ascii="Arial" w:cs="Arial" w:eastAsia="Arial" w:hAnsi="Arial"/>
                <w:sz w:val="14"/>
                <w:szCs w:val="14"/>
                <w:color w:val="auto"/>
                <w:w w:val="99"/>
              </w:rPr>
              <w:t>(3,667)</w:t>
            </w:r>
          </w:p>
        </w:tc>
        <w:tc>
          <w:tcPr>
            <w:tcW w:w="580" w:type="dxa"/>
            <w:vAlign w:val="bottom"/>
            <w:gridSpan w:val="7"/>
          </w:tcPr>
          <w:p>
            <w:pPr>
              <w:jc w:val="right"/>
              <w:ind w:right="20"/>
              <w:spacing w:after="0"/>
              <w:rPr>
                <w:sz w:val="20"/>
                <w:szCs w:val="20"/>
                <w:color w:val="auto"/>
              </w:rPr>
            </w:pPr>
            <w:r>
              <w:rPr>
                <w:rFonts w:ascii="Arial" w:cs="Arial" w:eastAsia="Arial" w:hAnsi="Arial"/>
                <w:sz w:val="14"/>
                <w:szCs w:val="14"/>
                <w:color w:val="auto"/>
                <w:w w:val="96"/>
              </w:rPr>
              <w:t>$ (4,259)</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(4,259)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4"/>
          </w:tcPr>
          <w:p>
            <w:pPr>
              <w:jc w:val="right"/>
              <w:ind w:right="20"/>
              <w:spacing w:after="0"/>
              <w:rPr>
                <w:sz w:val="20"/>
                <w:szCs w:val="20"/>
                <w:color w:val="auto"/>
              </w:rPr>
            </w:pPr>
            <w:r>
              <w:rPr>
                <w:rFonts w:ascii="Arial" w:cs="Arial" w:eastAsia="Arial" w:hAnsi="Arial"/>
                <w:sz w:val="14"/>
                <w:szCs w:val="14"/>
                <w:color w:val="auto"/>
              </w:rPr>
              <w:t>(5,393)</w:t>
            </w:r>
          </w:p>
        </w:tc>
        <w:tc>
          <w:tcPr>
            <w:tcW w:w="20" w:type="dxa"/>
            <w:vAlign w:val="bottom"/>
          </w:tcPr>
          <w:p>
            <w:pPr>
              <w:spacing w:after="0"/>
              <w:rPr>
                <w:sz w:val="15"/>
                <w:szCs w:val="15"/>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auto"/>
                <w:w w:val="85"/>
              </w:rPr>
              <w:t>(6,003)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w w:val="94"/>
              </w:rPr>
              <w:t>(6,501)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rPr>
                <w:sz w:val="20"/>
                <w:szCs w:val="20"/>
                <w:color w:val="auto"/>
              </w:rPr>
            </w:pPr>
            <w:r>
              <w:rPr>
                <w:rFonts w:ascii="Arial" w:cs="Arial" w:eastAsia="Arial" w:hAnsi="Arial"/>
                <w:sz w:val="14"/>
                <w:szCs w:val="14"/>
                <w:color w:val="auto"/>
                <w:w w:val="99"/>
              </w:rPr>
              <w:t>(3,231)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(3,231)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311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1460" w:type="dxa"/>
            <w:vAlign w:val="bottom"/>
            <w:tcBorders>
              <w:bottom w:val="single" w:sz="8" w:color="010101"/>
            </w:tcBorders>
            <w:gridSpan w:val="9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-2809240</wp:posOffset>
            </wp:positionV>
            <wp:extent cx="12700"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-2809240</wp:posOffset>
            </wp:positionV>
            <wp:extent cx="12700"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1)"/>
      <w:numFmt w:val="decimal"/>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1)"/>
      <w:numFmt w:val="decimal"/>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1)"/>
      <w:numFmt w:val="decimal"/>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decimal"/>
      <w:start w:val="1"/>
    </w:lvl>
  </w:abstractNum>
  <w:abstractNum w:abstractNumId="45">
    <w:nsid w:val="71EA1109"/>
    <w:multiLevelType w:val="hybridMultilevel"/>
    <w:lvl w:ilvl="0">
      <w:lvlJc w:val="left"/>
      <w:lvlText w:val="(%1)"/>
      <w:numFmt w:val="decimal"/>
      <w:start w:val="1"/>
    </w:lvl>
  </w:abstractNum>
  <w:abstractNum w:abstractNumId="46">
    <w:nsid w:val="100F59DC"/>
    <w:multiLevelType w:val="hybridMultilevel"/>
    <w:lvl w:ilvl="0">
      <w:lvlJc w:val="left"/>
      <w:lvlText w:val="%1"/>
      <w:numFmt w:val="decimal"/>
      <w:start w:val="1"/>
    </w:lvl>
    <w:lvl w:ilvl="1">
      <w:lvlJc w:val="left"/>
      <w:lvlText w:val="(%2)"/>
      <w:numFmt w:val="decimal"/>
      <w:start w:val="1"/>
    </w:lvl>
  </w:abstractNum>
  <w:abstractNum w:abstractNumId="47">
    <w:nsid w:val="7FB7E0AA"/>
    <w:multiLevelType w:val="hybridMultilevel"/>
    <w:lvl w:ilvl="0">
      <w:lvlJc w:val="left"/>
      <w:lvlText w:val="(%1)"/>
      <w:numFmt w:val="decimal"/>
      <w:start w:val="3"/>
    </w:lvl>
    <w:lvl w:ilvl="1">
      <w:lvlJc w:val="left"/>
      <w:lvlText w:val="%2"/>
      <w:numFmt w:val="decimal"/>
      <w:start w:val="1"/>
    </w:lvl>
  </w:abstractNum>
  <w:abstractNum w:abstractNumId="48">
    <w:nsid w:val="6EB5BD4"/>
    <w:multiLevelType w:val="hybridMultilevel"/>
    <w:lvl w:ilvl="0">
      <w:lvlJc w:val="left"/>
      <w:lvlText w:val="(%1)"/>
      <w:numFmt w:val="decimal"/>
      <w:start w:val="1"/>
    </w:lvl>
  </w:abstractNum>
  <w:abstractNum w:abstractNumId="49">
    <w:nsid w:val="6F6DD9AC"/>
    <w:multiLevelType w:val="hybridMultilevel"/>
    <w:lvl w:ilvl="0">
      <w:lvlJc w:val="left"/>
      <w:lvlText w:val="(%1)"/>
      <w:numFmt w:val="decimal"/>
      <w:start w:val="1"/>
    </w:lvl>
  </w:abstractNum>
  <w:abstractNum w:abstractNumId="50">
    <w:nsid w:val="94211F2"/>
    <w:multiLevelType w:val="hybridMultilevel"/>
    <w:lvl w:ilvl="0">
      <w:lvlJc w:val="left"/>
      <w:lvlText w:val="(%1)"/>
      <w:numFmt w:val="upperLetter"/>
      <w:start w:val="3"/>
    </w:lvl>
  </w:abstractNum>
  <w:abstractNum w:abstractNumId="51">
    <w:nsid w:val="885E1B"/>
    <w:multiLevelType w:val="hybridMultilevel"/>
    <w:lvl w:ilvl="0">
      <w:lvlJc w:val="left"/>
      <w:lvlText w:val="(%1)"/>
      <w:numFmt w:val="upperLetter"/>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1)"/>
      <w:numFmt w:val="decimal"/>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1)"/>
      <w:numFmt w:val="decimal"/>
      <w:start w:val="1"/>
    </w:lvl>
  </w:abstractNum>
  <w:abstractNum w:abstractNumId="61">
    <w:nsid w:val="4A2AC315"/>
    <w:multiLevelType w:val="hybridMultilevel"/>
    <w:lvl w:ilvl="0">
      <w:lvlJc w:val="left"/>
      <w:lvlText w:val="(%1)"/>
      <w:numFmt w:val="decimal"/>
      <w:start w:val="2"/>
    </w:lvl>
  </w:abstractNum>
  <w:abstractNum w:abstractNumId="62">
    <w:nsid w:val="39EE015C"/>
    <w:multiLevelType w:val="hybridMultilevel"/>
    <w:lvl w:ilvl="0">
      <w:lvlJc w:val="left"/>
      <w:lvlText w:val="(%1)"/>
      <w:numFmt w:val="decimal"/>
      <w:start w:val="6"/>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1."/>
      <w:numFmt w:val="decimal"/>
      <w:start w:val="2"/>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1."/>
      <w:numFmt w:val="decimal"/>
      <w:start w:val="8"/>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1)"/>
      <w:numFmt w:val="decimal"/>
      <w:start w:val="1"/>
    </w:lvl>
  </w:abstractNum>
  <w:abstractNum w:abstractNumId="84">
    <w:nsid w:val="3FA62ACA"/>
    <w:multiLevelType w:val="hybridMultilevel"/>
    <w:lvl w:ilvl="0">
      <w:lvlJc w:val="left"/>
      <w:lvlText w:val="(%1)"/>
      <w:numFmt w:val="lowerLetter"/>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
      <w:numFmt w:val="bullet"/>
      <w:start w:val="1"/>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1."/>
      <w:numFmt w:val="upperLetter"/>
      <w:start w:val="1"/>
    </w:lvl>
  </w:abstractNum>
  <w:abstractNum w:abstractNumId="93">
    <w:nsid w:val="59ADEA3D"/>
    <w:multiLevelType w:val="hybridMultilevel"/>
    <w:lvl w:ilvl="0">
      <w:lvlJc w:val="left"/>
      <w:lvlText w:val="(%1)"/>
      <w:numFmt w:val="lowerLetter"/>
      <w:start w:val="1"/>
    </w:lvl>
  </w:abstractNum>
  <w:abstractNum w:abstractNumId="94">
    <w:nsid w:val="288F1A34"/>
    <w:multiLevelType w:val="hybridMultilevel"/>
    <w:lvl w:ilvl="0">
      <w:lvlJc w:val="left"/>
      <w:lvlText w:val="(%1)"/>
      <w:numFmt w:val="lowerRoman"/>
      <w:start w:val="1"/>
    </w:lvl>
  </w:abstractNum>
  <w:abstractNum w:abstractNumId="95">
    <w:nsid w:val="2A155DBC"/>
    <w:multiLevelType w:val="hybridMultilevel"/>
    <w:lvl w:ilvl="0">
      <w:lvlJc w:val="left"/>
      <w:lvlText w:val="(%1)"/>
      <w:numFmt w:val="lowerRoman"/>
      <w:start w:val="2"/>
    </w:lvl>
  </w:abstractNum>
  <w:abstractNum w:abstractNumId="96">
    <w:nsid w:val="1D9F6E5F"/>
    <w:multiLevelType w:val="hybridMultilevel"/>
    <w:lvl w:ilvl="0">
      <w:lvlJc w:val="left"/>
      <w:lvlText w:val="(%1)"/>
      <w:numFmt w:val="lowerLetter"/>
      <w:start w:val="1"/>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decimal"/>
      <w:start w:val="2"/>
    </w:lvl>
  </w:abstractNum>
  <w:abstractNum w:abstractNumId="99">
    <w:nsid w:val="1CA0C5FA"/>
    <w:multiLevelType w:val="hybridMultilevel"/>
    <w:lvl w:ilvl="0">
      <w:lvlJc w:val="left"/>
      <w:lvlText w:val="(%1)"/>
      <w:numFmt w:val="lowerLetter"/>
      <w:start w:val="2"/>
    </w:lvl>
  </w:abstractNum>
  <w:abstractNum w:abstractNumId="100">
    <w:nsid w:val="53584BCB"/>
    <w:multiLevelType w:val="hybridMultilevel"/>
    <w:lvl w:ilvl="0">
      <w:lvlJc w:val="left"/>
      <w:lvlText w:val="(%1)"/>
      <w:numFmt w:val="lowerRoman"/>
      <w:start w:val="3"/>
    </w:lvl>
  </w:abstractNum>
  <w:abstractNum w:abstractNumId="101">
    <w:nsid w:val="415E286C"/>
    <w:multiLevelType w:val="hybridMultilevel"/>
    <w:lvl w:ilvl="0">
      <w:lvlJc w:val="left"/>
      <w:lvlText w:val="(%1)"/>
      <w:numFmt w:val="lowerLetter"/>
      <w:start w:val="1"/>
    </w:lvl>
  </w:abstractNum>
  <w:abstractNum w:abstractNumId="102">
    <w:nsid w:val="7C58FD05"/>
    <w:multiLevelType w:val="hybridMultilevel"/>
    <w:lvl w:ilvl="0">
      <w:lvlJc w:val="left"/>
      <w:lvlText w:val="(%1)"/>
      <w:numFmt w:val="lowerLetter"/>
      <w:start w:val="5"/>
    </w:lvl>
  </w:abstractNum>
  <w:abstractNum w:abstractNumId="103">
    <w:nsid w:val="23D86AAC"/>
    <w:multiLevelType w:val="hybridMultilevel"/>
    <w:lvl w:ilvl="0">
      <w:lvlJc w:val="left"/>
      <w:lvlText w:val="(%1)"/>
      <w:numFmt w:val="decimal"/>
      <w:start w:val="2"/>
    </w:lvl>
  </w:abstractNum>
  <w:abstractNum w:abstractNumId="104">
    <w:nsid w:val="45E6D486"/>
    <w:multiLevelType w:val="hybridMultilevel"/>
    <w:lvl w:ilvl="0">
      <w:lvlJc w:val="left"/>
      <w:lvlText w:val="(%1)"/>
      <w:numFmt w:val="lowerRoman"/>
      <w:start w:val="1"/>
    </w:lvl>
  </w:abstractNum>
  <w:abstractNum w:abstractNumId="105">
    <w:nsid w:val="5C10FE21"/>
    <w:multiLevelType w:val="hybridMultilevel"/>
    <w:lvl w:ilvl="0">
      <w:lvlJc w:val="left"/>
      <w:lvlText w:val="(%1)"/>
      <w:numFmt w:val="lowerLetter"/>
      <w:start w:val="1"/>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lowerRoman"/>
      <w:start w:val="7"/>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decimal"/>
      <w:start w:val="6"/>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2"/>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lowerLetter"/>
      <w:start w:val="9"/>
    </w:lvl>
  </w:abstractNum>
  <w:abstractNum w:abstractNumId="114">
    <w:nsid w:val="69E373"/>
    <w:multiLevelType w:val="hybridMultilevel"/>
    <w:lvl w:ilvl="0">
      <w:lvlJc w:val="left"/>
      <w:lvlText w:val="(%1)"/>
      <w:numFmt w:val="lowerLetter"/>
      <w:start w:val="1"/>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25"/>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2"/>
    </w:lvl>
  </w:abstractNum>
  <w:abstractNum w:abstractNumId="120">
    <w:nsid w:val="3DD150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2019-12-07T15:24:55Z</dcterms:created>
  <dcterms:modified xsi:type="dcterms:W3CDTF">2019-12-07T15:24:55Z</dcterms:modified>
</cp:coreProperties>
</file>