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13"/>
          <w:szCs w:val="13"/>
          <w:b w:val="1"/>
          <w:bCs w:val="1"/>
          <w:color w:val="auto"/>
        </w:rPr>
        <w:t>As filed with the Securities and Exchange Commission on May 1, 2019</w:t>
      </w:r>
    </w:p>
    <w:p>
      <w:pPr>
        <w:spacing w:after="0" w:line="13" w:lineRule="exact"/>
        <w:rPr>
          <w:sz w:val="24"/>
          <w:szCs w:val="24"/>
          <w:color w:val="auto"/>
        </w:rPr>
      </w:pPr>
    </w:p>
    <w:p>
      <w:pPr>
        <w:ind w:left="8380"/>
        <w:spacing w:after="0"/>
        <w:rPr>
          <w:sz w:val="20"/>
          <w:szCs w:val="20"/>
          <w:color w:val="auto"/>
        </w:rPr>
      </w:pPr>
      <w:r>
        <w:rPr>
          <w:rFonts w:ascii="Arial" w:cs="Arial" w:eastAsia="Arial" w:hAnsi="Arial"/>
          <w:sz w:val="13"/>
          <w:szCs w:val="13"/>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386" w:lineRule="exact"/>
        <w:rPr>
          <w:sz w:val="24"/>
          <w:szCs w:val="24"/>
          <w:color w:val="auto"/>
        </w:rPr>
      </w:pPr>
    </w:p>
    <w:p>
      <w:pPr>
        <w:jc w:val="center"/>
        <w:ind w:right="-99"/>
        <w:spacing w:after="0"/>
        <w:rPr>
          <w:sz w:val="20"/>
          <w:szCs w:val="20"/>
          <w:color w:val="auto"/>
        </w:rPr>
      </w:pPr>
      <w:r>
        <w:rPr>
          <w:rFonts w:ascii="Arial" w:cs="Arial" w:eastAsia="Arial" w:hAnsi="Arial"/>
          <w:sz w:val="28"/>
          <w:szCs w:val="28"/>
          <w:b w:val="1"/>
          <w:bCs w:val="1"/>
          <w:color w:val="auto"/>
        </w:rPr>
        <w:t>UNITED STATES SECURITIES AND EXCHANGE COMMISSION</w:t>
      </w:r>
    </w:p>
    <w:p>
      <w:pPr>
        <w:spacing w:after="0" w:line="53"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ind w:left="4260"/>
        <w:spacing w:after="0"/>
        <w:rPr>
          <w:sz w:val="20"/>
          <w:szCs w:val="20"/>
          <w:color w:val="auto"/>
        </w:rPr>
      </w:pPr>
      <w:r>
        <w:rPr>
          <w:rFonts w:ascii="Arial" w:cs="Arial" w:eastAsia="Arial" w:hAnsi="Arial"/>
          <w:sz w:val="18"/>
          <w:szCs w:val="18"/>
          <w:color w:val="auto"/>
        </w:rPr>
        <w:t>________________________________</w:t>
      </w:r>
    </w:p>
    <w:p>
      <w:pPr>
        <w:spacing w:after="0" w:line="239"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S-3</w:t>
      </w:r>
    </w:p>
    <w:p>
      <w:pPr>
        <w:spacing w:after="0" w:line="53"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REGISTRATION STATEMENT</w:t>
      </w:r>
    </w:p>
    <w:p>
      <w:pPr>
        <w:spacing w:after="0" w:line="26"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UNDER</w:t>
      </w:r>
    </w:p>
    <w:p>
      <w:pPr>
        <w:jc w:val="center"/>
        <w:ind w:right="-99"/>
        <w:spacing w:after="0" w:line="239" w:lineRule="auto"/>
        <w:rPr>
          <w:sz w:val="20"/>
          <w:szCs w:val="20"/>
          <w:color w:val="auto"/>
        </w:rPr>
      </w:pPr>
      <w:r>
        <w:rPr>
          <w:rFonts w:ascii="Arial" w:cs="Arial" w:eastAsia="Arial" w:hAnsi="Arial"/>
          <w:sz w:val="22"/>
          <w:szCs w:val="22"/>
          <w:b w:val="1"/>
          <w:bCs w:val="1"/>
          <w:color w:val="auto"/>
        </w:rPr>
        <w:t>THE SECURITIES ACT OF 1933</w:t>
      </w:r>
    </w:p>
    <w:p>
      <w:pPr>
        <w:ind w:left="4260"/>
        <w:spacing w:after="0"/>
        <w:rPr>
          <w:sz w:val="20"/>
          <w:szCs w:val="20"/>
          <w:color w:val="auto"/>
        </w:rPr>
      </w:pPr>
      <w:r>
        <w:rPr>
          <w:rFonts w:ascii="Arial" w:cs="Arial" w:eastAsia="Arial" w:hAnsi="Arial"/>
          <w:sz w:val="18"/>
          <w:szCs w:val="18"/>
          <w:color w:val="auto"/>
        </w:rPr>
        <w:t>________________________________</w:t>
      </w:r>
    </w:p>
    <w:p>
      <w:pPr>
        <w:spacing w:after="0" w:line="223"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VERACYTE, INC.</w:t>
      </w:r>
    </w:p>
    <w:p>
      <w:pPr>
        <w:spacing w:after="0" w:line="53" w:lineRule="exact"/>
        <w:rPr>
          <w:sz w:val="24"/>
          <w:szCs w:val="24"/>
          <w:color w:val="auto"/>
        </w:rPr>
      </w:pPr>
    </w:p>
    <w:p>
      <w:pPr>
        <w:jc w:val="center"/>
        <w:ind w:right="-99"/>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1340"/>
          </w:cols>
          <w:pgMar w:left="240" w:top="864" w:right="319" w:bottom="1440" w:gutter="0" w:footer="0" w:header="0"/>
        </w:sectPr>
      </w:pPr>
    </w:p>
    <w:p>
      <w:pPr>
        <w:spacing w:after="0" w:line="200" w:lineRule="exact"/>
        <w:rPr>
          <w:sz w:val="24"/>
          <w:szCs w:val="24"/>
          <w:color w:val="auto"/>
        </w:rPr>
      </w:pPr>
    </w:p>
    <w:p>
      <w:pPr>
        <w:spacing w:after="0" w:line="348" w:lineRule="exact"/>
        <w:rPr>
          <w:sz w:val="24"/>
          <w:szCs w:val="24"/>
          <w:color w:val="auto"/>
        </w:rPr>
      </w:pPr>
    </w:p>
    <w:p>
      <w:pPr>
        <w:ind w:left="25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2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20-5455398</w:t>
      </w:r>
    </w:p>
    <w:p>
      <w:pPr>
        <w:spacing w:after="0" w:line="86" w:lineRule="exact"/>
        <w:rPr>
          <w:sz w:val="24"/>
          <w:szCs w:val="24"/>
          <w:color w:val="auto"/>
        </w:rPr>
      </w:pPr>
    </w:p>
    <w:p>
      <w:pPr>
        <w:sectPr>
          <w:pgSz w:w="11900" w:h="16838" w:orient="portrait"/>
          <w:cols w:equalWidth="0" w:num="2">
            <w:col w:w="7360" w:space="720"/>
            <w:col w:w="3260"/>
          </w:cols>
          <w:pgMar w:left="240" w:top="864" w:right="319" w:bottom="1440" w:gutter="0" w:footer="0" w:header="0"/>
          <w:type w:val="continuous"/>
        </w:sectPr>
      </w:pPr>
    </w:p>
    <w:p>
      <w:pPr>
        <w:ind w:left="2060"/>
        <w:spacing w:after="0"/>
        <w:rPr>
          <w:sz w:val="20"/>
          <w:szCs w:val="20"/>
          <w:color w:val="auto"/>
        </w:rPr>
      </w:pPr>
      <w:r>
        <w:rPr>
          <w:rFonts w:ascii="Arial" w:cs="Arial" w:eastAsia="Arial" w:hAnsi="Arial"/>
          <w:sz w:val="13"/>
          <w:szCs w:val="13"/>
          <w:color w:val="auto"/>
        </w:rPr>
        <w:t>(State or Other Jurisdiction of</w:t>
      </w:r>
    </w:p>
    <w:p>
      <w:pPr>
        <w:spacing w:after="0" w:line="53" w:lineRule="exact"/>
        <w:rPr>
          <w:sz w:val="24"/>
          <w:szCs w:val="24"/>
          <w:color w:val="auto"/>
        </w:rPr>
      </w:pPr>
    </w:p>
    <w:p>
      <w:pPr>
        <w:ind w:left="2040"/>
        <w:spacing w:after="0"/>
        <w:rPr>
          <w:sz w:val="20"/>
          <w:szCs w:val="20"/>
          <w:color w:val="auto"/>
        </w:rPr>
      </w:pPr>
      <w:r>
        <w:rPr>
          <w:rFonts w:ascii="Arial" w:cs="Arial" w:eastAsia="Arial" w:hAnsi="Arial"/>
          <w:sz w:val="13"/>
          <w:szCs w:val="13"/>
          <w:color w:val="auto"/>
        </w:rPr>
        <w:t>Incorporation or Organization)</w:t>
      </w:r>
    </w:p>
    <w:p>
      <w:pPr>
        <w:spacing w:after="0" w:line="20" w:lineRule="exact"/>
        <w:rPr>
          <w:sz w:val="24"/>
          <w:szCs w:val="24"/>
          <w:color w:val="auto"/>
        </w:rPr>
      </w:pPr>
      <w:r>
        <w:rPr>
          <w:sz w:val="24"/>
          <w:szCs w:val="24"/>
          <w:color w:val="auto"/>
        </w:rPr>
        <w:br w:type="column"/>
      </w:r>
    </w:p>
    <w:p>
      <w:pPr>
        <w:jc w:val="center"/>
        <w:ind w:right="2160"/>
        <w:spacing w:after="0"/>
        <w:rPr>
          <w:sz w:val="20"/>
          <w:szCs w:val="20"/>
          <w:color w:val="auto"/>
        </w:rPr>
      </w:pPr>
      <w:r>
        <w:rPr>
          <w:rFonts w:ascii="Arial" w:cs="Arial" w:eastAsia="Arial" w:hAnsi="Arial"/>
          <w:sz w:val="14"/>
          <w:szCs w:val="14"/>
          <w:color w:val="auto"/>
        </w:rPr>
        <w:t>(I.R.S. Employer</w:t>
      </w:r>
    </w:p>
    <w:p>
      <w:pPr>
        <w:spacing w:after="0" w:line="42" w:lineRule="exact"/>
        <w:rPr>
          <w:sz w:val="24"/>
          <w:szCs w:val="24"/>
          <w:color w:val="auto"/>
        </w:rPr>
      </w:pPr>
    </w:p>
    <w:p>
      <w:pPr>
        <w:jc w:val="center"/>
        <w:ind w:right="2160"/>
        <w:spacing w:after="0"/>
        <w:rPr>
          <w:sz w:val="20"/>
          <w:szCs w:val="20"/>
          <w:color w:val="auto"/>
        </w:rPr>
      </w:pPr>
      <w:r>
        <w:rPr>
          <w:rFonts w:ascii="Arial" w:cs="Arial" w:eastAsia="Arial" w:hAnsi="Arial"/>
          <w:sz w:val="13"/>
          <w:szCs w:val="13"/>
          <w:color w:val="auto"/>
        </w:rPr>
        <w:t>Identification Number)</w:t>
      </w:r>
    </w:p>
    <w:p>
      <w:pPr>
        <w:spacing w:after="0" w:line="198" w:lineRule="exact"/>
        <w:rPr>
          <w:sz w:val="24"/>
          <w:szCs w:val="24"/>
          <w:color w:val="auto"/>
        </w:rPr>
      </w:pPr>
    </w:p>
    <w:p>
      <w:pPr>
        <w:sectPr>
          <w:pgSz w:w="11900" w:h="16838" w:orient="portrait"/>
          <w:cols w:equalWidth="0" w:num="2">
            <w:col w:w="7140" w:space="720"/>
            <w:col w:w="3480"/>
          </w:cols>
          <w:pgMar w:left="240" w:top="864" w:right="319" w:bottom="1440" w:gutter="0" w:footer="0" w:header="0"/>
          <w:type w:val="continuous"/>
        </w:sectPr>
      </w:pPr>
    </w:p>
    <w:p>
      <w:pPr>
        <w:jc w:val="center"/>
        <w:ind w:right="-99"/>
        <w:spacing w:after="0"/>
        <w:rPr>
          <w:sz w:val="20"/>
          <w:szCs w:val="20"/>
          <w:color w:val="auto"/>
        </w:rPr>
      </w:pPr>
      <w:r>
        <w:rPr>
          <w:rFonts w:ascii="Arial" w:cs="Arial" w:eastAsia="Arial" w:hAnsi="Arial"/>
          <w:sz w:val="14"/>
          <w:szCs w:val="14"/>
          <w:b w:val="1"/>
          <w:bCs w:val="1"/>
          <w:color w:val="auto"/>
        </w:rPr>
        <w:t>6000 Shoreline Court, Suite 300</w:t>
      </w:r>
    </w:p>
    <w:p>
      <w:pPr>
        <w:spacing w:after="0" w:line="17"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South San Francisco, CA 94080</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(650) 243-6300</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p>
      <w:pPr>
        <w:spacing w:after="0" w:line="210" w:lineRule="exact"/>
        <w:rPr>
          <w:sz w:val="24"/>
          <w:szCs w:val="24"/>
          <w:color w:val="auto"/>
        </w:rPr>
      </w:pPr>
    </w:p>
    <w:p>
      <w:pPr>
        <w:ind w:left="4260"/>
        <w:spacing w:after="0"/>
        <w:rPr>
          <w:sz w:val="20"/>
          <w:szCs w:val="20"/>
          <w:color w:val="auto"/>
        </w:rPr>
      </w:pPr>
      <w:r>
        <w:rPr>
          <w:rFonts w:ascii="Arial" w:cs="Arial" w:eastAsia="Arial" w:hAnsi="Arial"/>
          <w:sz w:val="18"/>
          <w:szCs w:val="18"/>
          <w:color w:val="auto"/>
        </w:rPr>
        <w:t>________________________________</w:t>
      </w:r>
    </w:p>
    <w:p>
      <w:pPr>
        <w:spacing w:after="0" w:line="379"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Bonnie H. Anderson</w:t>
      </w:r>
    </w:p>
    <w:p>
      <w:pPr>
        <w:spacing w:after="0" w:line="17"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Chairman and Chief Executive Officer</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Veracyte, Inc.</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6000 Shoreline Court, Suite 300</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South San Francisco, CA 94080</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(650) 243-6300</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151" w:lineRule="exact"/>
        <w:rPr>
          <w:sz w:val="24"/>
          <w:szCs w:val="24"/>
          <w:color w:val="auto"/>
        </w:rPr>
      </w:pPr>
    </w:p>
    <w:p>
      <w:pPr>
        <w:jc w:val="center"/>
        <w:ind w:right="-99"/>
        <w:spacing w:after="0"/>
        <w:rPr>
          <w:sz w:val="20"/>
          <w:szCs w:val="20"/>
          <w:color w:val="auto"/>
        </w:rPr>
      </w:pPr>
      <w:r>
        <w:rPr>
          <w:rFonts w:ascii="Arial" w:cs="Arial" w:eastAsia="Arial" w:hAnsi="Arial"/>
          <w:sz w:val="14"/>
          <w:szCs w:val="14"/>
          <w:color w:val="auto"/>
        </w:rPr>
        <w:t>Copies to:</w:t>
      </w:r>
    </w:p>
    <w:p>
      <w:pPr>
        <w:spacing w:after="0" w:line="65"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Douglas N. Cogen, Esq.</w:t>
      </w:r>
    </w:p>
    <w:p>
      <w:pPr>
        <w:jc w:val="center"/>
        <w:ind w:right="-99"/>
        <w:spacing w:after="0" w:line="226" w:lineRule="auto"/>
        <w:rPr>
          <w:sz w:val="20"/>
          <w:szCs w:val="20"/>
          <w:color w:val="auto"/>
        </w:rPr>
      </w:pPr>
      <w:r>
        <w:rPr>
          <w:rFonts w:ascii="Arial" w:cs="Arial" w:eastAsia="Arial" w:hAnsi="Arial"/>
          <w:sz w:val="14"/>
          <w:szCs w:val="14"/>
          <w:b w:val="1"/>
          <w:bCs w:val="1"/>
          <w:color w:val="auto"/>
        </w:rPr>
        <w:t>Robert A. Freedman, Esq.</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Ran D. Ben-Tzur, Esq.</w:t>
      </w:r>
    </w:p>
    <w:p>
      <w:pPr>
        <w:spacing w:after="0" w:line="12" w:lineRule="exact"/>
        <w:rPr>
          <w:sz w:val="24"/>
          <w:szCs w:val="24"/>
          <w:color w:val="auto"/>
        </w:rPr>
      </w:pPr>
    </w:p>
    <w:p>
      <w:pPr>
        <w:ind w:left="4980"/>
        <w:spacing w:after="0"/>
        <w:rPr>
          <w:sz w:val="20"/>
          <w:szCs w:val="20"/>
          <w:color w:val="auto"/>
        </w:rPr>
      </w:pPr>
      <w:r>
        <w:rPr>
          <w:rFonts w:ascii="Arial" w:cs="Arial" w:eastAsia="Arial" w:hAnsi="Arial"/>
          <w:sz w:val="14"/>
          <w:szCs w:val="14"/>
          <w:b w:val="1"/>
          <w:bCs w:val="1"/>
          <w:color w:val="auto"/>
        </w:rPr>
        <w:t>Fenwick &amp; West LLP</w:t>
      </w:r>
    </w:p>
    <w:p>
      <w:pPr>
        <w:spacing w:after="0" w:line="55" w:lineRule="exact"/>
        <w:rPr>
          <w:sz w:val="24"/>
          <w:szCs w:val="24"/>
          <w:color w:val="auto"/>
        </w:rPr>
      </w:pPr>
    </w:p>
    <w:p>
      <w:pPr>
        <w:ind w:left="5000"/>
        <w:spacing w:after="0"/>
        <w:rPr>
          <w:sz w:val="20"/>
          <w:szCs w:val="20"/>
          <w:color w:val="auto"/>
        </w:rPr>
      </w:pPr>
      <w:r>
        <w:rPr>
          <w:rFonts w:ascii="Arial" w:cs="Arial" w:eastAsia="Arial" w:hAnsi="Arial"/>
          <w:sz w:val="14"/>
          <w:szCs w:val="14"/>
          <w:b w:val="1"/>
          <w:bCs w:val="1"/>
          <w:color w:val="auto"/>
        </w:rPr>
        <w:t>555 California Street</w:t>
      </w:r>
    </w:p>
    <w:p>
      <w:pPr>
        <w:spacing w:after="0" w:line="18"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San Francisco, California 94014</w:t>
      </w:r>
    </w:p>
    <w:p>
      <w:pPr>
        <w:jc w:val="center"/>
        <w:ind w:right="-99"/>
        <w:spacing w:after="0"/>
        <w:rPr>
          <w:sz w:val="20"/>
          <w:szCs w:val="20"/>
          <w:color w:val="auto"/>
        </w:rPr>
      </w:pPr>
      <w:r>
        <w:rPr>
          <w:rFonts w:ascii="Arial" w:cs="Arial" w:eastAsia="Arial" w:hAnsi="Arial"/>
          <w:sz w:val="14"/>
          <w:szCs w:val="14"/>
          <w:b w:val="1"/>
          <w:bCs w:val="1"/>
          <w:color w:val="auto"/>
        </w:rPr>
        <w:t>(415) 875-2300</w:t>
      </w:r>
    </w:p>
    <w:p>
      <w:pPr>
        <w:spacing w:after="0" w:line="215"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Approximate date of commencement of proposed sale to the public:</w:t>
      </w:r>
    </w:p>
    <w:p>
      <w:pPr>
        <w:spacing w:after="0" w:line="17" w:lineRule="exact"/>
        <w:rPr>
          <w:sz w:val="24"/>
          <w:szCs w:val="24"/>
          <w:color w:val="auto"/>
        </w:rPr>
      </w:pPr>
    </w:p>
    <w:p>
      <w:pPr>
        <w:jc w:val="center"/>
        <w:ind w:right="-99"/>
        <w:spacing w:after="0"/>
        <w:rPr>
          <w:sz w:val="20"/>
          <w:szCs w:val="20"/>
          <w:color w:val="auto"/>
        </w:rPr>
      </w:pPr>
      <w:r>
        <w:rPr>
          <w:rFonts w:ascii="Arial" w:cs="Arial" w:eastAsia="Arial" w:hAnsi="Arial"/>
          <w:sz w:val="14"/>
          <w:szCs w:val="14"/>
          <w:color w:val="auto"/>
        </w:rPr>
        <w:t>From time to time after this registration statement becomes effective, as determined by market conditions and other factors.</w:t>
      </w:r>
    </w:p>
    <w:p>
      <w:pPr>
        <w:spacing w:after="0" w:line="156" w:lineRule="exact"/>
        <w:rPr>
          <w:sz w:val="24"/>
          <w:szCs w:val="24"/>
          <w:color w:val="auto"/>
        </w:rPr>
      </w:pPr>
    </w:p>
    <w:p>
      <w:pPr>
        <w:ind w:left="660"/>
        <w:spacing w:after="0"/>
        <w:rPr>
          <w:sz w:val="20"/>
          <w:szCs w:val="20"/>
          <w:color w:val="auto"/>
        </w:rPr>
      </w:pPr>
      <w:r>
        <w:rPr>
          <w:rFonts w:ascii="Arial" w:cs="Arial" w:eastAsia="Arial" w:hAnsi="Arial"/>
          <w:sz w:val="16"/>
          <w:szCs w:val="16"/>
          <w:color w:val="auto"/>
        </w:rPr>
        <w:t>If the only securities being registered on this form are being offered pursuant to dividend or interest reinvestment plans, please check the following</w:t>
      </w:r>
    </w:p>
    <w:p>
      <w:pPr>
        <w:spacing w:after="0" w:line="4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box. </w:t>
      </w:r>
      <w:r>
        <w:rPr>
          <w:rFonts w:ascii="MS PGothic" w:cs="MS PGothic" w:eastAsia="MS PGothic" w:hAnsi="MS PGothic"/>
          <w:sz w:val="18"/>
          <w:szCs w:val="18"/>
          <w:color w:val="auto"/>
        </w:rPr>
        <w:t>☐</w:t>
      </w:r>
    </w:p>
    <w:p>
      <w:pPr>
        <w:spacing w:after="0" w:line="175" w:lineRule="exact"/>
        <w:rPr>
          <w:sz w:val="24"/>
          <w:szCs w:val="24"/>
          <w:color w:val="auto"/>
        </w:rPr>
      </w:pPr>
    </w:p>
    <w:p>
      <w:pPr>
        <w:jc w:val="both"/>
        <w:ind w:firstLine="648"/>
        <w:spacing w:after="0" w:line="264" w:lineRule="auto"/>
        <w:rPr>
          <w:sz w:val="20"/>
          <w:szCs w:val="20"/>
          <w:color w:val="auto"/>
        </w:rPr>
      </w:pPr>
      <w:r>
        <w:rPr>
          <w:rFonts w:ascii="Arial" w:cs="Arial" w:eastAsia="Arial" w:hAnsi="Arial"/>
          <w:sz w:val="18"/>
          <w:szCs w:val="18"/>
          <w:color w:val="auto"/>
        </w:rPr>
        <w:t>If any of the securities being registered on this form are to be offered on a delayed or continuous basis pursuant to Rule 415 under the Securities Act of 1933, as amended, or the Securities Act, other than securities offered only in connection with dividend or interest reinvestment plans, check the following box. x</w:t>
      </w:r>
    </w:p>
    <w:p>
      <w:pPr>
        <w:sectPr>
          <w:pgSz w:w="11900" w:h="16838" w:orient="portrait"/>
          <w:cols w:equalWidth="0" w:num="1">
            <w:col w:w="11340"/>
          </w:cols>
          <w:pgMar w:left="240" w:top="864" w:right="319" w:bottom="1440" w:gutter="0" w:footer="0" w:header="0"/>
          <w:type w:val="continuous"/>
        </w:sectPr>
      </w:pPr>
    </w:p>
    <w:bookmarkStart w:id="1" w:name="page2"/>
    <w:bookmarkEnd w:id="1"/>
    <w:p>
      <w:pPr>
        <w:ind w:right="180" w:firstLine="648"/>
        <w:spacing w:after="0" w:line="277" w:lineRule="auto"/>
        <w:rPr>
          <w:sz w:val="20"/>
          <w:szCs w:val="20"/>
          <w:color w:val="auto"/>
        </w:rPr>
      </w:pPr>
      <w:r>
        <w:rPr>
          <w:rFonts w:ascii="Arial" w:cs="Arial" w:eastAsia="Arial" w:hAnsi="Arial"/>
          <w:sz w:val="18"/>
          <w:szCs w:val="18"/>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o</w:t>
      </w:r>
    </w:p>
    <w:p>
      <w:pPr>
        <w:spacing w:after="0" w:line="130"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130"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If this form is a registration statement pursuant to General Instruction I.D. or a post-effective amendment thereto that shall become effective upon filing with the Commission pursuant to Rule 462(e) under the Securities Act, check the following box. x</w:t>
      </w:r>
    </w:p>
    <w:p>
      <w:pPr>
        <w:spacing w:after="0" w:line="13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If this form is a post-effective amendment to a registration statement filed pursuant to General Instruction I.D. filed to register additional securities or additional classes of securities pursuant to Rule 413(b) under the Securities Act, check the following box. o</w:t>
      </w:r>
    </w:p>
    <w:p>
      <w:pPr>
        <w:spacing w:after="0" w:line="130"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Securities Exchange Act of 1934, as amended:</w:t>
      </w:r>
    </w:p>
    <w:p>
      <w:pPr>
        <w:sectPr>
          <w:pgSz w:w="11900" w:h="16838" w:orient="portrait"/>
          <w:cols w:equalWidth="0" w:num="1">
            <w:col w:w="11420"/>
          </w:cols>
          <w:pgMar w:left="240" w:top="368" w:right="239" w:bottom="1440" w:gutter="0" w:footer="0" w:header="0"/>
        </w:sectPr>
      </w:pPr>
    </w:p>
    <w:p>
      <w:pPr>
        <w:spacing w:after="0" w:line="325" w:lineRule="exact"/>
        <w:rPr>
          <w:sz w:val="20"/>
          <w:szCs w:val="20"/>
          <w:color w:val="auto"/>
        </w:rPr>
      </w:pPr>
    </w:p>
    <w:p>
      <w:pPr>
        <w:ind w:left="1580"/>
        <w:spacing w:after="0"/>
        <w:rPr>
          <w:sz w:val="20"/>
          <w:szCs w:val="20"/>
          <w:color w:val="auto"/>
        </w:rPr>
      </w:pPr>
      <w:r>
        <w:rPr>
          <w:rFonts w:ascii="Arial" w:cs="Arial" w:eastAsia="Arial" w:hAnsi="Arial"/>
          <w:sz w:val="13"/>
          <w:szCs w:val="13"/>
          <w:color w:val="auto"/>
        </w:rPr>
        <w:t>Large accelerated filer o</w:t>
      </w:r>
    </w:p>
    <w:p>
      <w:pPr>
        <w:spacing w:after="0" w:line="20" w:lineRule="exact"/>
        <w:rPr>
          <w:sz w:val="20"/>
          <w:szCs w:val="20"/>
          <w:color w:val="auto"/>
        </w:rPr>
      </w:pPr>
      <w:r>
        <w:rPr>
          <w:sz w:val="20"/>
          <w:szCs w:val="20"/>
          <w:color w:val="auto"/>
        </w:rPr>
        <w:br w:type="column"/>
      </w:r>
    </w:p>
    <w:p>
      <w:pPr>
        <w:spacing w:after="0" w:line="305" w:lineRule="exact"/>
        <w:rPr>
          <w:sz w:val="20"/>
          <w:szCs w:val="20"/>
          <w:color w:val="auto"/>
        </w:rPr>
      </w:pPr>
    </w:p>
    <w:p>
      <w:pPr>
        <w:spacing w:after="0"/>
        <w:rPr>
          <w:sz w:val="20"/>
          <w:szCs w:val="20"/>
          <w:color w:val="auto"/>
        </w:rPr>
      </w:pPr>
      <w:r>
        <w:rPr>
          <w:rFonts w:ascii="Arial" w:cs="Arial" w:eastAsia="Arial" w:hAnsi="Arial"/>
          <w:sz w:val="13"/>
          <w:szCs w:val="13"/>
          <w:color w:val="auto"/>
        </w:rPr>
        <w:t>Accelerated filer x</w:t>
      </w:r>
    </w:p>
    <w:p>
      <w:pPr>
        <w:spacing w:after="0" w:line="200" w:lineRule="exact"/>
        <w:rPr>
          <w:sz w:val="20"/>
          <w:szCs w:val="20"/>
          <w:color w:val="auto"/>
        </w:rPr>
      </w:pPr>
    </w:p>
    <w:p>
      <w:pPr>
        <w:sectPr>
          <w:pgSz w:w="11900" w:h="16838" w:orient="portrait"/>
          <w:cols w:equalWidth="0" w:num="2">
            <w:col w:w="7900" w:space="720"/>
            <w:col w:w="2800"/>
          </w:cols>
          <w:pgMar w:left="240" w:top="368" w:right="239" w:bottom="1440" w:gutter="0" w:footer="0" w:header="0"/>
          <w:type w:val="continuous"/>
        </w:sectPr>
      </w:pPr>
    </w:p>
    <w:p>
      <w:pPr>
        <w:spacing w:after="0" w:line="42" w:lineRule="exact"/>
        <w:rPr>
          <w:sz w:val="20"/>
          <w:szCs w:val="20"/>
          <w:color w:val="auto"/>
        </w:rPr>
      </w:pPr>
    </w:p>
    <w:p>
      <w:pPr>
        <w:ind w:left="1600"/>
        <w:spacing w:after="0"/>
        <w:rPr>
          <w:sz w:val="20"/>
          <w:szCs w:val="20"/>
          <w:color w:val="auto"/>
        </w:rPr>
      </w:pPr>
      <w:r>
        <w:rPr>
          <w:rFonts w:ascii="Arial" w:cs="Arial" w:eastAsia="Arial" w:hAnsi="Arial"/>
          <w:sz w:val="13"/>
          <w:szCs w:val="13"/>
          <w:color w:val="auto"/>
        </w:rPr>
        <w:t>Non-accelerated filer o</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Smaller reporting company x</w:t>
      </w:r>
    </w:p>
    <w:p>
      <w:pPr>
        <w:spacing w:after="0" w:line="200" w:lineRule="exact"/>
        <w:rPr>
          <w:sz w:val="20"/>
          <w:szCs w:val="20"/>
          <w:color w:val="auto"/>
        </w:rPr>
      </w:pPr>
    </w:p>
    <w:p>
      <w:pPr>
        <w:sectPr>
          <w:pgSz w:w="11900" w:h="16838" w:orient="portrait"/>
          <w:cols w:equalWidth="0" w:num="2">
            <w:col w:w="7600" w:space="720"/>
            <w:col w:w="3100"/>
          </w:cols>
          <w:pgMar w:left="240" w:top="368" w:right="239" w:bottom="1440" w:gutter="0" w:footer="0" w:header="0"/>
          <w:type w:val="continuous"/>
        </w:sectPr>
      </w:pPr>
    </w:p>
    <w:p>
      <w:pPr>
        <w:spacing w:after="0" w:line="42" w:lineRule="exact"/>
        <w:rPr>
          <w:sz w:val="20"/>
          <w:szCs w:val="20"/>
          <w:color w:val="auto"/>
        </w:rPr>
      </w:pPr>
    </w:p>
    <w:p>
      <w:pPr>
        <w:ind w:left="8320"/>
        <w:spacing w:after="0"/>
        <w:rPr>
          <w:sz w:val="20"/>
          <w:szCs w:val="20"/>
          <w:color w:val="auto"/>
        </w:rPr>
      </w:pPr>
      <w:r>
        <w:rPr>
          <w:rFonts w:ascii="Arial" w:cs="Arial" w:eastAsia="Arial" w:hAnsi="Arial"/>
          <w:sz w:val="13"/>
          <w:szCs w:val="13"/>
          <w:color w:val="auto"/>
        </w:rPr>
        <w:t>Emerging growth company o</w:t>
      </w:r>
    </w:p>
    <w:p>
      <w:pPr>
        <w:sectPr>
          <w:pgSz w:w="11900" w:h="16838" w:orient="portrait"/>
          <w:cols w:equalWidth="0" w:num="1">
            <w:col w:w="11420"/>
          </w:cols>
          <w:pgMar w:left="240" w:top="368" w:right="239" w:bottom="1440" w:gutter="0" w:footer="0" w:header="0"/>
          <w:type w:val="continuous"/>
        </w:sectPr>
      </w:pPr>
    </w:p>
    <w:p>
      <w:pPr>
        <w:spacing w:after="0" w:line="247"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7(a)(2)(B) of the Securities Act. o</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240665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257810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8"/>
                <w:szCs w:val="18"/>
                <w:b w:val="1"/>
                <w:bCs w:val="1"/>
                <w:color w:val="auto"/>
                <w:w w:val="97"/>
              </w:rPr>
              <w:t>Proposed Maximum</w:t>
            </w:r>
          </w:p>
        </w:tc>
        <w:tc>
          <w:tcPr>
            <w:tcW w:w="1720" w:type="dxa"/>
            <w:vAlign w:val="bottom"/>
          </w:tcPr>
          <w:p>
            <w:pPr>
              <w:jc w:val="right"/>
              <w:ind w:right="10"/>
              <w:spacing w:after="0"/>
              <w:rPr>
                <w:sz w:val="20"/>
                <w:szCs w:val="20"/>
                <w:color w:val="auto"/>
              </w:rPr>
            </w:pPr>
            <w:r>
              <w:rPr>
                <w:rFonts w:ascii="Arial" w:cs="Arial" w:eastAsia="Arial" w:hAnsi="Arial"/>
                <w:sz w:val="18"/>
                <w:szCs w:val="18"/>
                <w:b w:val="1"/>
                <w:bCs w:val="1"/>
                <w:color w:val="auto"/>
                <w:w w:val="93"/>
              </w:rPr>
              <w:t>Proposed Maximum</w:t>
            </w:r>
          </w:p>
        </w:tc>
        <w:tc>
          <w:tcPr>
            <w:tcW w:w="1680" w:type="dxa"/>
            <w:vAlign w:val="bottom"/>
          </w:tcPr>
          <w:p>
            <w:pPr>
              <w:spacing w:after="0"/>
              <w:rPr>
                <w:sz w:val="18"/>
                <w:szCs w:val="18"/>
                <w:color w:val="auto"/>
              </w:rPr>
            </w:pPr>
          </w:p>
        </w:tc>
      </w:tr>
      <w:tr>
        <w:trPr>
          <w:trHeight w:val="216"/>
        </w:trPr>
        <w:tc>
          <w:tcPr>
            <w:tcW w:w="4480" w:type="dxa"/>
            <w:vAlign w:val="bottom"/>
          </w:tcPr>
          <w:p>
            <w:pPr>
              <w:spacing w:after="0"/>
              <w:rPr>
                <w:sz w:val="18"/>
                <w:szCs w:val="18"/>
                <w:color w:val="auto"/>
              </w:rPr>
            </w:pPr>
          </w:p>
        </w:tc>
        <w:tc>
          <w:tcPr>
            <w:tcW w:w="1480" w:type="dxa"/>
            <w:vAlign w:val="bottom"/>
          </w:tcPr>
          <w:p>
            <w:pPr>
              <w:ind w:left="380"/>
              <w:spacing w:after="0"/>
              <w:rPr>
                <w:sz w:val="20"/>
                <w:szCs w:val="20"/>
                <w:color w:val="auto"/>
              </w:rPr>
            </w:pPr>
            <w:r>
              <w:rPr>
                <w:rFonts w:ascii="Arial" w:cs="Arial" w:eastAsia="Arial" w:hAnsi="Arial"/>
                <w:sz w:val="18"/>
                <w:szCs w:val="18"/>
                <w:b w:val="1"/>
                <w:bCs w:val="1"/>
                <w:color w:val="auto"/>
                <w:w w:val="93"/>
              </w:rPr>
              <w:t>Amount to be</w:t>
            </w:r>
          </w:p>
        </w:tc>
        <w:tc>
          <w:tcPr>
            <w:tcW w:w="300" w:type="dxa"/>
            <w:vAlign w:val="bottom"/>
          </w:tcPr>
          <w:p>
            <w:pPr>
              <w:spacing w:after="0"/>
              <w:rPr>
                <w:sz w:val="18"/>
                <w:szCs w:val="18"/>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b w:val="1"/>
                <w:bCs w:val="1"/>
                <w:color w:val="auto"/>
                <w:w w:val="98"/>
              </w:rPr>
              <w:t>Aggregate Offering</w:t>
            </w:r>
          </w:p>
        </w:tc>
        <w:tc>
          <w:tcPr>
            <w:tcW w:w="1720" w:type="dxa"/>
            <w:vAlign w:val="bottom"/>
          </w:tcPr>
          <w:p>
            <w:pPr>
              <w:jc w:val="right"/>
              <w:ind w:right="30"/>
              <w:spacing w:after="0"/>
              <w:rPr>
                <w:sz w:val="20"/>
                <w:szCs w:val="20"/>
                <w:color w:val="auto"/>
              </w:rPr>
            </w:pPr>
            <w:r>
              <w:rPr>
                <w:rFonts w:ascii="Arial" w:cs="Arial" w:eastAsia="Arial" w:hAnsi="Arial"/>
                <w:sz w:val="18"/>
                <w:szCs w:val="18"/>
                <w:b w:val="1"/>
                <w:bCs w:val="1"/>
                <w:color w:val="auto"/>
                <w:w w:val="96"/>
              </w:rPr>
              <w:t>Aggregate Offering</w:t>
            </w:r>
          </w:p>
        </w:tc>
        <w:tc>
          <w:tcPr>
            <w:tcW w:w="1680" w:type="dxa"/>
            <w:vAlign w:val="bottom"/>
          </w:tcPr>
          <w:p>
            <w:pPr>
              <w:jc w:val="right"/>
              <w:ind w:right="350"/>
              <w:spacing w:after="0"/>
              <w:rPr>
                <w:sz w:val="20"/>
                <w:szCs w:val="20"/>
                <w:color w:val="auto"/>
              </w:rPr>
            </w:pPr>
            <w:r>
              <w:rPr>
                <w:rFonts w:ascii="Arial" w:cs="Arial" w:eastAsia="Arial" w:hAnsi="Arial"/>
                <w:sz w:val="18"/>
                <w:szCs w:val="18"/>
                <w:b w:val="1"/>
                <w:bCs w:val="1"/>
                <w:color w:val="auto"/>
              </w:rPr>
              <w:t>Amount of</w:t>
            </w:r>
          </w:p>
        </w:tc>
      </w:tr>
      <w:tr>
        <w:trPr>
          <w:trHeight w:val="234"/>
        </w:trPr>
        <w:tc>
          <w:tcPr>
            <w:tcW w:w="4480" w:type="dxa"/>
            <w:vAlign w:val="bottom"/>
          </w:tcPr>
          <w:p>
            <w:pPr>
              <w:ind w:left="380"/>
              <w:spacing w:after="0"/>
              <w:rPr>
                <w:sz w:val="20"/>
                <w:szCs w:val="20"/>
                <w:color w:val="auto"/>
              </w:rPr>
            </w:pPr>
            <w:r>
              <w:rPr>
                <w:rFonts w:ascii="Arial" w:cs="Arial" w:eastAsia="Arial" w:hAnsi="Arial"/>
                <w:sz w:val="18"/>
                <w:szCs w:val="18"/>
                <w:b w:val="1"/>
                <w:bCs w:val="1"/>
                <w:color w:val="auto"/>
                <w:w w:val="97"/>
              </w:rPr>
              <w:t>Title of Each Class of Securities to be Registered</w:t>
            </w:r>
          </w:p>
        </w:tc>
        <w:tc>
          <w:tcPr>
            <w:tcW w:w="1480" w:type="dxa"/>
            <w:vAlign w:val="bottom"/>
          </w:tcPr>
          <w:p>
            <w:pPr>
              <w:ind w:left="400"/>
              <w:spacing w:after="0"/>
              <w:rPr>
                <w:sz w:val="20"/>
                <w:szCs w:val="20"/>
                <w:color w:val="auto"/>
              </w:rPr>
            </w:pPr>
            <w:r>
              <w:rPr>
                <w:rFonts w:ascii="Arial" w:cs="Arial" w:eastAsia="Arial" w:hAnsi="Arial"/>
                <w:sz w:val="18"/>
                <w:szCs w:val="18"/>
                <w:b w:val="1"/>
                <w:bCs w:val="1"/>
                <w:color w:val="auto"/>
                <w:w w:val="92"/>
              </w:rPr>
              <w:t>Registered(1)</w:t>
            </w:r>
          </w:p>
        </w:tc>
        <w:tc>
          <w:tcPr>
            <w:tcW w:w="30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b w:val="1"/>
                <w:bCs w:val="1"/>
                <w:color w:val="auto"/>
                <w:w w:val="95"/>
              </w:rPr>
              <w:t>Price Per Security(1)</w:t>
            </w:r>
          </w:p>
        </w:tc>
        <w:tc>
          <w:tcPr>
            <w:tcW w:w="1720" w:type="dxa"/>
            <w:vAlign w:val="bottom"/>
          </w:tcPr>
          <w:p>
            <w:pPr>
              <w:jc w:val="right"/>
              <w:ind w:right="470"/>
              <w:spacing w:after="0"/>
              <w:rPr>
                <w:sz w:val="20"/>
                <w:szCs w:val="20"/>
                <w:color w:val="auto"/>
              </w:rPr>
            </w:pPr>
            <w:r>
              <w:rPr>
                <w:rFonts w:ascii="Arial" w:cs="Arial" w:eastAsia="Arial" w:hAnsi="Arial"/>
                <w:sz w:val="18"/>
                <w:szCs w:val="18"/>
                <w:b w:val="1"/>
                <w:bCs w:val="1"/>
                <w:color w:val="auto"/>
              </w:rPr>
              <w:t>Price(1)</w:t>
            </w:r>
          </w:p>
        </w:tc>
        <w:tc>
          <w:tcPr>
            <w:tcW w:w="1680" w:type="dxa"/>
            <w:vAlign w:val="bottom"/>
          </w:tcPr>
          <w:p>
            <w:pPr>
              <w:jc w:val="right"/>
              <w:ind w:right="30"/>
              <w:spacing w:after="0"/>
              <w:rPr>
                <w:sz w:val="20"/>
                <w:szCs w:val="20"/>
                <w:color w:val="auto"/>
              </w:rPr>
            </w:pPr>
            <w:r>
              <w:rPr>
                <w:rFonts w:ascii="Arial" w:cs="Arial" w:eastAsia="Arial" w:hAnsi="Arial"/>
                <w:sz w:val="18"/>
                <w:szCs w:val="18"/>
                <w:b w:val="1"/>
                <w:bCs w:val="1"/>
                <w:color w:val="auto"/>
                <w:w w:val="94"/>
              </w:rPr>
              <w:t>Registration Fee(1)</w:t>
            </w:r>
          </w:p>
        </w:tc>
      </w:tr>
      <w:tr>
        <w:trPr>
          <w:trHeight w:val="27"/>
        </w:trPr>
        <w:tc>
          <w:tcPr>
            <w:tcW w:w="4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37"/>
        </w:trPr>
        <w:tc>
          <w:tcPr>
            <w:tcW w:w="4480" w:type="dxa"/>
            <w:vAlign w:val="bottom"/>
          </w:tcPr>
          <w:p>
            <w:pPr>
              <w:ind w:left="100"/>
              <w:spacing w:after="0"/>
              <w:rPr>
                <w:sz w:val="20"/>
                <w:szCs w:val="20"/>
                <w:color w:val="auto"/>
              </w:rPr>
            </w:pPr>
            <w:r>
              <w:rPr>
                <w:rFonts w:ascii="Arial" w:cs="Arial" w:eastAsia="Arial" w:hAnsi="Arial"/>
                <w:sz w:val="18"/>
                <w:szCs w:val="18"/>
                <w:color w:val="auto"/>
              </w:rPr>
              <w:t>Common Stock, par value $0.001 per share</w:t>
            </w:r>
          </w:p>
        </w:tc>
        <w:tc>
          <w:tcPr>
            <w:tcW w:w="1480" w:type="dxa"/>
            <w:vAlign w:val="bottom"/>
          </w:tcPr>
          <w:p>
            <w:pPr>
              <w:spacing w:after="0"/>
              <w:rPr>
                <w:sz w:val="20"/>
                <w:szCs w:val="20"/>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37"/>
        </w:trPr>
        <w:tc>
          <w:tcPr>
            <w:tcW w:w="4480" w:type="dxa"/>
            <w:vAlign w:val="bottom"/>
          </w:tcPr>
          <w:p>
            <w:pPr>
              <w:ind w:left="100"/>
              <w:spacing w:after="0"/>
              <w:rPr>
                <w:sz w:val="20"/>
                <w:szCs w:val="20"/>
                <w:color w:val="auto"/>
              </w:rPr>
            </w:pPr>
            <w:r>
              <w:rPr>
                <w:rFonts w:ascii="Arial" w:cs="Arial" w:eastAsia="Arial" w:hAnsi="Arial"/>
                <w:sz w:val="18"/>
                <w:szCs w:val="18"/>
                <w:color w:val="auto"/>
              </w:rPr>
              <w:t>Preferred Stock, par value $0.001 per share</w:t>
            </w:r>
          </w:p>
        </w:tc>
        <w:tc>
          <w:tcPr>
            <w:tcW w:w="1480" w:type="dxa"/>
            <w:vAlign w:val="bottom"/>
          </w:tcPr>
          <w:p>
            <w:pPr>
              <w:spacing w:after="0"/>
              <w:rPr>
                <w:sz w:val="20"/>
                <w:szCs w:val="20"/>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37"/>
        </w:trPr>
        <w:tc>
          <w:tcPr>
            <w:tcW w:w="4480" w:type="dxa"/>
            <w:vAlign w:val="bottom"/>
          </w:tcPr>
          <w:p>
            <w:pPr>
              <w:ind w:left="100"/>
              <w:spacing w:after="0"/>
              <w:rPr>
                <w:sz w:val="20"/>
                <w:szCs w:val="20"/>
                <w:color w:val="auto"/>
              </w:rPr>
            </w:pPr>
            <w:r>
              <w:rPr>
                <w:rFonts w:ascii="Arial" w:cs="Arial" w:eastAsia="Arial" w:hAnsi="Arial"/>
                <w:sz w:val="18"/>
                <w:szCs w:val="18"/>
                <w:color w:val="auto"/>
              </w:rPr>
              <w:t>Debt Securities</w:t>
            </w:r>
          </w:p>
        </w:tc>
        <w:tc>
          <w:tcPr>
            <w:tcW w:w="1480" w:type="dxa"/>
            <w:vAlign w:val="bottom"/>
          </w:tcPr>
          <w:p>
            <w:pPr>
              <w:spacing w:after="0"/>
              <w:rPr>
                <w:sz w:val="20"/>
                <w:szCs w:val="20"/>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37"/>
        </w:trPr>
        <w:tc>
          <w:tcPr>
            <w:tcW w:w="4480" w:type="dxa"/>
            <w:vAlign w:val="bottom"/>
          </w:tcPr>
          <w:p>
            <w:pPr>
              <w:ind w:left="100"/>
              <w:spacing w:after="0"/>
              <w:rPr>
                <w:sz w:val="20"/>
                <w:szCs w:val="20"/>
                <w:color w:val="auto"/>
              </w:rPr>
            </w:pPr>
            <w:r>
              <w:rPr>
                <w:rFonts w:ascii="Arial" w:cs="Arial" w:eastAsia="Arial" w:hAnsi="Arial"/>
                <w:sz w:val="18"/>
                <w:szCs w:val="18"/>
                <w:color w:val="auto"/>
              </w:rPr>
              <w:t>Warrants</w:t>
            </w:r>
          </w:p>
        </w:tc>
        <w:tc>
          <w:tcPr>
            <w:tcW w:w="1480" w:type="dxa"/>
            <w:vAlign w:val="bottom"/>
          </w:tcPr>
          <w:p>
            <w:pPr>
              <w:spacing w:after="0"/>
              <w:rPr>
                <w:sz w:val="20"/>
                <w:szCs w:val="20"/>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37"/>
        </w:trPr>
        <w:tc>
          <w:tcPr>
            <w:tcW w:w="4480" w:type="dxa"/>
            <w:vAlign w:val="bottom"/>
          </w:tcPr>
          <w:p>
            <w:pPr>
              <w:ind w:left="100"/>
              <w:spacing w:after="0"/>
              <w:rPr>
                <w:sz w:val="20"/>
                <w:szCs w:val="20"/>
                <w:color w:val="auto"/>
              </w:rPr>
            </w:pPr>
            <w:r>
              <w:rPr>
                <w:rFonts w:ascii="Arial" w:cs="Arial" w:eastAsia="Arial" w:hAnsi="Arial"/>
                <w:sz w:val="18"/>
                <w:szCs w:val="18"/>
                <w:color w:val="auto"/>
              </w:rPr>
              <w:t>Subscription Rights</w:t>
            </w:r>
          </w:p>
        </w:tc>
        <w:tc>
          <w:tcPr>
            <w:tcW w:w="1480" w:type="dxa"/>
            <w:vAlign w:val="bottom"/>
          </w:tcPr>
          <w:p>
            <w:pPr>
              <w:spacing w:after="0"/>
              <w:rPr>
                <w:sz w:val="20"/>
                <w:szCs w:val="20"/>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37"/>
        </w:trPr>
        <w:tc>
          <w:tcPr>
            <w:tcW w:w="4480" w:type="dxa"/>
            <w:vAlign w:val="bottom"/>
          </w:tcPr>
          <w:p>
            <w:pPr>
              <w:ind w:left="100"/>
              <w:spacing w:after="0"/>
              <w:rPr>
                <w:sz w:val="20"/>
                <w:szCs w:val="20"/>
                <w:color w:val="auto"/>
              </w:rPr>
            </w:pPr>
            <w:r>
              <w:rPr>
                <w:rFonts w:ascii="Arial" w:cs="Arial" w:eastAsia="Arial" w:hAnsi="Arial"/>
                <w:sz w:val="18"/>
                <w:szCs w:val="18"/>
                <w:color w:val="auto"/>
              </w:rPr>
              <w:t>Units</w:t>
            </w:r>
          </w:p>
        </w:tc>
        <w:tc>
          <w:tcPr>
            <w:tcW w:w="1480" w:type="dxa"/>
            <w:vAlign w:val="bottom"/>
          </w:tcPr>
          <w:p>
            <w:pPr>
              <w:spacing w:after="0"/>
              <w:rPr>
                <w:sz w:val="20"/>
                <w:szCs w:val="20"/>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37"/>
        </w:trPr>
        <w:tc>
          <w:tcPr>
            <w:tcW w:w="4480" w:type="dxa"/>
            <w:vAlign w:val="bottom"/>
          </w:tcPr>
          <w:p>
            <w:pPr>
              <w:ind w:left="40"/>
              <w:spacing w:after="0"/>
              <w:rPr>
                <w:sz w:val="20"/>
                <w:szCs w:val="20"/>
                <w:color w:val="auto"/>
              </w:rPr>
            </w:pPr>
            <w:r>
              <w:rPr>
                <w:rFonts w:ascii="Arial" w:cs="Arial" w:eastAsia="Arial" w:hAnsi="Arial"/>
                <w:sz w:val="18"/>
                <w:szCs w:val="18"/>
                <w:b w:val="1"/>
                <w:bCs w:val="1"/>
                <w:color w:val="auto"/>
              </w:rPr>
              <w:t>Total (2)</w:t>
            </w:r>
          </w:p>
        </w:tc>
        <w:tc>
          <w:tcPr>
            <w:tcW w:w="1480" w:type="dxa"/>
            <w:vAlign w:val="bottom"/>
          </w:tcPr>
          <w:p>
            <w:pPr>
              <w:spacing w:after="0"/>
              <w:rPr>
                <w:sz w:val="20"/>
                <w:szCs w:val="20"/>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bl>
    <w:p>
      <w:pPr>
        <w:spacing w:after="0" w:line="206" w:lineRule="exact"/>
        <w:rPr>
          <w:sz w:val="20"/>
          <w:szCs w:val="20"/>
          <w:color w:val="auto"/>
        </w:rPr>
      </w:pPr>
    </w:p>
    <w:p>
      <w:pPr>
        <w:ind w:left="660" w:right="80" w:hanging="652"/>
        <w:spacing w:after="0" w:line="278" w:lineRule="auto"/>
        <w:tabs>
          <w:tab w:leader="none" w:pos="660" w:val="left"/>
        </w:tabs>
        <w:numPr>
          <w:ilvl w:val="0"/>
          <w:numId w:val="1"/>
        </w:numPr>
        <w:rPr>
          <w:rFonts w:ascii="Arial" w:cs="Arial" w:eastAsia="Arial" w:hAnsi="Arial"/>
          <w:sz w:val="15"/>
          <w:szCs w:val="15"/>
          <w:color w:val="auto"/>
        </w:rPr>
      </w:pPr>
      <w:r>
        <w:rPr>
          <w:rFonts w:ascii="Arial" w:cs="Arial" w:eastAsia="Arial" w:hAnsi="Arial"/>
          <w:sz w:val="15"/>
          <w:szCs w:val="15"/>
          <w:color w:val="auto"/>
        </w:rPr>
        <w:t>An indeterminate aggregate initial offering price and number of the securities of each class is being registered as may from time to time be offered at indeterminate prices or be issued on exercise, conversion, or exchange of other securities. Separate consideration may or may not be received for securities that are issuable on exercise, conversion, or exchange of other securities. In accordance with Rules 456(b) and 457(r) under the Securities Act, the Registrant is deferring payment of the registration fee. Any registration fee will be paid subsequently on a pay-as-you-go basis in accordance with Rule 457(r).</w:t>
      </w:r>
    </w:p>
    <w:p>
      <w:pPr>
        <w:spacing w:after="0" w:line="65" w:lineRule="exact"/>
        <w:rPr>
          <w:rFonts w:ascii="Arial" w:cs="Arial" w:eastAsia="Arial" w:hAnsi="Arial"/>
          <w:sz w:val="15"/>
          <w:szCs w:val="15"/>
          <w:color w:val="auto"/>
        </w:rPr>
      </w:pPr>
    </w:p>
    <w:p>
      <w:pPr>
        <w:ind w:left="660" w:hanging="652"/>
        <w:spacing w:after="0"/>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securities registered hereunder may be sold separately or in a combination with other securities registered hereby.</w:t>
      </w:r>
    </w:p>
    <w:p>
      <w:pPr>
        <w:sectPr>
          <w:pgSz w:w="11900" w:h="16838" w:orient="portrait"/>
          <w:cols w:equalWidth="0" w:num="1">
            <w:col w:w="11420"/>
          </w:cols>
          <w:pgMar w:left="240" w:top="368" w:right="23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292100</wp:posOffset>
            </wp:positionV>
            <wp:extent cx="3027045" cy="9607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27045" cy="960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Common Stock, Preferred Stock,</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Debt Securities, Warrants,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Subscription Rights and Units</w:t>
      </w:r>
    </w:p>
    <w:p>
      <w:pPr>
        <w:spacing w:after="0" w:line="211"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________________________________</w:t>
      </w:r>
    </w:p>
    <w:p>
      <w:pPr>
        <w:spacing w:after="0" w:line="200" w:lineRule="exact"/>
        <w:rPr>
          <w:sz w:val="20"/>
          <w:szCs w:val="20"/>
          <w:color w:val="auto"/>
        </w:rPr>
      </w:pPr>
    </w:p>
    <w:p>
      <w:pPr>
        <w:spacing w:after="0" w:line="241"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We may, from time to time, offer and sell common stock, preferred stock, debt securities, warrants, subscription rights, and/or units consisting of some or all of these securities, in any combination, together or separately, in one or more offerings. The preferred stock, debt securities and warrants may be convertible into or exercisable or exchangeable for common or preferred stock or debt securities. The subscription rights may be exercisable for common or preferred stock. We will specify in an accompanying prospectus supplement more specific information about any such offering.</w:t>
      </w:r>
    </w:p>
    <w:p>
      <w:pPr>
        <w:spacing w:after="0" w:line="19"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In addition, certain selling securityholders to be identified in a prospectus supplement may use this prospectus from time to time to offer shares of our common stock. Unless the applicable prospectus supplement provides otherwise, we will not receive any proceeds from the sale of common stock by the selling securityholders.</w:t>
      </w:r>
    </w:p>
    <w:p>
      <w:pPr>
        <w:spacing w:after="0" w:line="73"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You should read this document and any prospectus supplement or amendment carefully before you invest in our securities. Neither we nor any selling securityholders may use this prospectus to sell securities unless it includes a prospectus supplement.</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stock is listed on The Nasdaq Global Market under the symbol “VCYT.”</w:t>
      </w:r>
    </w:p>
    <w:p>
      <w:pPr>
        <w:spacing w:after="0" w:line="118" w:lineRule="exact"/>
        <w:rPr>
          <w:sz w:val="20"/>
          <w:szCs w:val="20"/>
          <w:color w:val="auto"/>
        </w:rPr>
      </w:pPr>
    </w:p>
    <w:p>
      <w:pPr>
        <w:ind w:firstLine="648"/>
        <w:spacing w:after="0" w:line="267" w:lineRule="auto"/>
        <w:rPr>
          <w:sz w:val="20"/>
          <w:szCs w:val="20"/>
          <w:color w:val="auto"/>
        </w:rPr>
      </w:pPr>
      <w:r>
        <w:rPr>
          <w:rFonts w:ascii="Arial" w:cs="Arial" w:eastAsia="Arial" w:hAnsi="Arial"/>
          <w:sz w:val="21"/>
          <w:szCs w:val="21"/>
          <w:b w:val="1"/>
          <w:bCs w:val="1"/>
          <w:color w:val="auto"/>
        </w:rPr>
        <w:t>Investing in our securities involves risks. See the section entitled “Risk Factors” on page 3 of this prospectus. You should carefully review the risks and uncertainties described under the heading “Risk Factors” contained in the applicable prospectus supplement and any related free writing prospectus, and under similar headings in the other documents that are incorporated or deemed incorporated by reference into this prospectus.</w:t>
      </w:r>
    </w:p>
    <w:p>
      <w:pPr>
        <w:spacing w:after="0" w:line="59"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The securities described in this prospectus may be offered and sold to or through underwriters, dealers or agents as designated from time to time, or directly to one or more other purchasers or through a combination of such methods. See “Plan of Distribution” on page 14. If any underwriters, dealers or agents are involved in the sale of any of the securities, their names, and any applicable purchase price, fee, commission or discount arrangements between or among them, will be set forth, or will be calculable from the information set forth, in the applicable prospectus supplement.</w:t>
      </w:r>
    </w:p>
    <w:p>
      <w:pPr>
        <w:spacing w:after="0" w:line="307"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________________________________</w:t>
      </w:r>
    </w:p>
    <w:p>
      <w:pPr>
        <w:spacing w:after="0" w:line="221" w:lineRule="exact"/>
        <w:rPr>
          <w:sz w:val="20"/>
          <w:szCs w:val="20"/>
          <w:color w:val="auto"/>
        </w:rPr>
      </w:pPr>
    </w:p>
    <w:p>
      <w:pPr>
        <w:ind w:right="80" w:firstLine="648"/>
        <w:spacing w:after="0" w:line="282" w:lineRule="auto"/>
        <w:rPr>
          <w:sz w:val="20"/>
          <w:szCs w:val="20"/>
          <w:color w:val="auto"/>
        </w:rPr>
      </w:pPr>
      <w:r>
        <w:rPr>
          <w:rFonts w:ascii="Arial" w:cs="Arial" w:eastAsia="Arial" w:hAnsi="Arial"/>
          <w:sz w:val="18"/>
          <w:szCs w:val="18"/>
          <w:b w:val="1"/>
          <w:bCs w:val="1"/>
          <w:color w:val="auto"/>
        </w:rPr>
        <w:t>Neither the Securities and Exchange Commission nor any state regulators have approved or disapproved of these securities or passed upon the adequacy or accuracy of this prospectus. Any representation to the contrary is a criminal offense.</w:t>
      </w:r>
    </w:p>
    <w:p>
      <w:pPr>
        <w:spacing w:after="0" w:line="58"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________________________________</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date of this prospectus is May 1, 2019.</w:t>
      </w:r>
    </w:p>
    <w:p>
      <w:pPr>
        <w:sectPr>
          <w:pgSz w:w="11900" w:h="16838" w:orient="portrait"/>
          <w:cols w:equalWidth="0" w:num="1">
            <w:col w:w="11380"/>
          </w:cols>
          <w:pgMar w:left="240" w:top="1296" w:right="27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700" w:type="dxa"/>
            <w:vAlign w:val="bottom"/>
            <w:gridSpan w:val="5"/>
          </w:tcPr>
          <w:p>
            <w:pPr>
              <w:ind w:left="20"/>
              <w:spacing w:after="0"/>
              <w:rPr>
                <w:sz w:val="20"/>
                <w:szCs w:val="20"/>
                <w:color w:val="auto"/>
              </w:rPr>
            </w:pPr>
            <w:r>
              <w:rPr>
                <w:rFonts w:ascii="Arial" w:cs="Arial" w:eastAsia="Arial" w:hAnsi="Arial"/>
                <w:sz w:val="18"/>
                <w:szCs w:val="18"/>
                <w:b w:val="1"/>
                <w:bCs w:val="1"/>
                <w:color w:val="auto"/>
              </w:rPr>
              <w:t>TABLE OF CONTENTS</w:t>
            </w:r>
          </w:p>
        </w:tc>
      </w:tr>
      <w:tr>
        <w:trPr>
          <w:trHeight w:val="351"/>
        </w:trPr>
        <w:tc>
          <w:tcPr>
            <w:tcW w:w="40" w:type="dxa"/>
            <w:vAlign w:val="bottom"/>
            <w:tcBorders>
              <w:bottom w:val="single" w:sz="8" w:color="00000A"/>
            </w:tcBorders>
          </w:tcPr>
          <w:p>
            <w:pPr>
              <w:spacing w:after="0"/>
              <w:rPr>
                <w:sz w:val="24"/>
                <w:szCs w:val="24"/>
                <w:color w:val="auto"/>
              </w:rPr>
            </w:pPr>
          </w:p>
        </w:tc>
        <w:tc>
          <w:tcPr>
            <w:tcW w:w="840" w:type="dxa"/>
            <w:vAlign w:val="bottom"/>
            <w:tcBorders>
              <w:bottom w:val="single" w:sz="8" w:color="00000A"/>
            </w:tcBorders>
          </w:tcPr>
          <w:p>
            <w:pPr>
              <w:spacing w:after="0"/>
              <w:rPr>
                <w:sz w:val="24"/>
                <w:szCs w:val="24"/>
                <w:color w:val="auto"/>
              </w:rPr>
            </w:pPr>
          </w:p>
        </w:tc>
        <w:tc>
          <w:tcPr>
            <w:tcW w:w="500" w:type="dxa"/>
            <w:vAlign w:val="bottom"/>
            <w:tcBorders>
              <w:bottom w:val="single" w:sz="8" w:color="00000A"/>
            </w:tcBorders>
          </w:tcPr>
          <w:p>
            <w:pPr>
              <w:spacing w:after="0"/>
              <w:rPr>
                <w:sz w:val="24"/>
                <w:szCs w:val="24"/>
                <w:color w:val="auto"/>
              </w:rPr>
            </w:pPr>
          </w:p>
        </w:tc>
        <w:tc>
          <w:tcPr>
            <w:tcW w:w="220" w:type="dxa"/>
            <w:vAlign w:val="bottom"/>
            <w:tcBorders>
              <w:bottom w:val="single" w:sz="8" w:color="00000A"/>
            </w:tcBorders>
          </w:tcPr>
          <w:p>
            <w:pPr>
              <w:spacing w:after="0"/>
              <w:rPr>
                <w:sz w:val="24"/>
                <w:szCs w:val="24"/>
                <w:color w:val="auto"/>
              </w:rPr>
            </w:pPr>
          </w:p>
        </w:tc>
        <w:tc>
          <w:tcPr>
            <w:tcW w:w="120" w:type="dxa"/>
            <w:vAlign w:val="bottom"/>
            <w:tcBorders>
              <w:bottom w:val="single" w:sz="8" w:color="00000A"/>
            </w:tcBorders>
          </w:tcPr>
          <w:p>
            <w:pPr>
              <w:spacing w:after="0"/>
              <w:rPr>
                <w:sz w:val="24"/>
                <w:szCs w:val="24"/>
                <w:color w:val="auto"/>
              </w:rPr>
            </w:pPr>
          </w:p>
        </w:tc>
        <w:tc>
          <w:tcPr>
            <w:tcW w:w="460" w:type="dxa"/>
            <w:vAlign w:val="bottom"/>
            <w:tcBorders>
              <w:bottom w:val="single" w:sz="8" w:color="00000A"/>
            </w:tcBorders>
          </w:tcPr>
          <w:p>
            <w:pPr>
              <w:spacing w:after="0"/>
              <w:rPr>
                <w:sz w:val="24"/>
                <w:szCs w:val="24"/>
                <w:color w:val="auto"/>
              </w:rPr>
            </w:pPr>
          </w:p>
        </w:tc>
        <w:tc>
          <w:tcPr>
            <w:tcW w:w="20" w:type="dxa"/>
            <w:vAlign w:val="bottom"/>
            <w:tcBorders>
              <w:bottom w:val="single" w:sz="8" w:color="00000A"/>
            </w:tcBorders>
          </w:tcPr>
          <w:p>
            <w:pPr>
              <w:spacing w:after="0"/>
              <w:rPr>
                <w:sz w:val="24"/>
                <w:szCs w:val="24"/>
                <w:color w:val="auto"/>
              </w:rPr>
            </w:pPr>
          </w:p>
        </w:tc>
        <w:tc>
          <w:tcPr>
            <w:tcW w:w="40" w:type="dxa"/>
            <w:vAlign w:val="bottom"/>
            <w:tcBorders>
              <w:bottom w:val="single" w:sz="8" w:color="00000A"/>
            </w:tcBorders>
          </w:tcPr>
          <w:p>
            <w:pPr>
              <w:spacing w:after="0"/>
              <w:rPr>
                <w:sz w:val="24"/>
                <w:szCs w:val="24"/>
                <w:color w:val="auto"/>
              </w:rPr>
            </w:pPr>
          </w:p>
        </w:tc>
        <w:tc>
          <w:tcPr>
            <w:tcW w:w="160" w:type="dxa"/>
            <w:vAlign w:val="bottom"/>
            <w:tcBorders>
              <w:bottom w:val="single" w:sz="8" w:color="00000A"/>
            </w:tcBorders>
          </w:tcPr>
          <w:p>
            <w:pPr>
              <w:spacing w:after="0"/>
              <w:rPr>
                <w:sz w:val="24"/>
                <w:szCs w:val="24"/>
                <w:color w:val="auto"/>
              </w:rPr>
            </w:pPr>
          </w:p>
        </w:tc>
        <w:tc>
          <w:tcPr>
            <w:tcW w:w="200" w:type="dxa"/>
            <w:vAlign w:val="bottom"/>
            <w:tcBorders>
              <w:bottom w:val="single" w:sz="8" w:color="00000A"/>
            </w:tcBorders>
          </w:tcPr>
          <w:p>
            <w:pPr>
              <w:spacing w:after="0"/>
              <w:rPr>
                <w:sz w:val="24"/>
                <w:szCs w:val="24"/>
                <w:color w:val="auto"/>
              </w:rPr>
            </w:pPr>
          </w:p>
        </w:tc>
        <w:tc>
          <w:tcPr>
            <w:tcW w:w="60" w:type="dxa"/>
            <w:vAlign w:val="bottom"/>
            <w:tcBorders>
              <w:bottom w:val="single" w:sz="8" w:color="00000A"/>
            </w:tcBorders>
          </w:tcPr>
          <w:p>
            <w:pPr>
              <w:spacing w:after="0"/>
              <w:rPr>
                <w:sz w:val="24"/>
                <w:szCs w:val="24"/>
                <w:color w:val="auto"/>
              </w:rPr>
            </w:pPr>
          </w:p>
        </w:tc>
        <w:tc>
          <w:tcPr>
            <w:tcW w:w="40" w:type="dxa"/>
            <w:vAlign w:val="bottom"/>
            <w:tcBorders>
              <w:bottom w:val="single" w:sz="8" w:color="00000A"/>
            </w:tcBorders>
          </w:tcPr>
          <w:p>
            <w:pPr>
              <w:spacing w:after="0"/>
              <w:rPr>
                <w:sz w:val="24"/>
                <w:szCs w:val="24"/>
                <w:color w:val="auto"/>
              </w:rPr>
            </w:pPr>
          </w:p>
        </w:tc>
        <w:tc>
          <w:tcPr>
            <w:tcW w:w="460" w:type="dxa"/>
            <w:vAlign w:val="bottom"/>
            <w:tcBorders>
              <w:bottom w:val="single" w:sz="8" w:color="00000A"/>
            </w:tcBorders>
          </w:tcPr>
          <w:p>
            <w:pPr>
              <w:spacing w:after="0"/>
              <w:rPr>
                <w:sz w:val="24"/>
                <w:szCs w:val="24"/>
                <w:color w:val="auto"/>
              </w:rPr>
            </w:pPr>
          </w:p>
        </w:tc>
        <w:tc>
          <w:tcPr>
            <w:tcW w:w="40" w:type="dxa"/>
            <w:vAlign w:val="bottom"/>
            <w:tcBorders>
              <w:bottom w:val="single" w:sz="8" w:color="00000A"/>
            </w:tcBorders>
          </w:tcPr>
          <w:p>
            <w:pPr>
              <w:spacing w:after="0"/>
              <w:rPr>
                <w:sz w:val="24"/>
                <w:szCs w:val="24"/>
                <w:color w:val="auto"/>
              </w:rPr>
            </w:pPr>
          </w:p>
        </w:tc>
        <w:tc>
          <w:tcPr>
            <w:tcW w:w="60" w:type="dxa"/>
            <w:vAlign w:val="bottom"/>
            <w:tcBorders>
              <w:bottom w:val="single" w:sz="8" w:color="00000A"/>
            </w:tcBorders>
          </w:tcPr>
          <w:p>
            <w:pPr>
              <w:spacing w:after="0"/>
              <w:rPr>
                <w:sz w:val="24"/>
                <w:szCs w:val="24"/>
                <w:color w:val="auto"/>
              </w:rPr>
            </w:pPr>
          </w:p>
        </w:tc>
        <w:tc>
          <w:tcPr>
            <w:tcW w:w="160" w:type="dxa"/>
            <w:vAlign w:val="bottom"/>
            <w:tcBorders>
              <w:bottom w:val="single" w:sz="8" w:color="00000A"/>
            </w:tcBorders>
          </w:tcPr>
          <w:p>
            <w:pPr>
              <w:spacing w:after="0"/>
              <w:rPr>
                <w:sz w:val="24"/>
                <w:szCs w:val="24"/>
                <w:color w:val="auto"/>
              </w:rPr>
            </w:pPr>
          </w:p>
        </w:tc>
        <w:tc>
          <w:tcPr>
            <w:tcW w:w="320" w:type="dxa"/>
            <w:vAlign w:val="bottom"/>
            <w:tcBorders>
              <w:bottom w:val="single" w:sz="8" w:color="00000A"/>
            </w:tcBorders>
          </w:tcPr>
          <w:p>
            <w:pPr>
              <w:spacing w:after="0"/>
              <w:rPr>
                <w:sz w:val="24"/>
                <w:szCs w:val="24"/>
                <w:color w:val="auto"/>
              </w:rPr>
            </w:pPr>
          </w:p>
        </w:tc>
        <w:tc>
          <w:tcPr>
            <w:tcW w:w="340" w:type="dxa"/>
            <w:vAlign w:val="bottom"/>
            <w:tcBorders>
              <w:bottom w:val="single" w:sz="8" w:color="00000A"/>
            </w:tcBorders>
          </w:tcPr>
          <w:p>
            <w:pPr>
              <w:spacing w:after="0"/>
              <w:rPr>
                <w:sz w:val="24"/>
                <w:szCs w:val="24"/>
                <w:color w:val="auto"/>
              </w:rPr>
            </w:pPr>
          </w:p>
        </w:tc>
        <w:tc>
          <w:tcPr>
            <w:tcW w:w="640" w:type="dxa"/>
            <w:vAlign w:val="bottom"/>
            <w:tcBorders>
              <w:bottom w:val="single" w:sz="8" w:color="00000A"/>
            </w:tcBorders>
          </w:tcPr>
          <w:p>
            <w:pPr>
              <w:spacing w:after="0"/>
              <w:rPr>
                <w:sz w:val="24"/>
                <w:szCs w:val="24"/>
                <w:color w:val="auto"/>
              </w:rPr>
            </w:pPr>
          </w:p>
        </w:tc>
        <w:tc>
          <w:tcPr>
            <w:tcW w:w="20" w:type="dxa"/>
            <w:vAlign w:val="bottom"/>
            <w:tcBorders>
              <w:bottom w:val="single" w:sz="8" w:color="00000A"/>
            </w:tcBorders>
          </w:tcPr>
          <w:p>
            <w:pPr>
              <w:spacing w:after="0"/>
              <w:rPr>
                <w:sz w:val="24"/>
                <w:szCs w:val="24"/>
                <w:color w:val="auto"/>
              </w:rPr>
            </w:pPr>
          </w:p>
        </w:tc>
        <w:tc>
          <w:tcPr>
            <w:tcW w:w="1000" w:type="dxa"/>
            <w:vAlign w:val="bottom"/>
            <w:tcBorders>
              <w:bottom w:val="single" w:sz="8" w:color="00000A"/>
            </w:tcBorders>
          </w:tcPr>
          <w:p>
            <w:pPr>
              <w:spacing w:after="0"/>
              <w:rPr>
                <w:sz w:val="24"/>
                <w:szCs w:val="24"/>
                <w:color w:val="auto"/>
              </w:rPr>
            </w:pPr>
          </w:p>
        </w:tc>
        <w:tc>
          <w:tcPr>
            <w:tcW w:w="5480" w:type="dxa"/>
            <w:vAlign w:val="bottom"/>
            <w:tcBorders>
              <w:bottom w:val="single" w:sz="8" w:color="00000A"/>
            </w:tcBorders>
          </w:tcPr>
          <w:p>
            <w:pPr>
              <w:spacing w:after="0"/>
              <w:rPr>
                <w:sz w:val="24"/>
                <w:szCs w:val="24"/>
                <w:color w:val="auto"/>
              </w:rPr>
            </w:pPr>
          </w:p>
        </w:tc>
        <w:tc>
          <w:tcPr>
            <w:tcW w:w="80" w:type="dxa"/>
            <w:vAlign w:val="bottom"/>
            <w:tcBorders>
              <w:bottom w:val="single" w:sz="8" w:color="00000A"/>
            </w:tcBorders>
          </w:tcPr>
          <w:p>
            <w:pPr>
              <w:spacing w:after="0"/>
              <w:rPr>
                <w:sz w:val="24"/>
                <w:szCs w:val="24"/>
                <w:color w:val="auto"/>
              </w:rPr>
            </w:pPr>
          </w:p>
        </w:tc>
        <w:tc>
          <w:tcPr>
            <w:tcW w:w="100" w:type="dxa"/>
            <w:vAlign w:val="bottom"/>
            <w:tcBorders>
              <w:bottom w:val="single" w:sz="8" w:color="00000A"/>
            </w:tcBorders>
          </w:tcPr>
          <w:p>
            <w:pPr>
              <w:spacing w:after="0"/>
              <w:rPr>
                <w:sz w:val="24"/>
                <w:szCs w:val="24"/>
                <w:color w:val="auto"/>
              </w:rPr>
            </w:pPr>
          </w:p>
        </w:tc>
        <w:tc>
          <w:tcPr>
            <w:tcW w:w="40" w:type="dxa"/>
            <w:vAlign w:val="bottom"/>
            <w:tcBorders>
              <w:bottom w:val="single" w:sz="8" w:color="00000A"/>
            </w:tcBorders>
          </w:tcPr>
          <w:p>
            <w:pPr>
              <w:spacing w:after="0"/>
              <w:rPr>
                <w:sz w:val="24"/>
                <w:szCs w:val="24"/>
                <w:color w:val="auto"/>
              </w:rPr>
            </w:pPr>
          </w:p>
        </w:tc>
      </w:tr>
      <w:tr>
        <w:trPr>
          <w:trHeight w:val="196"/>
        </w:trPr>
        <w:tc>
          <w:tcPr>
            <w:tcW w:w="40" w:type="dxa"/>
            <w:vAlign w:val="bottom"/>
            <w:tcBorders>
              <w:left w:val="single" w:sz="8" w:color="00000A"/>
            </w:tcBorders>
          </w:tcPr>
          <w:p>
            <w:pPr>
              <w:spacing w:after="0"/>
              <w:rPr>
                <w:sz w:val="17"/>
                <w:szCs w:val="17"/>
                <w:color w:val="auto"/>
              </w:rPr>
            </w:pPr>
          </w:p>
        </w:tc>
        <w:tc>
          <w:tcPr>
            <w:tcW w:w="4700" w:type="dxa"/>
            <w:vAlign w:val="bottom"/>
            <w:gridSpan w:val="19"/>
          </w:tcPr>
          <w:p>
            <w:pPr>
              <w:spacing w:after="0" w:line="196" w:lineRule="exact"/>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ABOUT THIS PROSPECTUS</w:t>
              </w:r>
            </w:hyperlink>
          </w:p>
        </w:tc>
        <w:tc>
          <w:tcPr>
            <w:tcW w:w="1000" w:type="dxa"/>
            <w:vAlign w:val="bottom"/>
            <w:tcBorders>
              <w:right w:val="single" w:sz="8" w:color="00000A"/>
            </w:tcBorders>
          </w:tcPr>
          <w:p>
            <w:pPr>
              <w:spacing w:after="0"/>
              <w:rPr>
                <w:sz w:val="17"/>
                <w:szCs w:val="17"/>
                <w:color w:val="auto"/>
              </w:rPr>
            </w:pPr>
          </w:p>
        </w:tc>
        <w:tc>
          <w:tcPr>
            <w:tcW w:w="5700" w:type="dxa"/>
            <w:vAlign w:val="bottom"/>
            <w:tcBorders>
              <w:right w:val="single" w:sz="8" w:color="00000A"/>
            </w:tcBorders>
            <w:gridSpan w:val="4"/>
          </w:tcPr>
          <w:p>
            <w:pPr>
              <w:jc w:val="right"/>
              <w:ind w:right="40"/>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2</w:t>
              </w:r>
            </w:hyperlink>
          </w:p>
        </w:tc>
      </w:tr>
      <w:tr>
        <w:trPr>
          <w:trHeight w:val="48"/>
        </w:trPr>
        <w:tc>
          <w:tcPr>
            <w:tcW w:w="40" w:type="dxa"/>
            <w:vAlign w:val="bottom"/>
            <w:tcBorders>
              <w:left w:val="single" w:sz="8" w:color="00000A"/>
              <w:bottom w:val="single" w:sz="8" w:color="00000A"/>
            </w:tcBorders>
          </w:tcPr>
          <w:p>
            <w:pPr>
              <w:spacing w:after="0"/>
              <w:rPr>
                <w:sz w:val="4"/>
                <w:szCs w:val="4"/>
                <w:color w:val="auto"/>
              </w:rPr>
            </w:pPr>
          </w:p>
        </w:tc>
        <w:tc>
          <w:tcPr>
            <w:tcW w:w="840" w:type="dxa"/>
            <w:vAlign w:val="bottom"/>
            <w:tcBorders>
              <w:top w:val="single" w:sz="8" w:color="0000EE"/>
              <w:bottom w:val="single" w:sz="8" w:color="00000A"/>
            </w:tcBorders>
          </w:tcPr>
          <w:p>
            <w:pPr>
              <w:spacing w:after="0"/>
              <w:rPr>
                <w:sz w:val="4"/>
                <w:szCs w:val="4"/>
                <w:color w:val="auto"/>
              </w:rPr>
            </w:pPr>
          </w:p>
        </w:tc>
        <w:tc>
          <w:tcPr>
            <w:tcW w:w="500" w:type="dxa"/>
            <w:vAlign w:val="bottom"/>
            <w:tcBorders>
              <w:top w:val="single" w:sz="8" w:color="0000EE"/>
              <w:bottom w:val="single" w:sz="8" w:color="00000A"/>
            </w:tcBorders>
          </w:tcPr>
          <w:p>
            <w:pPr>
              <w:spacing w:after="0"/>
              <w:rPr>
                <w:sz w:val="4"/>
                <w:szCs w:val="4"/>
                <w:color w:val="auto"/>
              </w:rPr>
            </w:pPr>
          </w:p>
        </w:tc>
        <w:tc>
          <w:tcPr>
            <w:tcW w:w="220" w:type="dxa"/>
            <w:vAlign w:val="bottom"/>
            <w:tcBorders>
              <w:top w:val="single" w:sz="8" w:color="0000EE"/>
              <w:bottom w:val="single" w:sz="8" w:color="00000A"/>
            </w:tcBorders>
          </w:tcPr>
          <w:p>
            <w:pPr>
              <w:spacing w:after="0"/>
              <w:rPr>
                <w:sz w:val="4"/>
                <w:szCs w:val="4"/>
                <w:color w:val="auto"/>
              </w:rPr>
            </w:pPr>
          </w:p>
        </w:tc>
        <w:tc>
          <w:tcPr>
            <w:tcW w:w="120" w:type="dxa"/>
            <w:vAlign w:val="bottom"/>
            <w:tcBorders>
              <w:top w:val="single" w:sz="8" w:color="0000EE"/>
              <w:bottom w:val="single" w:sz="8" w:color="00000A"/>
            </w:tcBorders>
          </w:tcPr>
          <w:p>
            <w:pPr>
              <w:spacing w:after="0"/>
              <w:rPr>
                <w:sz w:val="4"/>
                <w:szCs w:val="4"/>
                <w:color w:val="auto"/>
              </w:rPr>
            </w:pPr>
          </w:p>
        </w:tc>
        <w:tc>
          <w:tcPr>
            <w:tcW w:w="460" w:type="dxa"/>
            <w:vAlign w:val="bottom"/>
            <w:tcBorders>
              <w:top w:val="single" w:sz="8" w:color="0000EE"/>
              <w:bottom w:val="single" w:sz="8" w:color="00000A"/>
            </w:tcBorders>
          </w:tcPr>
          <w:p>
            <w:pPr>
              <w:spacing w:after="0"/>
              <w:rPr>
                <w:sz w:val="4"/>
                <w:szCs w:val="4"/>
                <w:color w:val="auto"/>
              </w:rPr>
            </w:pPr>
          </w:p>
        </w:tc>
        <w:tc>
          <w:tcPr>
            <w:tcW w:w="20" w:type="dxa"/>
            <w:vAlign w:val="bottom"/>
            <w:tcBorders>
              <w:top w:val="single" w:sz="8" w:color="0000EE"/>
              <w:bottom w:val="single" w:sz="8" w:color="00000A"/>
            </w:tcBorders>
          </w:tcPr>
          <w:p>
            <w:pPr>
              <w:spacing w:after="0"/>
              <w:rPr>
                <w:sz w:val="4"/>
                <w:szCs w:val="4"/>
                <w:color w:val="auto"/>
              </w:rPr>
            </w:pPr>
          </w:p>
        </w:tc>
        <w:tc>
          <w:tcPr>
            <w:tcW w:w="40" w:type="dxa"/>
            <w:vAlign w:val="bottom"/>
            <w:tcBorders>
              <w:top w:val="single" w:sz="8" w:color="0000EE"/>
              <w:bottom w:val="single" w:sz="8" w:color="00000A"/>
            </w:tcBorders>
          </w:tcPr>
          <w:p>
            <w:pPr>
              <w:spacing w:after="0"/>
              <w:rPr>
                <w:sz w:val="4"/>
                <w:szCs w:val="4"/>
                <w:color w:val="auto"/>
              </w:rPr>
            </w:pPr>
          </w:p>
        </w:tc>
        <w:tc>
          <w:tcPr>
            <w:tcW w:w="160" w:type="dxa"/>
            <w:vAlign w:val="bottom"/>
            <w:tcBorders>
              <w:top w:val="single" w:sz="8" w:color="0000EE"/>
              <w:bottom w:val="single" w:sz="8" w:color="00000A"/>
            </w:tcBorders>
          </w:tcPr>
          <w:p>
            <w:pPr>
              <w:spacing w:after="0"/>
              <w:rPr>
                <w:sz w:val="4"/>
                <w:szCs w:val="4"/>
                <w:color w:val="auto"/>
              </w:rPr>
            </w:pPr>
          </w:p>
        </w:tc>
        <w:tc>
          <w:tcPr>
            <w:tcW w:w="200" w:type="dxa"/>
            <w:vAlign w:val="bottom"/>
            <w:tcBorders>
              <w:bottom w:val="single" w:sz="8" w:color="00000A"/>
            </w:tcBorders>
          </w:tcPr>
          <w:p>
            <w:pPr>
              <w:spacing w:after="0"/>
              <w:rPr>
                <w:sz w:val="4"/>
                <w:szCs w:val="4"/>
                <w:color w:val="auto"/>
              </w:rPr>
            </w:pPr>
          </w:p>
        </w:tc>
        <w:tc>
          <w:tcPr>
            <w:tcW w:w="60" w:type="dxa"/>
            <w:vAlign w:val="bottom"/>
            <w:tcBorders>
              <w:bottom w:val="single" w:sz="8" w:color="00000A"/>
            </w:tcBorders>
          </w:tcPr>
          <w:p>
            <w:pPr>
              <w:spacing w:after="0"/>
              <w:rPr>
                <w:sz w:val="4"/>
                <w:szCs w:val="4"/>
                <w:color w:val="auto"/>
              </w:rPr>
            </w:pPr>
          </w:p>
        </w:tc>
        <w:tc>
          <w:tcPr>
            <w:tcW w:w="40" w:type="dxa"/>
            <w:vAlign w:val="bottom"/>
            <w:tcBorders>
              <w:bottom w:val="single" w:sz="8" w:color="00000A"/>
            </w:tcBorders>
          </w:tcPr>
          <w:p>
            <w:pPr>
              <w:spacing w:after="0"/>
              <w:rPr>
                <w:sz w:val="4"/>
                <w:szCs w:val="4"/>
                <w:color w:val="auto"/>
              </w:rPr>
            </w:pPr>
          </w:p>
        </w:tc>
        <w:tc>
          <w:tcPr>
            <w:tcW w:w="460" w:type="dxa"/>
            <w:vAlign w:val="bottom"/>
            <w:tcBorders>
              <w:bottom w:val="single" w:sz="8" w:color="00000A"/>
            </w:tcBorders>
          </w:tcPr>
          <w:p>
            <w:pPr>
              <w:spacing w:after="0"/>
              <w:rPr>
                <w:sz w:val="4"/>
                <w:szCs w:val="4"/>
                <w:color w:val="auto"/>
              </w:rPr>
            </w:pPr>
          </w:p>
        </w:tc>
        <w:tc>
          <w:tcPr>
            <w:tcW w:w="40" w:type="dxa"/>
            <w:vAlign w:val="bottom"/>
            <w:tcBorders>
              <w:bottom w:val="single" w:sz="8" w:color="00000A"/>
            </w:tcBorders>
          </w:tcPr>
          <w:p>
            <w:pPr>
              <w:spacing w:after="0"/>
              <w:rPr>
                <w:sz w:val="4"/>
                <w:szCs w:val="4"/>
                <w:color w:val="auto"/>
              </w:rPr>
            </w:pPr>
          </w:p>
        </w:tc>
        <w:tc>
          <w:tcPr>
            <w:tcW w:w="60" w:type="dxa"/>
            <w:vAlign w:val="bottom"/>
            <w:tcBorders>
              <w:bottom w:val="single" w:sz="8" w:color="00000A"/>
            </w:tcBorders>
          </w:tcPr>
          <w:p>
            <w:pPr>
              <w:spacing w:after="0"/>
              <w:rPr>
                <w:sz w:val="4"/>
                <w:szCs w:val="4"/>
                <w:color w:val="auto"/>
              </w:rPr>
            </w:pPr>
          </w:p>
        </w:tc>
        <w:tc>
          <w:tcPr>
            <w:tcW w:w="160" w:type="dxa"/>
            <w:vAlign w:val="bottom"/>
            <w:tcBorders>
              <w:bottom w:val="single" w:sz="8" w:color="00000A"/>
            </w:tcBorders>
          </w:tcPr>
          <w:p>
            <w:pPr>
              <w:spacing w:after="0"/>
              <w:rPr>
                <w:sz w:val="4"/>
                <w:szCs w:val="4"/>
                <w:color w:val="auto"/>
              </w:rPr>
            </w:pPr>
          </w:p>
        </w:tc>
        <w:tc>
          <w:tcPr>
            <w:tcW w:w="320" w:type="dxa"/>
            <w:vAlign w:val="bottom"/>
            <w:tcBorders>
              <w:bottom w:val="single" w:sz="8" w:color="00000A"/>
            </w:tcBorders>
          </w:tcPr>
          <w:p>
            <w:pPr>
              <w:spacing w:after="0"/>
              <w:rPr>
                <w:sz w:val="4"/>
                <w:szCs w:val="4"/>
                <w:color w:val="auto"/>
              </w:rPr>
            </w:pPr>
          </w:p>
        </w:tc>
        <w:tc>
          <w:tcPr>
            <w:tcW w:w="340" w:type="dxa"/>
            <w:vAlign w:val="bottom"/>
            <w:tcBorders>
              <w:bottom w:val="single" w:sz="8" w:color="00000A"/>
            </w:tcBorders>
          </w:tcPr>
          <w:p>
            <w:pPr>
              <w:spacing w:after="0"/>
              <w:rPr>
                <w:sz w:val="4"/>
                <w:szCs w:val="4"/>
                <w:color w:val="auto"/>
              </w:rPr>
            </w:pPr>
          </w:p>
        </w:tc>
        <w:tc>
          <w:tcPr>
            <w:tcW w:w="640" w:type="dxa"/>
            <w:vAlign w:val="bottom"/>
            <w:tcBorders>
              <w:bottom w:val="single" w:sz="8" w:color="00000A"/>
            </w:tcBorders>
          </w:tcPr>
          <w:p>
            <w:pPr>
              <w:spacing w:after="0"/>
              <w:rPr>
                <w:sz w:val="4"/>
                <w:szCs w:val="4"/>
                <w:color w:val="auto"/>
              </w:rPr>
            </w:pPr>
          </w:p>
        </w:tc>
        <w:tc>
          <w:tcPr>
            <w:tcW w:w="20" w:type="dxa"/>
            <w:vAlign w:val="bottom"/>
            <w:tcBorders>
              <w:bottom w:val="single" w:sz="8" w:color="00000A"/>
            </w:tcBorders>
          </w:tcPr>
          <w:p>
            <w:pPr>
              <w:spacing w:after="0"/>
              <w:rPr>
                <w:sz w:val="4"/>
                <w:szCs w:val="4"/>
                <w:color w:val="auto"/>
              </w:rPr>
            </w:pPr>
          </w:p>
        </w:tc>
        <w:tc>
          <w:tcPr>
            <w:tcW w:w="1000" w:type="dxa"/>
            <w:vAlign w:val="bottom"/>
            <w:tcBorders>
              <w:bottom w:val="single" w:sz="8" w:color="00000A"/>
              <w:right w:val="single" w:sz="8" w:color="00000A"/>
            </w:tcBorders>
          </w:tcPr>
          <w:p>
            <w:pPr>
              <w:spacing w:after="0"/>
              <w:rPr>
                <w:sz w:val="4"/>
                <w:szCs w:val="4"/>
                <w:color w:val="auto"/>
              </w:rPr>
            </w:pPr>
          </w:p>
        </w:tc>
        <w:tc>
          <w:tcPr>
            <w:tcW w:w="5480" w:type="dxa"/>
            <w:vAlign w:val="bottom"/>
            <w:tcBorders>
              <w:bottom w:val="single" w:sz="8" w:color="00000A"/>
            </w:tcBorders>
          </w:tcPr>
          <w:p>
            <w:pPr>
              <w:spacing w:after="0"/>
              <w:rPr>
                <w:sz w:val="4"/>
                <w:szCs w:val="4"/>
                <w:color w:val="auto"/>
              </w:rPr>
            </w:pPr>
          </w:p>
        </w:tc>
        <w:tc>
          <w:tcPr>
            <w:tcW w:w="80" w:type="dxa"/>
            <w:vAlign w:val="bottom"/>
            <w:tcBorders>
              <w:bottom w:val="single" w:sz="8" w:color="00000A"/>
            </w:tcBorders>
          </w:tcPr>
          <w:p>
            <w:pPr>
              <w:spacing w:after="0"/>
              <w:rPr>
                <w:sz w:val="4"/>
                <w:szCs w:val="4"/>
                <w:color w:val="auto"/>
              </w:rPr>
            </w:pPr>
          </w:p>
        </w:tc>
        <w:tc>
          <w:tcPr>
            <w:tcW w:w="100" w:type="dxa"/>
            <w:vAlign w:val="bottom"/>
            <w:tcBorders>
              <w:top w:val="single" w:sz="8" w:color="0000EE"/>
              <w:bottom w:val="single" w:sz="8" w:color="00000A"/>
            </w:tcBorders>
          </w:tcPr>
          <w:p>
            <w:pPr>
              <w:spacing w:after="0"/>
              <w:rPr>
                <w:sz w:val="4"/>
                <w:szCs w:val="4"/>
                <w:color w:val="auto"/>
              </w:rPr>
            </w:pPr>
          </w:p>
        </w:tc>
        <w:tc>
          <w:tcPr>
            <w:tcW w:w="40" w:type="dxa"/>
            <w:vAlign w:val="bottom"/>
            <w:tcBorders>
              <w:bottom w:val="single" w:sz="8" w:color="00000A"/>
              <w:right w:val="single" w:sz="8" w:color="00000A"/>
            </w:tcBorders>
          </w:tcPr>
          <w:p>
            <w:pPr>
              <w:spacing w:after="0"/>
              <w:rPr>
                <w:sz w:val="4"/>
                <w:szCs w:val="4"/>
                <w:color w:val="auto"/>
              </w:rPr>
            </w:pPr>
          </w:p>
        </w:tc>
      </w:tr>
      <w:tr>
        <w:trPr>
          <w:trHeight w:val="196"/>
        </w:trPr>
        <w:tc>
          <w:tcPr>
            <w:tcW w:w="40" w:type="dxa"/>
            <w:vAlign w:val="bottom"/>
            <w:tcBorders>
              <w:left w:val="single" w:sz="8" w:color="00000A"/>
            </w:tcBorders>
          </w:tcPr>
          <w:p>
            <w:pPr>
              <w:spacing w:after="0"/>
              <w:rPr>
                <w:sz w:val="17"/>
                <w:szCs w:val="17"/>
                <w:color w:val="auto"/>
              </w:rPr>
            </w:pPr>
          </w:p>
        </w:tc>
        <w:tc>
          <w:tcPr>
            <w:tcW w:w="4700" w:type="dxa"/>
            <w:vAlign w:val="bottom"/>
            <w:gridSpan w:val="19"/>
          </w:tcPr>
          <w:p>
            <w:pPr>
              <w:spacing w:after="0" w:line="196" w:lineRule="exact"/>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PROSPECTUS SUMMARY</w:t>
              </w:r>
            </w:hyperlink>
          </w:p>
        </w:tc>
        <w:tc>
          <w:tcPr>
            <w:tcW w:w="1000" w:type="dxa"/>
            <w:vAlign w:val="bottom"/>
            <w:tcBorders>
              <w:right w:val="single" w:sz="8" w:color="00000A"/>
            </w:tcBorders>
          </w:tcPr>
          <w:p>
            <w:pPr>
              <w:spacing w:after="0"/>
              <w:rPr>
                <w:sz w:val="17"/>
                <w:szCs w:val="17"/>
                <w:color w:val="auto"/>
              </w:rPr>
            </w:pPr>
          </w:p>
        </w:tc>
        <w:tc>
          <w:tcPr>
            <w:tcW w:w="5700" w:type="dxa"/>
            <w:vAlign w:val="bottom"/>
            <w:tcBorders>
              <w:right w:val="single" w:sz="8" w:color="00000A"/>
            </w:tcBorders>
            <w:gridSpan w:val="4"/>
          </w:tcPr>
          <w:p>
            <w:pPr>
              <w:jc w:val="right"/>
              <w:ind w:right="40"/>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2</w:t>
              </w:r>
            </w:hyperlink>
          </w:p>
        </w:tc>
      </w:tr>
      <w:tr>
        <w:trPr>
          <w:trHeight w:val="48"/>
        </w:trPr>
        <w:tc>
          <w:tcPr>
            <w:tcW w:w="40" w:type="dxa"/>
            <w:vAlign w:val="bottom"/>
            <w:tcBorders>
              <w:left w:val="single" w:sz="8" w:color="00000A"/>
              <w:bottom w:val="single" w:sz="8" w:color="00000A"/>
            </w:tcBorders>
          </w:tcPr>
          <w:p>
            <w:pPr>
              <w:spacing w:after="0"/>
              <w:rPr>
                <w:sz w:val="4"/>
                <w:szCs w:val="4"/>
                <w:color w:val="auto"/>
              </w:rPr>
            </w:pPr>
          </w:p>
        </w:tc>
        <w:tc>
          <w:tcPr>
            <w:tcW w:w="840" w:type="dxa"/>
            <w:vAlign w:val="bottom"/>
            <w:tcBorders>
              <w:top w:val="single" w:sz="8" w:color="0000EE"/>
              <w:bottom w:val="single" w:sz="8" w:color="00000A"/>
            </w:tcBorders>
          </w:tcPr>
          <w:p>
            <w:pPr>
              <w:spacing w:after="0"/>
              <w:rPr>
                <w:sz w:val="4"/>
                <w:szCs w:val="4"/>
                <w:color w:val="auto"/>
              </w:rPr>
            </w:pPr>
          </w:p>
        </w:tc>
        <w:tc>
          <w:tcPr>
            <w:tcW w:w="500" w:type="dxa"/>
            <w:vAlign w:val="bottom"/>
            <w:tcBorders>
              <w:top w:val="single" w:sz="8" w:color="0000EE"/>
              <w:bottom w:val="single" w:sz="8" w:color="00000A"/>
            </w:tcBorders>
          </w:tcPr>
          <w:p>
            <w:pPr>
              <w:spacing w:after="0"/>
              <w:rPr>
                <w:sz w:val="4"/>
                <w:szCs w:val="4"/>
                <w:color w:val="auto"/>
              </w:rPr>
            </w:pPr>
          </w:p>
        </w:tc>
        <w:tc>
          <w:tcPr>
            <w:tcW w:w="220" w:type="dxa"/>
            <w:vAlign w:val="bottom"/>
            <w:tcBorders>
              <w:top w:val="single" w:sz="8" w:color="0000EE"/>
              <w:bottom w:val="single" w:sz="8" w:color="00000A"/>
            </w:tcBorders>
          </w:tcPr>
          <w:p>
            <w:pPr>
              <w:spacing w:after="0"/>
              <w:rPr>
                <w:sz w:val="4"/>
                <w:szCs w:val="4"/>
                <w:color w:val="auto"/>
              </w:rPr>
            </w:pPr>
          </w:p>
        </w:tc>
        <w:tc>
          <w:tcPr>
            <w:tcW w:w="120" w:type="dxa"/>
            <w:vAlign w:val="bottom"/>
            <w:tcBorders>
              <w:top w:val="single" w:sz="8" w:color="0000EE"/>
              <w:bottom w:val="single" w:sz="8" w:color="00000A"/>
            </w:tcBorders>
          </w:tcPr>
          <w:p>
            <w:pPr>
              <w:spacing w:after="0"/>
              <w:rPr>
                <w:sz w:val="4"/>
                <w:szCs w:val="4"/>
                <w:color w:val="auto"/>
              </w:rPr>
            </w:pPr>
          </w:p>
        </w:tc>
        <w:tc>
          <w:tcPr>
            <w:tcW w:w="460" w:type="dxa"/>
            <w:vAlign w:val="bottom"/>
            <w:tcBorders>
              <w:top w:val="single" w:sz="8" w:color="0000EE"/>
              <w:bottom w:val="single" w:sz="8" w:color="00000A"/>
            </w:tcBorders>
          </w:tcPr>
          <w:p>
            <w:pPr>
              <w:spacing w:after="0"/>
              <w:rPr>
                <w:sz w:val="4"/>
                <w:szCs w:val="4"/>
                <w:color w:val="auto"/>
              </w:rPr>
            </w:pPr>
          </w:p>
        </w:tc>
        <w:tc>
          <w:tcPr>
            <w:tcW w:w="20" w:type="dxa"/>
            <w:vAlign w:val="bottom"/>
            <w:tcBorders>
              <w:top w:val="single" w:sz="8" w:color="0000EE"/>
              <w:bottom w:val="single" w:sz="8" w:color="00000A"/>
            </w:tcBorders>
          </w:tcPr>
          <w:p>
            <w:pPr>
              <w:spacing w:after="0"/>
              <w:rPr>
                <w:sz w:val="4"/>
                <w:szCs w:val="4"/>
                <w:color w:val="auto"/>
              </w:rPr>
            </w:pPr>
          </w:p>
        </w:tc>
        <w:tc>
          <w:tcPr>
            <w:tcW w:w="40" w:type="dxa"/>
            <w:vAlign w:val="bottom"/>
            <w:tcBorders>
              <w:top w:val="single" w:sz="8" w:color="0000EE"/>
              <w:bottom w:val="single" w:sz="8" w:color="00000A"/>
            </w:tcBorders>
          </w:tcPr>
          <w:p>
            <w:pPr>
              <w:spacing w:after="0"/>
              <w:rPr>
                <w:sz w:val="4"/>
                <w:szCs w:val="4"/>
                <w:color w:val="auto"/>
              </w:rPr>
            </w:pPr>
          </w:p>
        </w:tc>
        <w:tc>
          <w:tcPr>
            <w:tcW w:w="160" w:type="dxa"/>
            <w:vAlign w:val="bottom"/>
            <w:tcBorders>
              <w:bottom w:val="single" w:sz="8" w:color="00000A"/>
            </w:tcBorders>
          </w:tcPr>
          <w:p>
            <w:pPr>
              <w:spacing w:after="0"/>
              <w:rPr>
                <w:sz w:val="4"/>
                <w:szCs w:val="4"/>
                <w:color w:val="auto"/>
              </w:rPr>
            </w:pPr>
          </w:p>
        </w:tc>
        <w:tc>
          <w:tcPr>
            <w:tcW w:w="200" w:type="dxa"/>
            <w:vAlign w:val="bottom"/>
            <w:tcBorders>
              <w:bottom w:val="single" w:sz="8" w:color="00000A"/>
            </w:tcBorders>
          </w:tcPr>
          <w:p>
            <w:pPr>
              <w:spacing w:after="0"/>
              <w:rPr>
                <w:sz w:val="4"/>
                <w:szCs w:val="4"/>
                <w:color w:val="auto"/>
              </w:rPr>
            </w:pPr>
          </w:p>
        </w:tc>
        <w:tc>
          <w:tcPr>
            <w:tcW w:w="60" w:type="dxa"/>
            <w:vAlign w:val="bottom"/>
            <w:tcBorders>
              <w:bottom w:val="single" w:sz="8" w:color="00000A"/>
            </w:tcBorders>
          </w:tcPr>
          <w:p>
            <w:pPr>
              <w:spacing w:after="0"/>
              <w:rPr>
                <w:sz w:val="4"/>
                <w:szCs w:val="4"/>
                <w:color w:val="auto"/>
              </w:rPr>
            </w:pPr>
          </w:p>
        </w:tc>
        <w:tc>
          <w:tcPr>
            <w:tcW w:w="40" w:type="dxa"/>
            <w:vAlign w:val="bottom"/>
            <w:tcBorders>
              <w:bottom w:val="single" w:sz="8" w:color="00000A"/>
            </w:tcBorders>
          </w:tcPr>
          <w:p>
            <w:pPr>
              <w:spacing w:after="0"/>
              <w:rPr>
                <w:sz w:val="4"/>
                <w:szCs w:val="4"/>
                <w:color w:val="auto"/>
              </w:rPr>
            </w:pPr>
          </w:p>
        </w:tc>
        <w:tc>
          <w:tcPr>
            <w:tcW w:w="460" w:type="dxa"/>
            <w:vAlign w:val="bottom"/>
            <w:tcBorders>
              <w:bottom w:val="single" w:sz="8" w:color="00000A"/>
            </w:tcBorders>
          </w:tcPr>
          <w:p>
            <w:pPr>
              <w:spacing w:after="0"/>
              <w:rPr>
                <w:sz w:val="4"/>
                <w:szCs w:val="4"/>
                <w:color w:val="auto"/>
              </w:rPr>
            </w:pPr>
          </w:p>
        </w:tc>
        <w:tc>
          <w:tcPr>
            <w:tcW w:w="40" w:type="dxa"/>
            <w:vAlign w:val="bottom"/>
            <w:tcBorders>
              <w:bottom w:val="single" w:sz="8" w:color="00000A"/>
            </w:tcBorders>
          </w:tcPr>
          <w:p>
            <w:pPr>
              <w:spacing w:after="0"/>
              <w:rPr>
                <w:sz w:val="4"/>
                <w:szCs w:val="4"/>
                <w:color w:val="auto"/>
              </w:rPr>
            </w:pPr>
          </w:p>
        </w:tc>
        <w:tc>
          <w:tcPr>
            <w:tcW w:w="60" w:type="dxa"/>
            <w:vAlign w:val="bottom"/>
            <w:tcBorders>
              <w:bottom w:val="single" w:sz="8" w:color="00000A"/>
            </w:tcBorders>
          </w:tcPr>
          <w:p>
            <w:pPr>
              <w:spacing w:after="0"/>
              <w:rPr>
                <w:sz w:val="4"/>
                <w:szCs w:val="4"/>
                <w:color w:val="auto"/>
              </w:rPr>
            </w:pPr>
          </w:p>
        </w:tc>
        <w:tc>
          <w:tcPr>
            <w:tcW w:w="160" w:type="dxa"/>
            <w:vAlign w:val="bottom"/>
            <w:tcBorders>
              <w:bottom w:val="single" w:sz="8" w:color="00000A"/>
            </w:tcBorders>
          </w:tcPr>
          <w:p>
            <w:pPr>
              <w:spacing w:after="0"/>
              <w:rPr>
                <w:sz w:val="4"/>
                <w:szCs w:val="4"/>
                <w:color w:val="auto"/>
              </w:rPr>
            </w:pPr>
          </w:p>
        </w:tc>
        <w:tc>
          <w:tcPr>
            <w:tcW w:w="320" w:type="dxa"/>
            <w:vAlign w:val="bottom"/>
            <w:tcBorders>
              <w:bottom w:val="single" w:sz="8" w:color="00000A"/>
            </w:tcBorders>
          </w:tcPr>
          <w:p>
            <w:pPr>
              <w:spacing w:after="0"/>
              <w:rPr>
                <w:sz w:val="4"/>
                <w:szCs w:val="4"/>
                <w:color w:val="auto"/>
              </w:rPr>
            </w:pPr>
          </w:p>
        </w:tc>
        <w:tc>
          <w:tcPr>
            <w:tcW w:w="340" w:type="dxa"/>
            <w:vAlign w:val="bottom"/>
            <w:tcBorders>
              <w:bottom w:val="single" w:sz="8" w:color="00000A"/>
            </w:tcBorders>
          </w:tcPr>
          <w:p>
            <w:pPr>
              <w:spacing w:after="0"/>
              <w:rPr>
                <w:sz w:val="4"/>
                <w:szCs w:val="4"/>
                <w:color w:val="auto"/>
              </w:rPr>
            </w:pPr>
          </w:p>
        </w:tc>
        <w:tc>
          <w:tcPr>
            <w:tcW w:w="640" w:type="dxa"/>
            <w:vAlign w:val="bottom"/>
            <w:tcBorders>
              <w:bottom w:val="single" w:sz="8" w:color="00000A"/>
            </w:tcBorders>
          </w:tcPr>
          <w:p>
            <w:pPr>
              <w:spacing w:after="0"/>
              <w:rPr>
                <w:sz w:val="4"/>
                <w:szCs w:val="4"/>
                <w:color w:val="auto"/>
              </w:rPr>
            </w:pPr>
          </w:p>
        </w:tc>
        <w:tc>
          <w:tcPr>
            <w:tcW w:w="20" w:type="dxa"/>
            <w:vAlign w:val="bottom"/>
            <w:tcBorders>
              <w:bottom w:val="single" w:sz="8" w:color="00000A"/>
            </w:tcBorders>
          </w:tcPr>
          <w:p>
            <w:pPr>
              <w:spacing w:after="0"/>
              <w:rPr>
                <w:sz w:val="4"/>
                <w:szCs w:val="4"/>
                <w:color w:val="auto"/>
              </w:rPr>
            </w:pPr>
          </w:p>
        </w:tc>
        <w:tc>
          <w:tcPr>
            <w:tcW w:w="1000" w:type="dxa"/>
            <w:vAlign w:val="bottom"/>
            <w:tcBorders>
              <w:bottom w:val="single" w:sz="8" w:color="00000A"/>
              <w:right w:val="single" w:sz="8" w:color="00000A"/>
            </w:tcBorders>
          </w:tcPr>
          <w:p>
            <w:pPr>
              <w:spacing w:after="0"/>
              <w:rPr>
                <w:sz w:val="4"/>
                <w:szCs w:val="4"/>
                <w:color w:val="auto"/>
              </w:rPr>
            </w:pPr>
          </w:p>
        </w:tc>
        <w:tc>
          <w:tcPr>
            <w:tcW w:w="5480" w:type="dxa"/>
            <w:vAlign w:val="bottom"/>
            <w:tcBorders>
              <w:bottom w:val="single" w:sz="8" w:color="00000A"/>
            </w:tcBorders>
          </w:tcPr>
          <w:p>
            <w:pPr>
              <w:spacing w:after="0"/>
              <w:rPr>
                <w:sz w:val="4"/>
                <w:szCs w:val="4"/>
                <w:color w:val="auto"/>
              </w:rPr>
            </w:pPr>
          </w:p>
        </w:tc>
        <w:tc>
          <w:tcPr>
            <w:tcW w:w="80" w:type="dxa"/>
            <w:vAlign w:val="bottom"/>
            <w:tcBorders>
              <w:bottom w:val="single" w:sz="8" w:color="00000A"/>
            </w:tcBorders>
          </w:tcPr>
          <w:p>
            <w:pPr>
              <w:spacing w:after="0"/>
              <w:rPr>
                <w:sz w:val="4"/>
                <w:szCs w:val="4"/>
                <w:color w:val="auto"/>
              </w:rPr>
            </w:pPr>
          </w:p>
        </w:tc>
        <w:tc>
          <w:tcPr>
            <w:tcW w:w="100" w:type="dxa"/>
            <w:vAlign w:val="bottom"/>
            <w:tcBorders>
              <w:top w:val="single" w:sz="8" w:color="0000EE"/>
              <w:bottom w:val="single" w:sz="8" w:color="00000A"/>
            </w:tcBorders>
          </w:tcPr>
          <w:p>
            <w:pPr>
              <w:spacing w:after="0"/>
              <w:rPr>
                <w:sz w:val="4"/>
                <w:szCs w:val="4"/>
                <w:color w:val="auto"/>
              </w:rPr>
            </w:pPr>
          </w:p>
        </w:tc>
        <w:tc>
          <w:tcPr>
            <w:tcW w:w="40" w:type="dxa"/>
            <w:vAlign w:val="bottom"/>
            <w:tcBorders>
              <w:bottom w:val="single" w:sz="8" w:color="00000A"/>
              <w:right w:val="single" w:sz="8" w:color="00000A"/>
            </w:tcBorders>
          </w:tcPr>
          <w:p>
            <w:pPr>
              <w:spacing w:after="0"/>
              <w:rPr>
                <w:sz w:val="4"/>
                <w:szCs w:val="4"/>
                <w:color w:val="auto"/>
              </w:rPr>
            </w:pPr>
          </w:p>
        </w:tc>
      </w:tr>
      <w:tr>
        <w:trPr>
          <w:trHeight w:val="196"/>
        </w:trPr>
        <w:tc>
          <w:tcPr>
            <w:tcW w:w="40" w:type="dxa"/>
            <w:vAlign w:val="bottom"/>
            <w:tcBorders>
              <w:left w:val="single" w:sz="8" w:color="00000A"/>
            </w:tcBorders>
          </w:tcPr>
          <w:p>
            <w:pPr>
              <w:spacing w:after="0"/>
              <w:rPr>
                <w:sz w:val="17"/>
                <w:szCs w:val="17"/>
                <w:color w:val="auto"/>
              </w:rPr>
            </w:pPr>
          </w:p>
        </w:tc>
        <w:tc>
          <w:tcPr>
            <w:tcW w:w="4700" w:type="dxa"/>
            <w:vAlign w:val="bottom"/>
            <w:gridSpan w:val="19"/>
          </w:tcPr>
          <w:p>
            <w:pPr>
              <w:spacing w:after="0" w:line="196" w:lineRule="exact"/>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RISK FACTORS</w:t>
              </w:r>
            </w:hyperlink>
          </w:p>
        </w:tc>
        <w:tc>
          <w:tcPr>
            <w:tcW w:w="1000" w:type="dxa"/>
            <w:vAlign w:val="bottom"/>
            <w:tcBorders>
              <w:right w:val="single" w:sz="8" w:color="00000A"/>
            </w:tcBorders>
          </w:tcPr>
          <w:p>
            <w:pPr>
              <w:spacing w:after="0"/>
              <w:rPr>
                <w:sz w:val="17"/>
                <w:szCs w:val="17"/>
                <w:color w:val="auto"/>
              </w:rPr>
            </w:pPr>
          </w:p>
        </w:tc>
        <w:tc>
          <w:tcPr>
            <w:tcW w:w="5700" w:type="dxa"/>
            <w:vAlign w:val="bottom"/>
            <w:tcBorders>
              <w:right w:val="single" w:sz="8" w:color="00000A"/>
            </w:tcBorders>
            <w:gridSpan w:val="4"/>
          </w:tcPr>
          <w:p>
            <w:pPr>
              <w:jc w:val="right"/>
              <w:ind w:right="40"/>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3</w:t>
              </w:r>
            </w:hyperlink>
          </w:p>
        </w:tc>
      </w:tr>
      <w:tr>
        <w:trPr>
          <w:trHeight w:val="48"/>
        </w:trPr>
        <w:tc>
          <w:tcPr>
            <w:tcW w:w="40" w:type="dxa"/>
            <w:vAlign w:val="bottom"/>
            <w:tcBorders>
              <w:left w:val="single" w:sz="8" w:color="00000A"/>
              <w:bottom w:val="single" w:sz="8" w:color="00000A"/>
            </w:tcBorders>
          </w:tcPr>
          <w:p>
            <w:pPr>
              <w:spacing w:after="0"/>
              <w:rPr>
                <w:sz w:val="4"/>
                <w:szCs w:val="4"/>
                <w:color w:val="auto"/>
              </w:rPr>
            </w:pPr>
          </w:p>
        </w:tc>
        <w:tc>
          <w:tcPr>
            <w:tcW w:w="840" w:type="dxa"/>
            <w:vAlign w:val="bottom"/>
            <w:tcBorders>
              <w:top w:val="single" w:sz="8" w:color="0000EE"/>
              <w:bottom w:val="single" w:sz="8" w:color="00000A"/>
            </w:tcBorders>
          </w:tcPr>
          <w:p>
            <w:pPr>
              <w:spacing w:after="0"/>
              <w:rPr>
                <w:sz w:val="4"/>
                <w:szCs w:val="4"/>
                <w:color w:val="auto"/>
              </w:rPr>
            </w:pPr>
          </w:p>
        </w:tc>
        <w:tc>
          <w:tcPr>
            <w:tcW w:w="500" w:type="dxa"/>
            <w:vAlign w:val="bottom"/>
            <w:tcBorders>
              <w:top w:val="single" w:sz="8" w:color="0000EE"/>
              <w:bottom w:val="single" w:sz="8" w:color="00000A"/>
            </w:tcBorders>
          </w:tcPr>
          <w:p>
            <w:pPr>
              <w:spacing w:after="0"/>
              <w:rPr>
                <w:sz w:val="4"/>
                <w:szCs w:val="4"/>
                <w:color w:val="auto"/>
              </w:rPr>
            </w:pPr>
          </w:p>
        </w:tc>
        <w:tc>
          <w:tcPr>
            <w:tcW w:w="220" w:type="dxa"/>
            <w:vAlign w:val="bottom"/>
            <w:tcBorders>
              <w:bottom w:val="single" w:sz="8" w:color="00000A"/>
            </w:tcBorders>
          </w:tcPr>
          <w:p>
            <w:pPr>
              <w:spacing w:after="0"/>
              <w:rPr>
                <w:sz w:val="4"/>
                <w:szCs w:val="4"/>
                <w:color w:val="auto"/>
              </w:rPr>
            </w:pPr>
          </w:p>
        </w:tc>
        <w:tc>
          <w:tcPr>
            <w:tcW w:w="120" w:type="dxa"/>
            <w:vAlign w:val="bottom"/>
            <w:tcBorders>
              <w:bottom w:val="single" w:sz="8" w:color="00000A"/>
            </w:tcBorders>
          </w:tcPr>
          <w:p>
            <w:pPr>
              <w:spacing w:after="0"/>
              <w:rPr>
                <w:sz w:val="4"/>
                <w:szCs w:val="4"/>
                <w:color w:val="auto"/>
              </w:rPr>
            </w:pPr>
          </w:p>
        </w:tc>
        <w:tc>
          <w:tcPr>
            <w:tcW w:w="460" w:type="dxa"/>
            <w:vAlign w:val="bottom"/>
            <w:tcBorders>
              <w:bottom w:val="single" w:sz="8" w:color="00000A"/>
            </w:tcBorders>
          </w:tcPr>
          <w:p>
            <w:pPr>
              <w:spacing w:after="0"/>
              <w:rPr>
                <w:sz w:val="4"/>
                <w:szCs w:val="4"/>
                <w:color w:val="auto"/>
              </w:rPr>
            </w:pPr>
          </w:p>
        </w:tc>
        <w:tc>
          <w:tcPr>
            <w:tcW w:w="20" w:type="dxa"/>
            <w:vAlign w:val="bottom"/>
            <w:tcBorders>
              <w:bottom w:val="single" w:sz="8" w:color="00000A"/>
            </w:tcBorders>
          </w:tcPr>
          <w:p>
            <w:pPr>
              <w:spacing w:after="0"/>
              <w:rPr>
                <w:sz w:val="4"/>
                <w:szCs w:val="4"/>
                <w:color w:val="auto"/>
              </w:rPr>
            </w:pPr>
          </w:p>
        </w:tc>
        <w:tc>
          <w:tcPr>
            <w:tcW w:w="40" w:type="dxa"/>
            <w:vAlign w:val="bottom"/>
            <w:tcBorders>
              <w:bottom w:val="single" w:sz="8" w:color="00000A"/>
            </w:tcBorders>
          </w:tcPr>
          <w:p>
            <w:pPr>
              <w:spacing w:after="0"/>
              <w:rPr>
                <w:sz w:val="4"/>
                <w:szCs w:val="4"/>
                <w:color w:val="auto"/>
              </w:rPr>
            </w:pPr>
          </w:p>
        </w:tc>
        <w:tc>
          <w:tcPr>
            <w:tcW w:w="160" w:type="dxa"/>
            <w:vAlign w:val="bottom"/>
            <w:tcBorders>
              <w:bottom w:val="single" w:sz="8" w:color="00000A"/>
            </w:tcBorders>
          </w:tcPr>
          <w:p>
            <w:pPr>
              <w:spacing w:after="0"/>
              <w:rPr>
                <w:sz w:val="4"/>
                <w:szCs w:val="4"/>
                <w:color w:val="auto"/>
              </w:rPr>
            </w:pPr>
          </w:p>
        </w:tc>
        <w:tc>
          <w:tcPr>
            <w:tcW w:w="200" w:type="dxa"/>
            <w:vAlign w:val="bottom"/>
            <w:tcBorders>
              <w:bottom w:val="single" w:sz="8" w:color="00000A"/>
            </w:tcBorders>
          </w:tcPr>
          <w:p>
            <w:pPr>
              <w:spacing w:after="0"/>
              <w:rPr>
                <w:sz w:val="4"/>
                <w:szCs w:val="4"/>
                <w:color w:val="auto"/>
              </w:rPr>
            </w:pPr>
          </w:p>
        </w:tc>
        <w:tc>
          <w:tcPr>
            <w:tcW w:w="60" w:type="dxa"/>
            <w:vAlign w:val="bottom"/>
            <w:tcBorders>
              <w:bottom w:val="single" w:sz="8" w:color="00000A"/>
            </w:tcBorders>
          </w:tcPr>
          <w:p>
            <w:pPr>
              <w:spacing w:after="0"/>
              <w:rPr>
                <w:sz w:val="4"/>
                <w:szCs w:val="4"/>
                <w:color w:val="auto"/>
              </w:rPr>
            </w:pPr>
          </w:p>
        </w:tc>
        <w:tc>
          <w:tcPr>
            <w:tcW w:w="40" w:type="dxa"/>
            <w:vAlign w:val="bottom"/>
            <w:tcBorders>
              <w:bottom w:val="single" w:sz="8" w:color="00000A"/>
            </w:tcBorders>
          </w:tcPr>
          <w:p>
            <w:pPr>
              <w:spacing w:after="0"/>
              <w:rPr>
                <w:sz w:val="4"/>
                <w:szCs w:val="4"/>
                <w:color w:val="auto"/>
              </w:rPr>
            </w:pPr>
          </w:p>
        </w:tc>
        <w:tc>
          <w:tcPr>
            <w:tcW w:w="460" w:type="dxa"/>
            <w:vAlign w:val="bottom"/>
            <w:tcBorders>
              <w:bottom w:val="single" w:sz="8" w:color="00000A"/>
            </w:tcBorders>
          </w:tcPr>
          <w:p>
            <w:pPr>
              <w:spacing w:after="0"/>
              <w:rPr>
                <w:sz w:val="4"/>
                <w:szCs w:val="4"/>
                <w:color w:val="auto"/>
              </w:rPr>
            </w:pPr>
          </w:p>
        </w:tc>
        <w:tc>
          <w:tcPr>
            <w:tcW w:w="40" w:type="dxa"/>
            <w:vAlign w:val="bottom"/>
            <w:tcBorders>
              <w:bottom w:val="single" w:sz="8" w:color="00000A"/>
            </w:tcBorders>
          </w:tcPr>
          <w:p>
            <w:pPr>
              <w:spacing w:after="0"/>
              <w:rPr>
                <w:sz w:val="4"/>
                <w:szCs w:val="4"/>
                <w:color w:val="auto"/>
              </w:rPr>
            </w:pPr>
          </w:p>
        </w:tc>
        <w:tc>
          <w:tcPr>
            <w:tcW w:w="60" w:type="dxa"/>
            <w:vAlign w:val="bottom"/>
            <w:tcBorders>
              <w:bottom w:val="single" w:sz="8" w:color="00000A"/>
            </w:tcBorders>
          </w:tcPr>
          <w:p>
            <w:pPr>
              <w:spacing w:after="0"/>
              <w:rPr>
                <w:sz w:val="4"/>
                <w:szCs w:val="4"/>
                <w:color w:val="auto"/>
              </w:rPr>
            </w:pPr>
          </w:p>
        </w:tc>
        <w:tc>
          <w:tcPr>
            <w:tcW w:w="160" w:type="dxa"/>
            <w:vAlign w:val="bottom"/>
            <w:tcBorders>
              <w:bottom w:val="single" w:sz="8" w:color="00000A"/>
            </w:tcBorders>
          </w:tcPr>
          <w:p>
            <w:pPr>
              <w:spacing w:after="0"/>
              <w:rPr>
                <w:sz w:val="4"/>
                <w:szCs w:val="4"/>
                <w:color w:val="auto"/>
              </w:rPr>
            </w:pPr>
          </w:p>
        </w:tc>
        <w:tc>
          <w:tcPr>
            <w:tcW w:w="320" w:type="dxa"/>
            <w:vAlign w:val="bottom"/>
            <w:tcBorders>
              <w:bottom w:val="single" w:sz="8" w:color="00000A"/>
            </w:tcBorders>
          </w:tcPr>
          <w:p>
            <w:pPr>
              <w:spacing w:after="0"/>
              <w:rPr>
                <w:sz w:val="4"/>
                <w:szCs w:val="4"/>
                <w:color w:val="auto"/>
              </w:rPr>
            </w:pPr>
          </w:p>
        </w:tc>
        <w:tc>
          <w:tcPr>
            <w:tcW w:w="340" w:type="dxa"/>
            <w:vAlign w:val="bottom"/>
            <w:tcBorders>
              <w:bottom w:val="single" w:sz="8" w:color="00000A"/>
            </w:tcBorders>
          </w:tcPr>
          <w:p>
            <w:pPr>
              <w:spacing w:after="0"/>
              <w:rPr>
                <w:sz w:val="4"/>
                <w:szCs w:val="4"/>
                <w:color w:val="auto"/>
              </w:rPr>
            </w:pPr>
          </w:p>
        </w:tc>
        <w:tc>
          <w:tcPr>
            <w:tcW w:w="640" w:type="dxa"/>
            <w:vAlign w:val="bottom"/>
            <w:tcBorders>
              <w:bottom w:val="single" w:sz="8" w:color="00000A"/>
            </w:tcBorders>
          </w:tcPr>
          <w:p>
            <w:pPr>
              <w:spacing w:after="0"/>
              <w:rPr>
                <w:sz w:val="4"/>
                <w:szCs w:val="4"/>
                <w:color w:val="auto"/>
              </w:rPr>
            </w:pPr>
          </w:p>
        </w:tc>
        <w:tc>
          <w:tcPr>
            <w:tcW w:w="20" w:type="dxa"/>
            <w:vAlign w:val="bottom"/>
            <w:tcBorders>
              <w:bottom w:val="single" w:sz="8" w:color="00000A"/>
            </w:tcBorders>
          </w:tcPr>
          <w:p>
            <w:pPr>
              <w:spacing w:after="0"/>
              <w:rPr>
                <w:sz w:val="4"/>
                <w:szCs w:val="4"/>
                <w:color w:val="auto"/>
              </w:rPr>
            </w:pPr>
          </w:p>
        </w:tc>
        <w:tc>
          <w:tcPr>
            <w:tcW w:w="1000" w:type="dxa"/>
            <w:vAlign w:val="bottom"/>
            <w:tcBorders>
              <w:bottom w:val="single" w:sz="8" w:color="00000A"/>
              <w:right w:val="single" w:sz="8" w:color="00000A"/>
            </w:tcBorders>
          </w:tcPr>
          <w:p>
            <w:pPr>
              <w:spacing w:after="0"/>
              <w:rPr>
                <w:sz w:val="4"/>
                <w:szCs w:val="4"/>
                <w:color w:val="auto"/>
              </w:rPr>
            </w:pPr>
          </w:p>
        </w:tc>
        <w:tc>
          <w:tcPr>
            <w:tcW w:w="5480" w:type="dxa"/>
            <w:vAlign w:val="bottom"/>
            <w:tcBorders>
              <w:bottom w:val="single" w:sz="8" w:color="00000A"/>
            </w:tcBorders>
          </w:tcPr>
          <w:p>
            <w:pPr>
              <w:spacing w:after="0"/>
              <w:rPr>
                <w:sz w:val="4"/>
                <w:szCs w:val="4"/>
                <w:color w:val="auto"/>
              </w:rPr>
            </w:pPr>
          </w:p>
        </w:tc>
        <w:tc>
          <w:tcPr>
            <w:tcW w:w="80" w:type="dxa"/>
            <w:vAlign w:val="bottom"/>
            <w:tcBorders>
              <w:bottom w:val="single" w:sz="8" w:color="00000A"/>
            </w:tcBorders>
          </w:tcPr>
          <w:p>
            <w:pPr>
              <w:spacing w:after="0"/>
              <w:rPr>
                <w:sz w:val="4"/>
                <w:szCs w:val="4"/>
                <w:color w:val="auto"/>
              </w:rPr>
            </w:pPr>
          </w:p>
        </w:tc>
        <w:tc>
          <w:tcPr>
            <w:tcW w:w="100" w:type="dxa"/>
            <w:vAlign w:val="bottom"/>
            <w:tcBorders>
              <w:top w:val="single" w:sz="8" w:color="0000EE"/>
              <w:bottom w:val="single" w:sz="8" w:color="00000A"/>
            </w:tcBorders>
          </w:tcPr>
          <w:p>
            <w:pPr>
              <w:spacing w:after="0"/>
              <w:rPr>
                <w:sz w:val="4"/>
                <w:szCs w:val="4"/>
                <w:color w:val="auto"/>
              </w:rPr>
            </w:pPr>
          </w:p>
        </w:tc>
        <w:tc>
          <w:tcPr>
            <w:tcW w:w="40" w:type="dxa"/>
            <w:vAlign w:val="bottom"/>
            <w:tcBorders>
              <w:bottom w:val="single" w:sz="8" w:color="00000A"/>
              <w:right w:val="single" w:sz="8" w:color="00000A"/>
            </w:tcBorders>
          </w:tcPr>
          <w:p>
            <w:pPr>
              <w:spacing w:after="0"/>
              <w:rPr>
                <w:sz w:val="4"/>
                <w:szCs w:val="4"/>
                <w:color w:val="auto"/>
              </w:rPr>
            </w:pPr>
          </w:p>
        </w:tc>
      </w:tr>
      <w:tr>
        <w:trPr>
          <w:trHeight w:val="196"/>
        </w:trPr>
        <w:tc>
          <w:tcPr>
            <w:tcW w:w="40" w:type="dxa"/>
            <w:vAlign w:val="bottom"/>
            <w:tcBorders>
              <w:left w:val="single" w:sz="8" w:color="00000A"/>
            </w:tcBorders>
          </w:tcPr>
          <w:p>
            <w:pPr>
              <w:spacing w:after="0"/>
              <w:rPr>
                <w:sz w:val="17"/>
                <w:szCs w:val="17"/>
                <w:color w:val="auto"/>
              </w:rPr>
            </w:pPr>
          </w:p>
        </w:tc>
        <w:tc>
          <w:tcPr>
            <w:tcW w:w="4700" w:type="dxa"/>
            <w:vAlign w:val="bottom"/>
            <w:gridSpan w:val="19"/>
          </w:tcPr>
          <w:p>
            <w:pPr>
              <w:spacing w:after="0" w:line="196" w:lineRule="exact"/>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FORWARD-LOOKING STATEMENTS</w:t>
              </w:r>
            </w:hyperlink>
          </w:p>
        </w:tc>
        <w:tc>
          <w:tcPr>
            <w:tcW w:w="1000" w:type="dxa"/>
            <w:vAlign w:val="bottom"/>
            <w:tcBorders>
              <w:right w:val="single" w:sz="8" w:color="00000A"/>
            </w:tcBorders>
          </w:tcPr>
          <w:p>
            <w:pPr>
              <w:spacing w:after="0"/>
              <w:rPr>
                <w:sz w:val="17"/>
                <w:szCs w:val="17"/>
                <w:color w:val="auto"/>
              </w:rPr>
            </w:pPr>
          </w:p>
        </w:tc>
        <w:tc>
          <w:tcPr>
            <w:tcW w:w="5700" w:type="dxa"/>
            <w:vAlign w:val="bottom"/>
            <w:tcBorders>
              <w:right w:val="single" w:sz="8" w:color="00000A"/>
            </w:tcBorders>
            <w:gridSpan w:val="4"/>
          </w:tcPr>
          <w:p>
            <w:pPr>
              <w:jc w:val="right"/>
              <w:ind w:right="40"/>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3</w:t>
              </w:r>
            </w:hyperlink>
          </w:p>
        </w:tc>
      </w:tr>
      <w:tr>
        <w:trPr>
          <w:trHeight w:val="48"/>
        </w:trPr>
        <w:tc>
          <w:tcPr>
            <w:tcW w:w="40" w:type="dxa"/>
            <w:vAlign w:val="bottom"/>
            <w:tcBorders>
              <w:left w:val="single" w:sz="8" w:color="00000A"/>
              <w:bottom w:val="single" w:sz="8" w:color="00000A"/>
            </w:tcBorders>
          </w:tcPr>
          <w:p>
            <w:pPr>
              <w:spacing w:after="0"/>
              <w:rPr>
                <w:sz w:val="4"/>
                <w:szCs w:val="4"/>
                <w:color w:val="auto"/>
              </w:rPr>
            </w:pPr>
          </w:p>
        </w:tc>
        <w:tc>
          <w:tcPr>
            <w:tcW w:w="840" w:type="dxa"/>
            <w:vAlign w:val="bottom"/>
            <w:tcBorders>
              <w:top w:val="single" w:sz="8" w:color="0000EE"/>
              <w:bottom w:val="single" w:sz="8" w:color="00000A"/>
            </w:tcBorders>
          </w:tcPr>
          <w:p>
            <w:pPr>
              <w:spacing w:after="0"/>
              <w:rPr>
                <w:sz w:val="4"/>
                <w:szCs w:val="4"/>
                <w:color w:val="auto"/>
              </w:rPr>
            </w:pPr>
          </w:p>
        </w:tc>
        <w:tc>
          <w:tcPr>
            <w:tcW w:w="500" w:type="dxa"/>
            <w:vAlign w:val="bottom"/>
            <w:tcBorders>
              <w:top w:val="single" w:sz="8" w:color="0000EE"/>
              <w:bottom w:val="single" w:sz="8" w:color="00000A"/>
            </w:tcBorders>
          </w:tcPr>
          <w:p>
            <w:pPr>
              <w:spacing w:after="0"/>
              <w:rPr>
                <w:sz w:val="4"/>
                <w:szCs w:val="4"/>
                <w:color w:val="auto"/>
              </w:rPr>
            </w:pPr>
          </w:p>
        </w:tc>
        <w:tc>
          <w:tcPr>
            <w:tcW w:w="220" w:type="dxa"/>
            <w:vAlign w:val="bottom"/>
            <w:tcBorders>
              <w:top w:val="single" w:sz="8" w:color="0000EE"/>
              <w:bottom w:val="single" w:sz="8" w:color="00000A"/>
            </w:tcBorders>
          </w:tcPr>
          <w:p>
            <w:pPr>
              <w:spacing w:after="0"/>
              <w:rPr>
                <w:sz w:val="4"/>
                <w:szCs w:val="4"/>
                <w:color w:val="auto"/>
              </w:rPr>
            </w:pPr>
          </w:p>
        </w:tc>
        <w:tc>
          <w:tcPr>
            <w:tcW w:w="120" w:type="dxa"/>
            <w:vAlign w:val="bottom"/>
            <w:tcBorders>
              <w:top w:val="single" w:sz="8" w:color="0000EE"/>
              <w:bottom w:val="single" w:sz="8" w:color="00000A"/>
            </w:tcBorders>
          </w:tcPr>
          <w:p>
            <w:pPr>
              <w:spacing w:after="0"/>
              <w:rPr>
                <w:sz w:val="4"/>
                <w:szCs w:val="4"/>
                <w:color w:val="auto"/>
              </w:rPr>
            </w:pPr>
          </w:p>
        </w:tc>
        <w:tc>
          <w:tcPr>
            <w:tcW w:w="460" w:type="dxa"/>
            <w:vAlign w:val="bottom"/>
            <w:tcBorders>
              <w:top w:val="single" w:sz="8" w:color="0000EE"/>
              <w:bottom w:val="single" w:sz="8" w:color="00000A"/>
            </w:tcBorders>
          </w:tcPr>
          <w:p>
            <w:pPr>
              <w:spacing w:after="0"/>
              <w:rPr>
                <w:sz w:val="4"/>
                <w:szCs w:val="4"/>
                <w:color w:val="auto"/>
              </w:rPr>
            </w:pPr>
          </w:p>
        </w:tc>
        <w:tc>
          <w:tcPr>
            <w:tcW w:w="20" w:type="dxa"/>
            <w:vAlign w:val="bottom"/>
            <w:tcBorders>
              <w:top w:val="single" w:sz="8" w:color="0000EE"/>
              <w:bottom w:val="single" w:sz="8" w:color="00000A"/>
            </w:tcBorders>
          </w:tcPr>
          <w:p>
            <w:pPr>
              <w:spacing w:after="0"/>
              <w:rPr>
                <w:sz w:val="4"/>
                <w:szCs w:val="4"/>
                <w:color w:val="auto"/>
              </w:rPr>
            </w:pPr>
          </w:p>
        </w:tc>
        <w:tc>
          <w:tcPr>
            <w:tcW w:w="40" w:type="dxa"/>
            <w:vAlign w:val="bottom"/>
            <w:tcBorders>
              <w:top w:val="single" w:sz="8" w:color="0000EE"/>
              <w:bottom w:val="single" w:sz="8" w:color="00000A"/>
            </w:tcBorders>
          </w:tcPr>
          <w:p>
            <w:pPr>
              <w:spacing w:after="0"/>
              <w:rPr>
                <w:sz w:val="4"/>
                <w:szCs w:val="4"/>
                <w:color w:val="auto"/>
              </w:rPr>
            </w:pPr>
          </w:p>
        </w:tc>
        <w:tc>
          <w:tcPr>
            <w:tcW w:w="160" w:type="dxa"/>
            <w:vAlign w:val="bottom"/>
            <w:tcBorders>
              <w:top w:val="single" w:sz="8" w:color="0000EE"/>
              <w:bottom w:val="single" w:sz="8" w:color="00000A"/>
            </w:tcBorders>
          </w:tcPr>
          <w:p>
            <w:pPr>
              <w:spacing w:after="0"/>
              <w:rPr>
                <w:sz w:val="4"/>
                <w:szCs w:val="4"/>
                <w:color w:val="auto"/>
              </w:rPr>
            </w:pPr>
          </w:p>
        </w:tc>
        <w:tc>
          <w:tcPr>
            <w:tcW w:w="200" w:type="dxa"/>
            <w:vAlign w:val="bottom"/>
            <w:tcBorders>
              <w:top w:val="single" w:sz="8" w:color="0000EE"/>
              <w:bottom w:val="single" w:sz="8" w:color="00000A"/>
            </w:tcBorders>
          </w:tcPr>
          <w:p>
            <w:pPr>
              <w:spacing w:after="0"/>
              <w:rPr>
                <w:sz w:val="4"/>
                <w:szCs w:val="4"/>
                <w:color w:val="auto"/>
              </w:rPr>
            </w:pPr>
          </w:p>
        </w:tc>
        <w:tc>
          <w:tcPr>
            <w:tcW w:w="60" w:type="dxa"/>
            <w:vAlign w:val="bottom"/>
            <w:tcBorders>
              <w:top w:val="single" w:sz="8" w:color="0000EE"/>
              <w:bottom w:val="single" w:sz="8" w:color="00000A"/>
            </w:tcBorders>
          </w:tcPr>
          <w:p>
            <w:pPr>
              <w:spacing w:after="0"/>
              <w:rPr>
                <w:sz w:val="4"/>
                <w:szCs w:val="4"/>
                <w:color w:val="auto"/>
              </w:rPr>
            </w:pPr>
          </w:p>
        </w:tc>
        <w:tc>
          <w:tcPr>
            <w:tcW w:w="40" w:type="dxa"/>
            <w:vAlign w:val="bottom"/>
            <w:tcBorders>
              <w:top w:val="single" w:sz="8" w:color="0000EE"/>
              <w:bottom w:val="single" w:sz="8" w:color="00000A"/>
            </w:tcBorders>
          </w:tcPr>
          <w:p>
            <w:pPr>
              <w:spacing w:after="0"/>
              <w:rPr>
                <w:sz w:val="4"/>
                <w:szCs w:val="4"/>
                <w:color w:val="auto"/>
              </w:rPr>
            </w:pPr>
          </w:p>
        </w:tc>
        <w:tc>
          <w:tcPr>
            <w:tcW w:w="460" w:type="dxa"/>
            <w:vAlign w:val="bottom"/>
            <w:tcBorders>
              <w:top w:val="single" w:sz="8" w:color="0000EE"/>
              <w:bottom w:val="single" w:sz="8" w:color="00000A"/>
            </w:tcBorders>
          </w:tcPr>
          <w:p>
            <w:pPr>
              <w:spacing w:after="0"/>
              <w:rPr>
                <w:sz w:val="4"/>
                <w:szCs w:val="4"/>
                <w:color w:val="auto"/>
              </w:rPr>
            </w:pPr>
          </w:p>
        </w:tc>
        <w:tc>
          <w:tcPr>
            <w:tcW w:w="40" w:type="dxa"/>
            <w:vAlign w:val="bottom"/>
            <w:tcBorders>
              <w:bottom w:val="single" w:sz="8" w:color="00000A"/>
            </w:tcBorders>
          </w:tcPr>
          <w:p>
            <w:pPr>
              <w:spacing w:after="0"/>
              <w:rPr>
                <w:sz w:val="4"/>
                <w:szCs w:val="4"/>
                <w:color w:val="auto"/>
              </w:rPr>
            </w:pPr>
          </w:p>
        </w:tc>
        <w:tc>
          <w:tcPr>
            <w:tcW w:w="60" w:type="dxa"/>
            <w:vAlign w:val="bottom"/>
            <w:tcBorders>
              <w:bottom w:val="single" w:sz="8" w:color="00000A"/>
            </w:tcBorders>
          </w:tcPr>
          <w:p>
            <w:pPr>
              <w:spacing w:after="0"/>
              <w:rPr>
                <w:sz w:val="4"/>
                <w:szCs w:val="4"/>
                <w:color w:val="auto"/>
              </w:rPr>
            </w:pPr>
          </w:p>
        </w:tc>
        <w:tc>
          <w:tcPr>
            <w:tcW w:w="160" w:type="dxa"/>
            <w:vAlign w:val="bottom"/>
            <w:tcBorders>
              <w:bottom w:val="single" w:sz="8" w:color="00000A"/>
            </w:tcBorders>
          </w:tcPr>
          <w:p>
            <w:pPr>
              <w:spacing w:after="0"/>
              <w:rPr>
                <w:sz w:val="4"/>
                <w:szCs w:val="4"/>
                <w:color w:val="auto"/>
              </w:rPr>
            </w:pPr>
          </w:p>
        </w:tc>
        <w:tc>
          <w:tcPr>
            <w:tcW w:w="320" w:type="dxa"/>
            <w:vAlign w:val="bottom"/>
            <w:tcBorders>
              <w:bottom w:val="single" w:sz="8" w:color="00000A"/>
            </w:tcBorders>
          </w:tcPr>
          <w:p>
            <w:pPr>
              <w:spacing w:after="0"/>
              <w:rPr>
                <w:sz w:val="4"/>
                <w:szCs w:val="4"/>
                <w:color w:val="auto"/>
              </w:rPr>
            </w:pPr>
          </w:p>
        </w:tc>
        <w:tc>
          <w:tcPr>
            <w:tcW w:w="340" w:type="dxa"/>
            <w:vAlign w:val="bottom"/>
            <w:tcBorders>
              <w:bottom w:val="single" w:sz="8" w:color="00000A"/>
            </w:tcBorders>
          </w:tcPr>
          <w:p>
            <w:pPr>
              <w:spacing w:after="0"/>
              <w:rPr>
                <w:sz w:val="4"/>
                <w:szCs w:val="4"/>
                <w:color w:val="auto"/>
              </w:rPr>
            </w:pPr>
          </w:p>
        </w:tc>
        <w:tc>
          <w:tcPr>
            <w:tcW w:w="640" w:type="dxa"/>
            <w:vAlign w:val="bottom"/>
            <w:tcBorders>
              <w:bottom w:val="single" w:sz="8" w:color="00000A"/>
            </w:tcBorders>
          </w:tcPr>
          <w:p>
            <w:pPr>
              <w:spacing w:after="0"/>
              <w:rPr>
                <w:sz w:val="4"/>
                <w:szCs w:val="4"/>
                <w:color w:val="auto"/>
              </w:rPr>
            </w:pPr>
          </w:p>
        </w:tc>
        <w:tc>
          <w:tcPr>
            <w:tcW w:w="20" w:type="dxa"/>
            <w:vAlign w:val="bottom"/>
            <w:tcBorders>
              <w:bottom w:val="single" w:sz="8" w:color="00000A"/>
            </w:tcBorders>
          </w:tcPr>
          <w:p>
            <w:pPr>
              <w:spacing w:after="0"/>
              <w:rPr>
                <w:sz w:val="4"/>
                <w:szCs w:val="4"/>
                <w:color w:val="auto"/>
              </w:rPr>
            </w:pPr>
          </w:p>
        </w:tc>
        <w:tc>
          <w:tcPr>
            <w:tcW w:w="1000" w:type="dxa"/>
            <w:vAlign w:val="bottom"/>
            <w:tcBorders>
              <w:bottom w:val="single" w:sz="8" w:color="00000A"/>
              <w:right w:val="single" w:sz="8" w:color="00000A"/>
            </w:tcBorders>
          </w:tcPr>
          <w:p>
            <w:pPr>
              <w:spacing w:after="0"/>
              <w:rPr>
                <w:sz w:val="4"/>
                <w:szCs w:val="4"/>
                <w:color w:val="auto"/>
              </w:rPr>
            </w:pPr>
          </w:p>
        </w:tc>
        <w:tc>
          <w:tcPr>
            <w:tcW w:w="5480" w:type="dxa"/>
            <w:vAlign w:val="bottom"/>
            <w:tcBorders>
              <w:bottom w:val="single" w:sz="8" w:color="00000A"/>
            </w:tcBorders>
          </w:tcPr>
          <w:p>
            <w:pPr>
              <w:spacing w:after="0"/>
              <w:rPr>
                <w:sz w:val="4"/>
                <w:szCs w:val="4"/>
                <w:color w:val="auto"/>
              </w:rPr>
            </w:pPr>
          </w:p>
        </w:tc>
        <w:tc>
          <w:tcPr>
            <w:tcW w:w="80" w:type="dxa"/>
            <w:vAlign w:val="bottom"/>
            <w:tcBorders>
              <w:bottom w:val="single" w:sz="8" w:color="00000A"/>
            </w:tcBorders>
          </w:tcPr>
          <w:p>
            <w:pPr>
              <w:spacing w:after="0"/>
              <w:rPr>
                <w:sz w:val="4"/>
                <w:szCs w:val="4"/>
                <w:color w:val="auto"/>
              </w:rPr>
            </w:pPr>
          </w:p>
        </w:tc>
        <w:tc>
          <w:tcPr>
            <w:tcW w:w="100" w:type="dxa"/>
            <w:vAlign w:val="bottom"/>
            <w:tcBorders>
              <w:top w:val="single" w:sz="8" w:color="0000EE"/>
              <w:bottom w:val="single" w:sz="8" w:color="00000A"/>
            </w:tcBorders>
          </w:tcPr>
          <w:p>
            <w:pPr>
              <w:spacing w:after="0"/>
              <w:rPr>
                <w:sz w:val="4"/>
                <w:szCs w:val="4"/>
                <w:color w:val="auto"/>
              </w:rPr>
            </w:pPr>
          </w:p>
        </w:tc>
        <w:tc>
          <w:tcPr>
            <w:tcW w:w="40" w:type="dxa"/>
            <w:vAlign w:val="bottom"/>
            <w:tcBorders>
              <w:bottom w:val="single" w:sz="8" w:color="00000A"/>
              <w:right w:val="single" w:sz="8" w:color="00000A"/>
            </w:tcBorders>
          </w:tcPr>
          <w:p>
            <w:pPr>
              <w:spacing w:after="0"/>
              <w:rPr>
                <w:sz w:val="4"/>
                <w:szCs w:val="4"/>
                <w:color w:val="auto"/>
              </w:rPr>
            </w:pPr>
          </w:p>
        </w:tc>
      </w:tr>
      <w:tr>
        <w:trPr>
          <w:trHeight w:val="196"/>
        </w:trPr>
        <w:tc>
          <w:tcPr>
            <w:tcW w:w="40" w:type="dxa"/>
            <w:vAlign w:val="bottom"/>
            <w:tcBorders>
              <w:left w:val="single" w:sz="8" w:color="00000A"/>
            </w:tcBorders>
          </w:tcPr>
          <w:p>
            <w:pPr>
              <w:spacing w:after="0"/>
              <w:rPr>
                <w:sz w:val="17"/>
                <w:szCs w:val="17"/>
                <w:color w:val="auto"/>
              </w:rPr>
            </w:pPr>
          </w:p>
        </w:tc>
        <w:tc>
          <w:tcPr>
            <w:tcW w:w="4700" w:type="dxa"/>
            <w:vAlign w:val="bottom"/>
            <w:gridSpan w:val="19"/>
          </w:tcPr>
          <w:p>
            <w:pPr>
              <w:spacing w:after="0" w:line="196" w:lineRule="exact"/>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USE OF PROCEEDS</w:t>
              </w:r>
            </w:hyperlink>
          </w:p>
        </w:tc>
        <w:tc>
          <w:tcPr>
            <w:tcW w:w="1000" w:type="dxa"/>
            <w:vAlign w:val="bottom"/>
            <w:tcBorders>
              <w:right w:val="single" w:sz="8" w:color="00000A"/>
            </w:tcBorders>
          </w:tcPr>
          <w:p>
            <w:pPr>
              <w:spacing w:after="0"/>
              <w:rPr>
                <w:sz w:val="17"/>
                <w:szCs w:val="17"/>
                <w:color w:val="auto"/>
              </w:rPr>
            </w:pPr>
          </w:p>
        </w:tc>
        <w:tc>
          <w:tcPr>
            <w:tcW w:w="5700" w:type="dxa"/>
            <w:vAlign w:val="bottom"/>
            <w:tcBorders>
              <w:right w:val="single" w:sz="8" w:color="00000A"/>
            </w:tcBorders>
            <w:gridSpan w:val="4"/>
          </w:tcPr>
          <w:p>
            <w:pPr>
              <w:jc w:val="right"/>
              <w:ind w:right="40"/>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3</w:t>
              </w:r>
            </w:hyperlink>
          </w:p>
        </w:tc>
      </w:tr>
      <w:tr>
        <w:trPr>
          <w:trHeight w:val="48"/>
        </w:trPr>
        <w:tc>
          <w:tcPr>
            <w:tcW w:w="40" w:type="dxa"/>
            <w:vAlign w:val="bottom"/>
            <w:tcBorders>
              <w:left w:val="single" w:sz="8" w:color="00000A"/>
              <w:bottom w:val="single" w:sz="8" w:color="00000A"/>
            </w:tcBorders>
          </w:tcPr>
          <w:p>
            <w:pPr>
              <w:spacing w:after="0"/>
              <w:rPr>
                <w:sz w:val="4"/>
                <w:szCs w:val="4"/>
                <w:color w:val="auto"/>
              </w:rPr>
            </w:pPr>
          </w:p>
        </w:tc>
        <w:tc>
          <w:tcPr>
            <w:tcW w:w="840" w:type="dxa"/>
            <w:vAlign w:val="bottom"/>
            <w:tcBorders>
              <w:top w:val="single" w:sz="8" w:color="0000EE"/>
              <w:bottom w:val="single" w:sz="8" w:color="00000A"/>
            </w:tcBorders>
          </w:tcPr>
          <w:p>
            <w:pPr>
              <w:spacing w:after="0"/>
              <w:rPr>
                <w:sz w:val="4"/>
                <w:szCs w:val="4"/>
                <w:color w:val="auto"/>
              </w:rPr>
            </w:pPr>
          </w:p>
        </w:tc>
        <w:tc>
          <w:tcPr>
            <w:tcW w:w="500" w:type="dxa"/>
            <w:vAlign w:val="bottom"/>
            <w:tcBorders>
              <w:top w:val="single" w:sz="8" w:color="0000EE"/>
              <w:bottom w:val="single" w:sz="8" w:color="00000A"/>
            </w:tcBorders>
          </w:tcPr>
          <w:p>
            <w:pPr>
              <w:spacing w:after="0"/>
              <w:rPr>
                <w:sz w:val="4"/>
                <w:szCs w:val="4"/>
                <w:color w:val="auto"/>
              </w:rPr>
            </w:pPr>
          </w:p>
        </w:tc>
        <w:tc>
          <w:tcPr>
            <w:tcW w:w="220" w:type="dxa"/>
            <w:vAlign w:val="bottom"/>
            <w:tcBorders>
              <w:top w:val="single" w:sz="8" w:color="0000EE"/>
              <w:bottom w:val="single" w:sz="8" w:color="00000A"/>
            </w:tcBorders>
          </w:tcPr>
          <w:p>
            <w:pPr>
              <w:spacing w:after="0"/>
              <w:rPr>
                <w:sz w:val="4"/>
                <w:szCs w:val="4"/>
                <w:color w:val="auto"/>
              </w:rPr>
            </w:pPr>
          </w:p>
        </w:tc>
        <w:tc>
          <w:tcPr>
            <w:tcW w:w="120" w:type="dxa"/>
            <w:vAlign w:val="bottom"/>
            <w:tcBorders>
              <w:top w:val="single" w:sz="8" w:color="0000EE"/>
              <w:bottom w:val="single" w:sz="8" w:color="00000A"/>
            </w:tcBorders>
          </w:tcPr>
          <w:p>
            <w:pPr>
              <w:spacing w:after="0"/>
              <w:rPr>
                <w:sz w:val="4"/>
                <w:szCs w:val="4"/>
                <w:color w:val="auto"/>
              </w:rPr>
            </w:pPr>
          </w:p>
        </w:tc>
        <w:tc>
          <w:tcPr>
            <w:tcW w:w="460" w:type="dxa"/>
            <w:vAlign w:val="bottom"/>
            <w:tcBorders>
              <w:bottom w:val="single" w:sz="8" w:color="00000A"/>
            </w:tcBorders>
          </w:tcPr>
          <w:p>
            <w:pPr>
              <w:spacing w:after="0"/>
              <w:rPr>
                <w:sz w:val="4"/>
                <w:szCs w:val="4"/>
                <w:color w:val="auto"/>
              </w:rPr>
            </w:pPr>
          </w:p>
        </w:tc>
        <w:tc>
          <w:tcPr>
            <w:tcW w:w="20" w:type="dxa"/>
            <w:vAlign w:val="bottom"/>
            <w:tcBorders>
              <w:bottom w:val="single" w:sz="8" w:color="00000A"/>
            </w:tcBorders>
          </w:tcPr>
          <w:p>
            <w:pPr>
              <w:spacing w:after="0"/>
              <w:rPr>
                <w:sz w:val="4"/>
                <w:szCs w:val="4"/>
                <w:color w:val="auto"/>
              </w:rPr>
            </w:pPr>
          </w:p>
        </w:tc>
        <w:tc>
          <w:tcPr>
            <w:tcW w:w="40" w:type="dxa"/>
            <w:vAlign w:val="bottom"/>
            <w:tcBorders>
              <w:bottom w:val="single" w:sz="8" w:color="00000A"/>
            </w:tcBorders>
          </w:tcPr>
          <w:p>
            <w:pPr>
              <w:spacing w:after="0"/>
              <w:rPr>
                <w:sz w:val="4"/>
                <w:szCs w:val="4"/>
                <w:color w:val="auto"/>
              </w:rPr>
            </w:pPr>
          </w:p>
        </w:tc>
        <w:tc>
          <w:tcPr>
            <w:tcW w:w="160" w:type="dxa"/>
            <w:vAlign w:val="bottom"/>
            <w:tcBorders>
              <w:bottom w:val="single" w:sz="8" w:color="00000A"/>
            </w:tcBorders>
          </w:tcPr>
          <w:p>
            <w:pPr>
              <w:spacing w:after="0"/>
              <w:rPr>
                <w:sz w:val="4"/>
                <w:szCs w:val="4"/>
                <w:color w:val="auto"/>
              </w:rPr>
            </w:pPr>
          </w:p>
        </w:tc>
        <w:tc>
          <w:tcPr>
            <w:tcW w:w="200" w:type="dxa"/>
            <w:vAlign w:val="bottom"/>
            <w:tcBorders>
              <w:bottom w:val="single" w:sz="8" w:color="00000A"/>
            </w:tcBorders>
          </w:tcPr>
          <w:p>
            <w:pPr>
              <w:spacing w:after="0"/>
              <w:rPr>
                <w:sz w:val="4"/>
                <w:szCs w:val="4"/>
                <w:color w:val="auto"/>
              </w:rPr>
            </w:pPr>
          </w:p>
        </w:tc>
        <w:tc>
          <w:tcPr>
            <w:tcW w:w="60" w:type="dxa"/>
            <w:vAlign w:val="bottom"/>
            <w:tcBorders>
              <w:bottom w:val="single" w:sz="8" w:color="00000A"/>
            </w:tcBorders>
          </w:tcPr>
          <w:p>
            <w:pPr>
              <w:spacing w:after="0"/>
              <w:rPr>
                <w:sz w:val="4"/>
                <w:szCs w:val="4"/>
                <w:color w:val="auto"/>
              </w:rPr>
            </w:pPr>
          </w:p>
        </w:tc>
        <w:tc>
          <w:tcPr>
            <w:tcW w:w="40" w:type="dxa"/>
            <w:vAlign w:val="bottom"/>
            <w:tcBorders>
              <w:bottom w:val="single" w:sz="8" w:color="00000A"/>
            </w:tcBorders>
          </w:tcPr>
          <w:p>
            <w:pPr>
              <w:spacing w:after="0"/>
              <w:rPr>
                <w:sz w:val="4"/>
                <w:szCs w:val="4"/>
                <w:color w:val="auto"/>
              </w:rPr>
            </w:pPr>
          </w:p>
        </w:tc>
        <w:tc>
          <w:tcPr>
            <w:tcW w:w="460" w:type="dxa"/>
            <w:vAlign w:val="bottom"/>
            <w:tcBorders>
              <w:bottom w:val="single" w:sz="8" w:color="00000A"/>
            </w:tcBorders>
          </w:tcPr>
          <w:p>
            <w:pPr>
              <w:spacing w:after="0"/>
              <w:rPr>
                <w:sz w:val="4"/>
                <w:szCs w:val="4"/>
                <w:color w:val="auto"/>
              </w:rPr>
            </w:pPr>
          </w:p>
        </w:tc>
        <w:tc>
          <w:tcPr>
            <w:tcW w:w="40" w:type="dxa"/>
            <w:vAlign w:val="bottom"/>
            <w:tcBorders>
              <w:bottom w:val="single" w:sz="8" w:color="00000A"/>
            </w:tcBorders>
          </w:tcPr>
          <w:p>
            <w:pPr>
              <w:spacing w:after="0"/>
              <w:rPr>
                <w:sz w:val="4"/>
                <w:szCs w:val="4"/>
                <w:color w:val="auto"/>
              </w:rPr>
            </w:pPr>
          </w:p>
        </w:tc>
        <w:tc>
          <w:tcPr>
            <w:tcW w:w="60" w:type="dxa"/>
            <w:vAlign w:val="bottom"/>
            <w:tcBorders>
              <w:bottom w:val="single" w:sz="8" w:color="00000A"/>
            </w:tcBorders>
          </w:tcPr>
          <w:p>
            <w:pPr>
              <w:spacing w:after="0"/>
              <w:rPr>
                <w:sz w:val="4"/>
                <w:szCs w:val="4"/>
                <w:color w:val="auto"/>
              </w:rPr>
            </w:pPr>
          </w:p>
        </w:tc>
        <w:tc>
          <w:tcPr>
            <w:tcW w:w="160" w:type="dxa"/>
            <w:vAlign w:val="bottom"/>
            <w:tcBorders>
              <w:bottom w:val="single" w:sz="8" w:color="00000A"/>
            </w:tcBorders>
          </w:tcPr>
          <w:p>
            <w:pPr>
              <w:spacing w:after="0"/>
              <w:rPr>
                <w:sz w:val="4"/>
                <w:szCs w:val="4"/>
                <w:color w:val="auto"/>
              </w:rPr>
            </w:pPr>
          </w:p>
        </w:tc>
        <w:tc>
          <w:tcPr>
            <w:tcW w:w="320" w:type="dxa"/>
            <w:vAlign w:val="bottom"/>
            <w:tcBorders>
              <w:bottom w:val="single" w:sz="8" w:color="00000A"/>
            </w:tcBorders>
          </w:tcPr>
          <w:p>
            <w:pPr>
              <w:spacing w:after="0"/>
              <w:rPr>
                <w:sz w:val="4"/>
                <w:szCs w:val="4"/>
                <w:color w:val="auto"/>
              </w:rPr>
            </w:pPr>
          </w:p>
        </w:tc>
        <w:tc>
          <w:tcPr>
            <w:tcW w:w="340" w:type="dxa"/>
            <w:vAlign w:val="bottom"/>
            <w:tcBorders>
              <w:bottom w:val="single" w:sz="8" w:color="00000A"/>
            </w:tcBorders>
          </w:tcPr>
          <w:p>
            <w:pPr>
              <w:spacing w:after="0"/>
              <w:rPr>
                <w:sz w:val="4"/>
                <w:szCs w:val="4"/>
                <w:color w:val="auto"/>
              </w:rPr>
            </w:pPr>
          </w:p>
        </w:tc>
        <w:tc>
          <w:tcPr>
            <w:tcW w:w="640" w:type="dxa"/>
            <w:vAlign w:val="bottom"/>
            <w:tcBorders>
              <w:bottom w:val="single" w:sz="8" w:color="00000A"/>
            </w:tcBorders>
          </w:tcPr>
          <w:p>
            <w:pPr>
              <w:spacing w:after="0"/>
              <w:rPr>
                <w:sz w:val="4"/>
                <w:szCs w:val="4"/>
                <w:color w:val="auto"/>
              </w:rPr>
            </w:pPr>
          </w:p>
        </w:tc>
        <w:tc>
          <w:tcPr>
            <w:tcW w:w="20" w:type="dxa"/>
            <w:vAlign w:val="bottom"/>
            <w:tcBorders>
              <w:bottom w:val="single" w:sz="8" w:color="00000A"/>
            </w:tcBorders>
          </w:tcPr>
          <w:p>
            <w:pPr>
              <w:spacing w:after="0"/>
              <w:rPr>
                <w:sz w:val="4"/>
                <w:szCs w:val="4"/>
                <w:color w:val="auto"/>
              </w:rPr>
            </w:pPr>
          </w:p>
        </w:tc>
        <w:tc>
          <w:tcPr>
            <w:tcW w:w="1000" w:type="dxa"/>
            <w:vAlign w:val="bottom"/>
            <w:tcBorders>
              <w:bottom w:val="single" w:sz="8" w:color="00000A"/>
              <w:right w:val="single" w:sz="8" w:color="00000A"/>
            </w:tcBorders>
          </w:tcPr>
          <w:p>
            <w:pPr>
              <w:spacing w:after="0"/>
              <w:rPr>
                <w:sz w:val="4"/>
                <w:szCs w:val="4"/>
                <w:color w:val="auto"/>
              </w:rPr>
            </w:pPr>
          </w:p>
        </w:tc>
        <w:tc>
          <w:tcPr>
            <w:tcW w:w="5480" w:type="dxa"/>
            <w:vAlign w:val="bottom"/>
            <w:tcBorders>
              <w:bottom w:val="single" w:sz="8" w:color="00000A"/>
            </w:tcBorders>
          </w:tcPr>
          <w:p>
            <w:pPr>
              <w:spacing w:after="0"/>
              <w:rPr>
                <w:sz w:val="4"/>
                <w:szCs w:val="4"/>
                <w:color w:val="auto"/>
              </w:rPr>
            </w:pPr>
          </w:p>
        </w:tc>
        <w:tc>
          <w:tcPr>
            <w:tcW w:w="80" w:type="dxa"/>
            <w:vAlign w:val="bottom"/>
            <w:tcBorders>
              <w:bottom w:val="single" w:sz="8" w:color="00000A"/>
            </w:tcBorders>
          </w:tcPr>
          <w:p>
            <w:pPr>
              <w:spacing w:after="0"/>
              <w:rPr>
                <w:sz w:val="4"/>
                <w:szCs w:val="4"/>
                <w:color w:val="auto"/>
              </w:rPr>
            </w:pPr>
          </w:p>
        </w:tc>
        <w:tc>
          <w:tcPr>
            <w:tcW w:w="100" w:type="dxa"/>
            <w:vAlign w:val="bottom"/>
            <w:tcBorders>
              <w:top w:val="single" w:sz="8" w:color="0000EE"/>
              <w:bottom w:val="single" w:sz="8" w:color="00000A"/>
            </w:tcBorders>
          </w:tcPr>
          <w:p>
            <w:pPr>
              <w:spacing w:after="0"/>
              <w:rPr>
                <w:sz w:val="4"/>
                <w:szCs w:val="4"/>
                <w:color w:val="auto"/>
              </w:rPr>
            </w:pPr>
          </w:p>
        </w:tc>
        <w:tc>
          <w:tcPr>
            <w:tcW w:w="40" w:type="dxa"/>
            <w:vAlign w:val="bottom"/>
            <w:tcBorders>
              <w:bottom w:val="single" w:sz="8" w:color="00000A"/>
              <w:right w:val="single" w:sz="8" w:color="00000A"/>
            </w:tcBorders>
          </w:tcPr>
          <w:p>
            <w:pPr>
              <w:spacing w:after="0"/>
              <w:rPr>
                <w:sz w:val="4"/>
                <w:szCs w:val="4"/>
                <w:color w:val="auto"/>
              </w:rPr>
            </w:pPr>
          </w:p>
        </w:tc>
      </w:tr>
      <w:tr>
        <w:trPr>
          <w:trHeight w:val="196"/>
        </w:trPr>
        <w:tc>
          <w:tcPr>
            <w:tcW w:w="40" w:type="dxa"/>
            <w:vAlign w:val="bottom"/>
            <w:tcBorders>
              <w:left w:val="single" w:sz="8" w:color="00000A"/>
            </w:tcBorders>
          </w:tcPr>
          <w:p>
            <w:pPr>
              <w:spacing w:after="0"/>
              <w:rPr>
                <w:sz w:val="17"/>
                <w:szCs w:val="17"/>
                <w:color w:val="auto"/>
              </w:rPr>
            </w:pPr>
          </w:p>
        </w:tc>
        <w:tc>
          <w:tcPr>
            <w:tcW w:w="4700" w:type="dxa"/>
            <w:vAlign w:val="bottom"/>
            <w:gridSpan w:val="19"/>
          </w:tcPr>
          <w:p>
            <w:pPr>
              <w:spacing w:after="0" w:line="196" w:lineRule="exact"/>
              <w:rPr>
                <w:rFonts w:ascii="Arial" w:cs="Arial" w:eastAsia="Arial" w:hAnsi="Arial"/>
                <w:sz w:val="18"/>
                <w:szCs w:val="18"/>
                <w:b w:val="1"/>
                <w:bCs w:val="1"/>
                <w:color w:val="0000EE"/>
              </w:rPr>
            </w:pPr>
            <w:hyperlink w:anchor="page7">
              <w:r>
                <w:rPr>
                  <w:rFonts w:ascii="Arial" w:cs="Arial" w:eastAsia="Arial" w:hAnsi="Arial"/>
                  <w:sz w:val="18"/>
                  <w:szCs w:val="18"/>
                  <w:b w:val="1"/>
                  <w:bCs w:val="1"/>
                  <w:color w:val="0000EE"/>
                </w:rPr>
                <w:t>SECURITIES WE MAY OFFER</w:t>
              </w:r>
            </w:hyperlink>
          </w:p>
        </w:tc>
        <w:tc>
          <w:tcPr>
            <w:tcW w:w="1000" w:type="dxa"/>
            <w:vAlign w:val="bottom"/>
            <w:tcBorders>
              <w:right w:val="single" w:sz="8" w:color="00000A"/>
            </w:tcBorders>
          </w:tcPr>
          <w:p>
            <w:pPr>
              <w:spacing w:after="0"/>
              <w:rPr>
                <w:sz w:val="17"/>
                <w:szCs w:val="17"/>
                <w:color w:val="auto"/>
              </w:rPr>
            </w:pPr>
          </w:p>
        </w:tc>
        <w:tc>
          <w:tcPr>
            <w:tcW w:w="5700" w:type="dxa"/>
            <w:vAlign w:val="bottom"/>
            <w:tcBorders>
              <w:right w:val="single" w:sz="8" w:color="00000A"/>
            </w:tcBorders>
            <w:gridSpan w:val="4"/>
          </w:tcPr>
          <w:p>
            <w:pPr>
              <w:jc w:val="right"/>
              <w:ind w:right="40"/>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4</w:t>
              </w:r>
            </w:hyperlink>
          </w:p>
        </w:tc>
      </w:tr>
      <w:tr>
        <w:trPr>
          <w:trHeight w:val="48"/>
        </w:trPr>
        <w:tc>
          <w:tcPr>
            <w:tcW w:w="40" w:type="dxa"/>
            <w:vAlign w:val="bottom"/>
            <w:tcBorders>
              <w:left w:val="single" w:sz="8" w:color="00000A"/>
              <w:bottom w:val="single" w:sz="8" w:color="00000A"/>
            </w:tcBorders>
          </w:tcPr>
          <w:p>
            <w:pPr>
              <w:spacing w:after="0"/>
              <w:rPr>
                <w:sz w:val="4"/>
                <w:szCs w:val="4"/>
                <w:color w:val="auto"/>
              </w:rPr>
            </w:pPr>
          </w:p>
        </w:tc>
        <w:tc>
          <w:tcPr>
            <w:tcW w:w="840" w:type="dxa"/>
            <w:vAlign w:val="bottom"/>
            <w:tcBorders>
              <w:top w:val="single" w:sz="8" w:color="0000EE"/>
              <w:bottom w:val="single" w:sz="8" w:color="00000A"/>
            </w:tcBorders>
          </w:tcPr>
          <w:p>
            <w:pPr>
              <w:spacing w:after="0"/>
              <w:rPr>
                <w:sz w:val="4"/>
                <w:szCs w:val="4"/>
                <w:color w:val="auto"/>
              </w:rPr>
            </w:pPr>
          </w:p>
        </w:tc>
        <w:tc>
          <w:tcPr>
            <w:tcW w:w="500" w:type="dxa"/>
            <w:vAlign w:val="bottom"/>
            <w:tcBorders>
              <w:top w:val="single" w:sz="8" w:color="0000EE"/>
              <w:bottom w:val="single" w:sz="8" w:color="00000A"/>
            </w:tcBorders>
          </w:tcPr>
          <w:p>
            <w:pPr>
              <w:spacing w:after="0"/>
              <w:rPr>
                <w:sz w:val="4"/>
                <w:szCs w:val="4"/>
                <w:color w:val="auto"/>
              </w:rPr>
            </w:pPr>
          </w:p>
        </w:tc>
        <w:tc>
          <w:tcPr>
            <w:tcW w:w="220" w:type="dxa"/>
            <w:vAlign w:val="bottom"/>
            <w:tcBorders>
              <w:top w:val="single" w:sz="8" w:color="0000EE"/>
              <w:bottom w:val="single" w:sz="8" w:color="00000A"/>
            </w:tcBorders>
          </w:tcPr>
          <w:p>
            <w:pPr>
              <w:spacing w:after="0"/>
              <w:rPr>
                <w:sz w:val="4"/>
                <w:szCs w:val="4"/>
                <w:color w:val="auto"/>
              </w:rPr>
            </w:pPr>
          </w:p>
        </w:tc>
        <w:tc>
          <w:tcPr>
            <w:tcW w:w="120" w:type="dxa"/>
            <w:vAlign w:val="bottom"/>
            <w:tcBorders>
              <w:top w:val="single" w:sz="8" w:color="0000EE"/>
              <w:bottom w:val="single" w:sz="8" w:color="00000A"/>
            </w:tcBorders>
          </w:tcPr>
          <w:p>
            <w:pPr>
              <w:spacing w:after="0"/>
              <w:rPr>
                <w:sz w:val="4"/>
                <w:szCs w:val="4"/>
                <w:color w:val="auto"/>
              </w:rPr>
            </w:pPr>
          </w:p>
        </w:tc>
        <w:tc>
          <w:tcPr>
            <w:tcW w:w="460" w:type="dxa"/>
            <w:vAlign w:val="bottom"/>
            <w:tcBorders>
              <w:top w:val="single" w:sz="8" w:color="0000EE"/>
              <w:bottom w:val="single" w:sz="8" w:color="00000A"/>
            </w:tcBorders>
          </w:tcPr>
          <w:p>
            <w:pPr>
              <w:spacing w:after="0"/>
              <w:rPr>
                <w:sz w:val="4"/>
                <w:szCs w:val="4"/>
                <w:color w:val="auto"/>
              </w:rPr>
            </w:pPr>
          </w:p>
        </w:tc>
        <w:tc>
          <w:tcPr>
            <w:tcW w:w="20" w:type="dxa"/>
            <w:vAlign w:val="bottom"/>
            <w:tcBorders>
              <w:top w:val="single" w:sz="8" w:color="0000EE"/>
              <w:bottom w:val="single" w:sz="8" w:color="00000A"/>
            </w:tcBorders>
          </w:tcPr>
          <w:p>
            <w:pPr>
              <w:spacing w:after="0"/>
              <w:rPr>
                <w:sz w:val="4"/>
                <w:szCs w:val="4"/>
                <w:color w:val="auto"/>
              </w:rPr>
            </w:pPr>
          </w:p>
        </w:tc>
        <w:tc>
          <w:tcPr>
            <w:tcW w:w="40" w:type="dxa"/>
            <w:vAlign w:val="bottom"/>
            <w:tcBorders>
              <w:top w:val="single" w:sz="8" w:color="0000EE"/>
              <w:bottom w:val="single" w:sz="8" w:color="00000A"/>
            </w:tcBorders>
          </w:tcPr>
          <w:p>
            <w:pPr>
              <w:spacing w:after="0"/>
              <w:rPr>
                <w:sz w:val="4"/>
                <w:szCs w:val="4"/>
                <w:color w:val="auto"/>
              </w:rPr>
            </w:pPr>
          </w:p>
        </w:tc>
        <w:tc>
          <w:tcPr>
            <w:tcW w:w="160" w:type="dxa"/>
            <w:vAlign w:val="bottom"/>
            <w:tcBorders>
              <w:top w:val="single" w:sz="8" w:color="0000EE"/>
              <w:bottom w:val="single" w:sz="8" w:color="00000A"/>
            </w:tcBorders>
          </w:tcPr>
          <w:p>
            <w:pPr>
              <w:spacing w:after="0"/>
              <w:rPr>
                <w:sz w:val="4"/>
                <w:szCs w:val="4"/>
                <w:color w:val="auto"/>
              </w:rPr>
            </w:pPr>
          </w:p>
        </w:tc>
        <w:tc>
          <w:tcPr>
            <w:tcW w:w="200" w:type="dxa"/>
            <w:vAlign w:val="bottom"/>
            <w:tcBorders>
              <w:top w:val="single" w:sz="8" w:color="0000EE"/>
              <w:bottom w:val="single" w:sz="8" w:color="00000A"/>
            </w:tcBorders>
          </w:tcPr>
          <w:p>
            <w:pPr>
              <w:spacing w:after="0"/>
              <w:rPr>
                <w:sz w:val="4"/>
                <w:szCs w:val="4"/>
                <w:color w:val="auto"/>
              </w:rPr>
            </w:pPr>
          </w:p>
        </w:tc>
        <w:tc>
          <w:tcPr>
            <w:tcW w:w="60" w:type="dxa"/>
            <w:vAlign w:val="bottom"/>
            <w:tcBorders>
              <w:bottom w:val="single" w:sz="8" w:color="00000A"/>
            </w:tcBorders>
          </w:tcPr>
          <w:p>
            <w:pPr>
              <w:spacing w:after="0"/>
              <w:rPr>
                <w:sz w:val="4"/>
                <w:szCs w:val="4"/>
                <w:color w:val="auto"/>
              </w:rPr>
            </w:pPr>
          </w:p>
        </w:tc>
        <w:tc>
          <w:tcPr>
            <w:tcW w:w="40" w:type="dxa"/>
            <w:vAlign w:val="bottom"/>
            <w:tcBorders>
              <w:bottom w:val="single" w:sz="8" w:color="00000A"/>
            </w:tcBorders>
          </w:tcPr>
          <w:p>
            <w:pPr>
              <w:spacing w:after="0"/>
              <w:rPr>
                <w:sz w:val="4"/>
                <w:szCs w:val="4"/>
                <w:color w:val="auto"/>
              </w:rPr>
            </w:pPr>
          </w:p>
        </w:tc>
        <w:tc>
          <w:tcPr>
            <w:tcW w:w="460" w:type="dxa"/>
            <w:vAlign w:val="bottom"/>
            <w:tcBorders>
              <w:bottom w:val="single" w:sz="8" w:color="00000A"/>
            </w:tcBorders>
          </w:tcPr>
          <w:p>
            <w:pPr>
              <w:spacing w:after="0"/>
              <w:rPr>
                <w:sz w:val="4"/>
                <w:szCs w:val="4"/>
                <w:color w:val="auto"/>
              </w:rPr>
            </w:pPr>
          </w:p>
        </w:tc>
        <w:tc>
          <w:tcPr>
            <w:tcW w:w="40" w:type="dxa"/>
            <w:vAlign w:val="bottom"/>
            <w:tcBorders>
              <w:bottom w:val="single" w:sz="8" w:color="00000A"/>
            </w:tcBorders>
          </w:tcPr>
          <w:p>
            <w:pPr>
              <w:spacing w:after="0"/>
              <w:rPr>
                <w:sz w:val="4"/>
                <w:szCs w:val="4"/>
                <w:color w:val="auto"/>
              </w:rPr>
            </w:pPr>
          </w:p>
        </w:tc>
        <w:tc>
          <w:tcPr>
            <w:tcW w:w="60" w:type="dxa"/>
            <w:vAlign w:val="bottom"/>
            <w:tcBorders>
              <w:bottom w:val="single" w:sz="8" w:color="00000A"/>
            </w:tcBorders>
          </w:tcPr>
          <w:p>
            <w:pPr>
              <w:spacing w:after="0"/>
              <w:rPr>
                <w:sz w:val="4"/>
                <w:szCs w:val="4"/>
                <w:color w:val="auto"/>
              </w:rPr>
            </w:pPr>
          </w:p>
        </w:tc>
        <w:tc>
          <w:tcPr>
            <w:tcW w:w="160" w:type="dxa"/>
            <w:vAlign w:val="bottom"/>
            <w:tcBorders>
              <w:bottom w:val="single" w:sz="8" w:color="00000A"/>
            </w:tcBorders>
          </w:tcPr>
          <w:p>
            <w:pPr>
              <w:spacing w:after="0"/>
              <w:rPr>
                <w:sz w:val="4"/>
                <w:szCs w:val="4"/>
                <w:color w:val="auto"/>
              </w:rPr>
            </w:pPr>
          </w:p>
        </w:tc>
        <w:tc>
          <w:tcPr>
            <w:tcW w:w="320" w:type="dxa"/>
            <w:vAlign w:val="bottom"/>
            <w:tcBorders>
              <w:bottom w:val="single" w:sz="8" w:color="00000A"/>
            </w:tcBorders>
          </w:tcPr>
          <w:p>
            <w:pPr>
              <w:spacing w:after="0"/>
              <w:rPr>
                <w:sz w:val="4"/>
                <w:szCs w:val="4"/>
                <w:color w:val="auto"/>
              </w:rPr>
            </w:pPr>
          </w:p>
        </w:tc>
        <w:tc>
          <w:tcPr>
            <w:tcW w:w="340" w:type="dxa"/>
            <w:vAlign w:val="bottom"/>
            <w:tcBorders>
              <w:bottom w:val="single" w:sz="8" w:color="00000A"/>
            </w:tcBorders>
          </w:tcPr>
          <w:p>
            <w:pPr>
              <w:spacing w:after="0"/>
              <w:rPr>
                <w:sz w:val="4"/>
                <w:szCs w:val="4"/>
                <w:color w:val="auto"/>
              </w:rPr>
            </w:pPr>
          </w:p>
        </w:tc>
        <w:tc>
          <w:tcPr>
            <w:tcW w:w="640" w:type="dxa"/>
            <w:vAlign w:val="bottom"/>
            <w:tcBorders>
              <w:bottom w:val="single" w:sz="8" w:color="00000A"/>
            </w:tcBorders>
          </w:tcPr>
          <w:p>
            <w:pPr>
              <w:spacing w:after="0"/>
              <w:rPr>
                <w:sz w:val="4"/>
                <w:szCs w:val="4"/>
                <w:color w:val="auto"/>
              </w:rPr>
            </w:pPr>
          </w:p>
        </w:tc>
        <w:tc>
          <w:tcPr>
            <w:tcW w:w="20" w:type="dxa"/>
            <w:vAlign w:val="bottom"/>
            <w:tcBorders>
              <w:bottom w:val="single" w:sz="8" w:color="00000A"/>
            </w:tcBorders>
          </w:tcPr>
          <w:p>
            <w:pPr>
              <w:spacing w:after="0"/>
              <w:rPr>
                <w:sz w:val="4"/>
                <w:szCs w:val="4"/>
                <w:color w:val="auto"/>
              </w:rPr>
            </w:pPr>
          </w:p>
        </w:tc>
        <w:tc>
          <w:tcPr>
            <w:tcW w:w="1000" w:type="dxa"/>
            <w:vAlign w:val="bottom"/>
            <w:tcBorders>
              <w:bottom w:val="single" w:sz="8" w:color="00000A"/>
              <w:right w:val="single" w:sz="8" w:color="00000A"/>
            </w:tcBorders>
          </w:tcPr>
          <w:p>
            <w:pPr>
              <w:spacing w:after="0"/>
              <w:rPr>
                <w:sz w:val="4"/>
                <w:szCs w:val="4"/>
                <w:color w:val="auto"/>
              </w:rPr>
            </w:pPr>
          </w:p>
        </w:tc>
        <w:tc>
          <w:tcPr>
            <w:tcW w:w="5480" w:type="dxa"/>
            <w:vAlign w:val="bottom"/>
            <w:tcBorders>
              <w:bottom w:val="single" w:sz="8" w:color="00000A"/>
            </w:tcBorders>
          </w:tcPr>
          <w:p>
            <w:pPr>
              <w:spacing w:after="0"/>
              <w:rPr>
                <w:sz w:val="4"/>
                <w:szCs w:val="4"/>
                <w:color w:val="auto"/>
              </w:rPr>
            </w:pPr>
          </w:p>
        </w:tc>
        <w:tc>
          <w:tcPr>
            <w:tcW w:w="80" w:type="dxa"/>
            <w:vAlign w:val="bottom"/>
            <w:tcBorders>
              <w:bottom w:val="single" w:sz="8" w:color="00000A"/>
            </w:tcBorders>
          </w:tcPr>
          <w:p>
            <w:pPr>
              <w:spacing w:after="0"/>
              <w:rPr>
                <w:sz w:val="4"/>
                <w:szCs w:val="4"/>
                <w:color w:val="auto"/>
              </w:rPr>
            </w:pPr>
          </w:p>
        </w:tc>
        <w:tc>
          <w:tcPr>
            <w:tcW w:w="100" w:type="dxa"/>
            <w:vAlign w:val="bottom"/>
            <w:tcBorders>
              <w:top w:val="single" w:sz="8" w:color="0000EE"/>
              <w:bottom w:val="single" w:sz="8" w:color="00000A"/>
            </w:tcBorders>
          </w:tcPr>
          <w:p>
            <w:pPr>
              <w:spacing w:after="0"/>
              <w:rPr>
                <w:sz w:val="4"/>
                <w:szCs w:val="4"/>
                <w:color w:val="auto"/>
              </w:rPr>
            </w:pPr>
          </w:p>
        </w:tc>
        <w:tc>
          <w:tcPr>
            <w:tcW w:w="40" w:type="dxa"/>
            <w:vAlign w:val="bottom"/>
            <w:tcBorders>
              <w:bottom w:val="single" w:sz="8" w:color="00000A"/>
              <w:right w:val="single" w:sz="8" w:color="00000A"/>
            </w:tcBorders>
          </w:tcPr>
          <w:p>
            <w:pPr>
              <w:spacing w:after="0"/>
              <w:rPr>
                <w:sz w:val="4"/>
                <w:szCs w:val="4"/>
                <w:color w:val="auto"/>
              </w:rPr>
            </w:pPr>
          </w:p>
        </w:tc>
      </w:tr>
      <w:tr>
        <w:trPr>
          <w:trHeight w:val="196"/>
        </w:trPr>
        <w:tc>
          <w:tcPr>
            <w:tcW w:w="40" w:type="dxa"/>
            <w:vAlign w:val="bottom"/>
            <w:tcBorders>
              <w:left w:val="single" w:sz="8" w:color="00000A"/>
            </w:tcBorders>
          </w:tcPr>
          <w:p>
            <w:pPr>
              <w:spacing w:after="0"/>
              <w:rPr>
                <w:sz w:val="17"/>
                <w:szCs w:val="17"/>
                <w:color w:val="auto"/>
              </w:rPr>
            </w:pPr>
          </w:p>
        </w:tc>
        <w:tc>
          <w:tcPr>
            <w:tcW w:w="4700" w:type="dxa"/>
            <w:vAlign w:val="bottom"/>
            <w:gridSpan w:val="19"/>
          </w:tcPr>
          <w:p>
            <w:pPr>
              <w:spacing w:after="0" w:line="196" w:lineRule="exact"/>
              <w:rPr>
                <w:rFonts w:ascii="Arial" w:cs="Arial" w:eastAsia="Arial" w:hAnsi="Arial"/>
                <w:sz w:val="18"/>
                <w:szCs w:val="18"/>
                <w:b w:val="1"/>
                <w:bCs w:val="1"/>
                <w:color w:val="0000EE"/>
              </w:rPr>
            </w:pPr>
            <w:hyperlink w:anchor="page7">
              <w:r>
                <w:rPr>
                  <w:rFonts w:ascii="Arial" w:cs="Arial" w:eastAsia="Arial" w:hAnsi="Arial"/>
                  <w:sz w:val="18"/>
                  <w:szCs w:val="18"/>
                  <w:b w:val="1"/>
                  <w:bCs w:val="1"/>
                  <w:color w:val="0000EE"/>
                </w:rPr>
                <w:t>DESCRIPTION OF COMMON STOCK</w:t>
              </w:r>
            </w:hyperlink>
          </w:p>
        </w:tc>
        <w:tc>
          <w:tcPr>
            <w:tcW w:w="1000" w:type="dxa"/>
            <w:vAlign w:val="bottom"/>
            <w:tcBorders>
              <w:right w:val="single" w:sz="8" w:color="00000A"/>
            </w:tcBorders>
          </w:tcPr>
          <w:p>
            <w:pPr>
              <w:spacing w:after="0"/>
              <w:rPr>
                <w:sz w:val="17"/>
                <w:szCs w:val="17"/>
                <w:color w:val="auto"/>
              </w:rPr>
            </w:pPr>
          </w:p>
        </w:tc>
        <w:tc>
          <w:tcPr>
            <w:tcW w:w="5700" w:type="dxa"/>
            <w:vAlign w:val="bottom"/>
            <w:tcBorders>
              <w:right w:val="single" w:sz="8" w:color="00000A"/>
            </w:tcBorders>
            <w:gridSpan w:val="4"/>
          </w:tcPr>
          <w:p>
            <w:pPr>
              <w:jc w:val="right"/>
              <w:ind w:right="40"/>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4</w:t>
              </w:r>
            </w:hyperlink>
          </w:p>
        </w:tc>
      </w:tr>
      <w:tr>
        <w:trPr>
          <w:trHeight w:val="48"/>
        </w:trPr>
        <w:tc>
          <w:tcPr>
            <w:tcW w:w="40" w:type="dxa"/>
            <w:vAlign w:val="bottom"/>
            <w:tcBorders>
              <w:left w:val="single" w:sz="8" w:color="00000A"/>
              <w:bottom w:val="single" w:sz="8" w:color="00000A"/>
            </w:tcBorders>
          </w:tcPr>
          <w:p>
            <w:pPr>
              <w:spacing w:after="0"/>
              <w:rPr>
                <w:sz w:val="4"/>
                <w:szCs w:val="4"/>
                <w:color w:val="auto"/>
              </w:rPr>
            </w:pPr>
          </w:p>
        </w:tc>
        <w:tc>
          <w:tcPr>
            <w:tcW w:w="840" w:type="dxa"/>
            <w:vAlign w:val="bottom"/>
            <w:tcBorders>
              <w:top w:val="single" w:sz="8" w:color="0000EE"/>
              <w:bottom w:val="single" w:sz="8" w:color="00000A"/>
            </w:tcBorders>
          </w:tcPr>
          <w:p>
            <w:pPr>
              <w:spacing w:after="0"/>
              <w:rPr>
                <w:sz w:val="4"/>
                <w:szCs w:val="4"/>
                <w:color w:val="auto"/>
              </w:rPr>
            </w:pPr>
          </w:p>
        </w:tc>
        <w:tc>
          <w:tcPr>
            <w:tcW w:w="500" w:type="dxa"/>
            <w:vAlign w:val="bottom"/>
            <w:tcBorders>
              <w:top w:val="single" w:sz="8" w:color="0000EE"/>
              <w:bottom w:val="single" w:sz="8" w:color="00000A"/>
            </w:tcBorders>
          </w:tcPr>
          <w:p>
            <w:pPr>
              <w:spacing w:after="0"/>
              <w:rPr>
                <w:sz w:val="4"/>
                <w:szCs w:val="4"/>
                <w:color w:val="auto"/>
              </w:rPr>
            </w:pPr>
          </w:p>
        </w:tc>
        <w:tc>
          <w:tcPr>
            <w:tcW w:w="220" w:type="dxa"/>
            <w:vAlign w:val="bottom"/>
            <w:tcBorders>
              <w:top w:val="single" w:sz="8" w:color="0000EE"/>
              <w:bottom w:val="single" w:sz="8" w:color="00000A"/>
            </w:tcBorders>
          </w:tcPr>
          <w:p>
            <w:pPr>
              <w:spacing w:after="0"/>
              <w:rPr>
                <w:sz w:val="4"/>
                <w:szCs w:val="4"/>
                <w:color w:val="auto"/>
              </w:rPr>
            </w:pPr>
          </w:p>
        </w:tc>
        <w:tc>
          <w:tcPr>
            <w:tcW w:w="120" w:type="dxa"/>
            <w:vAlign w:val="bottom"/>
            <w:tcBorders>
              <w:top w:val="single" w:sz="8" w:color="0000EE"/>
              <w:bottom w:val="single" w:sz="8" w:color="00000A"/>
            </w:tcBorders>
          </w:tcPr>
          <w:p>
            <w:pPr>
              <w:spacing w:after="0"/>
              <w:rPr>
                <w:sz w:val="4"/>
                <w:szCs w:val="4"/>
                <w:color w:val="auto"/>
              </w:rPr>
            </w:pPr>
          </w:p>
        </w:tc>
        <w:tc>
          <w:tcPr>
            <w:tcW w:w="460" w:type="dxa"/>
            <w:vAlign w:val="bottom"/>
            <w:tcBorders>
              <w:top w:val="single" w:sz="8" w:color="0000EE"/>
              <w:bottom w:val="single" w:sz="8" w:color="00000A"/>
            </w:tcBorders>
          </w:tcPr>
          <w:p>
            <w:pPr>
              <w:spacing w:after="0"/>
              <w:rPr>
                <w:sz w:val="4"/>
                <w:szCs w:val="4"/>
                <w:color w:val="auto"/>
              </w:rPr>
            </w:pPr>
          </w:p>
        </w:tc>
        <w:tc>
          <w:tcPr>
            <w:tcW w:w="20" w:type="dxa"/>
            <w:vAlign w:val="bottom"/>
            <w:tcBorders>
              <w:top w:val="single" w:sz="8" w:color="0000EE"/>
              <w:bottom w:val="single" w:sz="8" w:color="00000A"/>
            </w:tcBorders>
          </w:tcPr>
          <w:p>
            <w:pPr>
              <w:spacing w:after="0"/>
              <w:rPr>
                <w:sz w:val="4"/>
                <w:szCs w:val="4"/>
                <w:color w:val="auto"/>
              </w:rPr>
            </w:pPr>
          </w:p>
        </w:tc>
        <w:tc>
          <w:tcPr>
            <w:tcW w:w="40" w:type="dxa"/>
            <w:vAlign w:val="bottom"/>
            <w:tcBorders>
              <w:top w:val="single" w:sz="8" w:color="0000EE"/>
              <w:bottom w:val="single" w:sz="8" w:color="00000A"/>
            </w:tcBorders>
          </w:tcPr>
          <w:p>
            <w:pPr>
              <w:spacing w:after="0"/>
              <w:rPr>
                <w:sz w:val="4"/>
                <w:szCs w:val="4"/>
                <w:color w:val="auto"/>
              </w:rPr>
            </w:pPr>
          </w:p>
        </w:tc>
        <w:tc>
          <w:tcPr>
            <w:tcW w:w="160" w:type="dxa"/>
            <w:vAlign w:val="bottom"/>
            <w:tcBorders>
              <w:top w:val="single" w:sz="8" w:color="0000EE"/>
              <w:bottom w:val="single" w:sz="8" w:color="00000A"/>
            </w:tcBorders>
          </w:tcPr>
          <w:p>
            <w:pPr>
              <w:spacing w:after="0"/>
              <w:rPr>
                <w:sz w:val="4"/>
                <w:szCs w:val="4"/>
                <w:color w:val="auto"/>
              </w:rPr>
            </w:pPr>
          </w:p>
        </w:tc>
        <w:tc>
          <w:tcPr>
            <w:tcW w:w="200" w:type="dxa"/>
            <w:vAlign w:val="bottom"/>
            <w:tcBorders>
              <w:top w:val="single" w:sz="8" w:color="0000EE"/>
              <w:bottom w:val="single" w:sz="8" w:color="00000A"/>
            </w:tcBorders>
          </w:tcPr>
          <w:p>
            <w:pPr>
              <w:spacing w:after="0"/>
              <w:rPr>
                <w:sz w:val="4"/>
                <w:szCs w:val="4"/>
                <w:color w:val="auto"/>
              </w:rPr>
            </w:pPr>
          </w:p>
        </w:tc>
        <w:tc>
          <w:tcPr>
            <w:tcW w:w="60" w:type="dxa"/>
            <w:vAlign w:val="bottom"/>
            <w:tcBorders>
              <w:top w:val="single" w:sz="8" w:color="0000EE"/>
              <w:bottom w:val="single" w:sz="8" w:color="00000A"/>
            </w:tcBorders>
          </w:tcPr>
          <w:p>
            <w:pPr>
              <w:spacing w:after="0"/>
              <w:rPr>
                <w:sz w:val="4"/>
                <w:szCs w:val="4"/>
                <w:color w:val="auto"/>
              </w:rPr>
            </w:pPr>
          </w:p>
        </w:tc>
        <w:tc>
          <w:tcPr>
            <w:tcW w:w="40" w:type="dxa"/>
            <w:vAlign w:val="bottom"/>
            <w:tcBorders>
              <w:top w:val="single" w:sz="8" w:color="0000EE"/>
              <w:bottom w:val="single" w:sz="8" w:color="00000A"/>
            </w:tcBorders>
          </w:tcPr>
          <w:p>
            <w:pPr>
              <w:spacing w:after="0"/>
              <w:rPr>
                <w:sz w:val="4"/>
                <w:szCs w:val="4"/>
                <w:color w:val="auto"/>
              </w:rPr>
            </w:pPr>
          </w:p>
        </w:tc>
        <w:tc>
          <w:tcPr>
            <w:tcW w:w="460" w:type="dxa"/>
            <w:vAlign w:val="bottom"/>
            <w:tcBorders>
              <w:top w:val="single" w:sz="8" w:color="0000EE"/>
              <w:bottom w:val="single" w:sz="8" w:color="00000A"/>
            </w:tcBorders>
          </w:tcPr>
          <w:p>
            <w:pPr>
              <w:spacing w:after="0"/>
              <w:rPr>
                <w:sz w:val="4"/>
                <w:szCs w:val="4"/>
                <w:color w:val="auto"/>
              </w:rPr>
            </w:pPr>
          </w:p>
        </w:tc>
        <w:tc>
          <w:tcPr>
            <w:tcW w:w="40" w:type="dxa"/>
            <w:vAlign w:val="bottom"/>
            <w:tcBorders>
              <w:top w:val="single" w:sz="8" w:color="0000EE"/>
              <w:bottom w:val="single" w:sz="8" w:color="00000A"/>
            </w:tcBorders>
          </w:tcPr>
          <w:p>
            <w:pPr>
              <w:spacing w:after="0"/>
              <w:rPr>
                <w:sz w:val="4"/>
                <w:szCs w:val="4"/>
                <w:color w:val="auto"/>
              </w:rPr>
            </w:pPr>
          </w:p>
        </w:tc>
        <w:tc>
          <w:tcPr>
            <w:tcW w:w="60" w:type="dxa"/>
            <w:vAlign w:val="bottom"/>
            <w:tcBorders>
              <w:bottom w:val="single" w:sz="8" w:color="00000A"/>
            </w:tcBorders>
          </w:tcPr>
          <w:p>
            <w:pPr>
              <w:spacing w:after="0"/>
              <w:rPr>
                <w:sz w:val="4"/>
                <w:szCs w:val="4"/>
                <w:color w:val="auto"/>
              </w:rPr>
            </w:pPr>
          </w:p>
        </w:tc>
        <w:tc>
          <w:tcPr>
            <w:tcW w:w="160" w:type="dxa"/>
            <w:vAlign w:val="bottom"/>
            <w:tcBorders>
              <w:bottom w:val="single" w:sz="8" w:color="00000A"/>
            </w:tcBorders>
          </w:tcPr>
          <w:p>
            <w:pPr>
              <w:spacing w:after="0"/>
              <w:rPr>
                <w:sz w:val="4"/>
                <w:szCs w:val="4"/>
                <w:color w:val="auto"/>
              </w:rPr>
            </w:pPr>
          </w:p>
        </w:tc>
        <w:tc>
          <w:tcPr>
            <w:tcW w:w="320" w:type="dxa"/>
            <w:vAlign w:val="bottom"/>
            <w:tcBorders>
              <w:bottom w:val="single" w:sz="8" w:color="00000A"/>
            </w:tcBorders>
          </w:tcPr>
          <w:p>
            <w:pPr>
              <w:spacing w:after="0"/>
              <w:rPr>
                <w:sz w:val="4"/>
                <w:szCs w:val="4"/>
                <w:color w:val="auto"/>
              </w:rPr>
            </w:pPr>
          </w:p>
        </w:tc>
        <w:tc>
          <w:tcPr>
            <w:tcW w:w="340" w:type="dxa"/>
            <w:vAlign w:val="bottom"/>
            <w:tcBorders>
              <w:bottom w:val="single" w:sz="8" w:color="00000A"/>
            </w:tcBorders>
          </w:tcPr>
          <w:p>
            <w:pPr>
              <w:spacing w:after="0"/>
              <w:rPr>
                <w:sz w:val="4"/>
                <w:szCs w:val="4"/>
                <w:color w:val="auto"/>
              </w:rPr>
            </w:pPr>
          </w:p>
        </w:tc>
        <w:tc>
          <w:tcPr>
            <w:tcW w:w="640" w:type="dxa"/>
            <w:vAlign w:val="bottom"/>
            <w:tcBorders>
              <w:bottom w:val="single" w:sz="8" w:color="00000A"/>
            </w:tcBorders>
          </w:tcPr>
          <w:p>
            <w:pPr>
              <w:spacing w:after="0"/>
              <w:rPr>
                <w:sz w:val="4"/>
                <w:szCs w:val="4"/>
                <w:color w:val="auto"/>
              </w:rPr>
            </w:pPr>
          </w:p>
        </w:tc>
        <w:tc>
          <w:tcPr>
            <w:tcW w:w="20" w:type="dxa"/>
            <w:vAlign w:val="bottom"/>
            <w:tcBorders>
              <w:bottom w:val="single" w:sz="8" w:color="00000A"/>
            </w:tcBorders>
          </w:tcPr>
          <w:p>
            <w:pPr>
              <w:spacing w:after="0"/>
              <w:rPr>
                <w:sz w:val="4"/>
                <w:szCs w:val="4"/>
                <w:color w:val="auto"/>
              </w:rPr>
            </w:pPr>
          </w:p>
        </w:tc>
        <w:tc>
          <w:tcPr>
            <w:tcW w:w="1000" w:type="dxa"/>
            <w:vAlign w:val="bottom"/>
            <w:tcBorders>
              <w:bottom w:val="single" w:sz="8" w:color="00000A"/>
              <w:right w:val="single" w:sz="8" w:color="00000A"/>
            </w:tcBorders>
          </w:tcPr>
          <w:p>
            <w:pPr>
              <w:spacing w:after="0"/>
              <w:rPr>
                <w:sz w:val="4"/>
                <w:szCs w:val="4"/>
                <w:color w:val="auto"/>
              </w:rPr>
            </w:pPr>
          </w:p>
        </w:tc>
        <w:tc>
          <w:tcPr>
            <w:tcW w:w="5480" w:type="dxa"/>
            <w:vAlign w:val="bottom"/>
            <w:tcBorders>
              <w:bottom w:val="single" w:sz="8" w:color="00000A"/>
            </w:tcBorders>
          </w:tcPr>
          <w:p>
            <w:pPr>
              <w:spacing w:after="0"/>
              <w:rPr>
                <w:sz w:val="4"/>
                <w:szCs w:val="4"/>
                <w:color w:val="auto"/>
              </w:rPr>
            </w:pPr>
          </w:p>
        </w:tc>
        <w:tc>
          <w:tcPr>
            <w:tcW w:w="80" w:type="dxa"/>
            <w:vAlign w:val="bottom"/>
            <w:tcBorders>
              <w:bottom w:val="single" w:sz="8" w:color="00000A"/>
            </w:tcBorders>
          </w:tcPr>
          <w:p>
            <w:pPr>
              <w:spacing w:after="0"/>
              <w:rPr>
                <w:sz w:val="4"/>
                <w:szCs w:val="4"/>
                <w:color w:val="auto"/>
              </w:rPr>
            </w:pPr>
          </w:p>
        </w:tc>
        <w:tc>
          <w:tcPr>
            <w:tcW w:w="100" w:type="dxa"/>
            <w:vAlign w:val="bottom"/>
            <w:tcBorders>
              <w:top w:val="single" w:sz="8" w:color="0000EE"/>
              <w:bottom w:val="single" w:sz="8" w:color="00000A"/>
            </w:tcBorders>
          </w:tcPr>
          <w:p>
            <w:pPr>
              <w:spacing w:after="0"/>
              <w:rPr>
                <w:sz w:val="4"/>
                <w:szCs w:val="4"/>
                <w:color w:val="auto"/>
              </w:rPr>
            </w:pPr>
          </w:p>
        </w:tc>
        <w:tc>
          <w:tcPr>
            <w:tcW w:w="40" w:type="dxa"/>
            <w:vAlign w:val="bottom"/>
            <w:tcBorders>
              <w:bottom w:val="single" w:sz="8" w:color="00000A"/>
              <w:right w:val="single" w:sz="8" w:color="00000A"/>
            </w:tcBorders>
          </w:tcPr>
          <w:p>
            <w:pPr>
              <w:spacing w:after="0"/>
              <w:rPr>
                <w:sz w:val="4"/>
                <w:szCs w:val="4"/>
                <w:color w:val="auto"/>
              </w:rPr>
            </w:pPr>
          </w:p>
        </w:tc>
      </w:tr>
      <w:tr>
        <w:trPr>
          <w:trHeight w:val="196"/>
        </w:trPr>
        <w:tc>
          <w:tcPr>
            <w:tcW w:w="40" w:type="dxa"/>
            <w:vAlign w:val="bottom"/>
            <w:tcBorders>
              <w:left w:val="single" w:sz="8" w:color="00000A"/>
            </w:tcBorders>
          </w:tcPr>
          <w:p>
            <w:pPr>
              <w:spacing w:after="0"/>
              <w:rPr>
                <w:sz w:val="17"/>
                <w:szCs w:val="17"/>
                <w:color w:val="auto"/>
              </w:rPr>
            </w:pPr>
          </w:p>
        </w:tc>
        <w:tc>
          <w:tcPr>
            <w:tcW w:w="4700" w:type="dxa"/>
            <w:vAlign w:val="bottom"/>
            <w:gridSpan w:val="19"/>
          </w:tcPr>
          <w:p>
            <w:pPr>
              <w:spacing w:after="0" w:line="196" w:lineRule="exact"/>
              <w:rPr>
                <w:rFonts w:ascii="Arial" w:cs="Arial" w:eastAsia="Arial" w:hAnsi="Arial"/>
                <w:sz w:val="18"/>
                <w:szCs w:val="18"/>
                <w:b w:val="1"/>
                <w:bCs w:val="1"/>
                <w:color w:val="0000EE"/>
              </w:rPr>
            </w:pPr>
            <w:hyperlink w:anchor="page8">
              <w:r>
                <w:rPr>
                  <w:rFonts w:ascii="Arial" w:cs="Arial" w:eastAsia="Arial" w:hAnsi="Arial"/>
                  <w:sz w:val="18"/>
                  <w:szCs w:val="18"/>
                  <w:b w:val="1"/>
                  <w:bCs w:val="1"/>
                  <w:color w:val="0000EE"/>
                </w:rPr>
                <w:t>DESCRIPTION OF PREFERRED STOCK</w:t>
              </w:r>
            </w:hyperlink>
          </w:p>
        </w:tc>
        <w:tc>
          <w:tcPr>
            <w:tcW w:w="1000" w:type="dxa"/>
            <w:vAlign w:val="bottom"/>
            <w:tcBorders>
              <w:right w:val="single" w:sz="8" w:color="00000A"/>
            </w:tcBorders>
          </w:tcPr>
          <w:p>
            <w:pPr>
              <w:spacing w:after="0"/>
              <w:rPr>
                <w:sz w:val="17"/>
                <w:szCs w:val="17"/>
                <w:color w:val="auto"/>
              </w:rPr>
            </w:pPr>
          </w:p>
        </w:tc>
        <w:tc>
          <w:tcPr>
            <w:tcW w:w="5700" w:type="dxa"/>
            <w:vAlign w:val="bottom"/>
            <w:tcBorders>
              <w:right w:val="single" w:sz="8" w:color="00000A"/>
            </w:tcBorders>
            <w:gridSpan w:val="4"/>
          </w:tcPr>
          <w:p>
            <w:pPr>
              <w:jc w:val="right"/>
              <w:ind w:right="40"/>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5</w:t>
              </w:r>
            </w:hyperlink>
          </w:p>
        </w:tc>
      </w:tr>
      <w:tr>
        <w:trPr>
          <w:trHeight w:val="48"/>
        </w:trPr>
        <w:tc>
          <w:tcPr>
            <w:tcW w:w="40" w:type="dxa"/>
            <w:vAlign w:val="bottom"/>
            <w:tcBorders>
              <w:left w:val="single" w:sz="8" w:color="00000A"/>
              <w:bottom w:val="single" w:sz="8" w:color="00000A"/>
            </w:tcBorders>
          </w:tcPr>
          <w:p>
            <w:pPr>
              <w:spacing w:after="0"/>
              <w:rPr>
                <w:sz w:val="4"/>
                <w:szCs w:val="4"/>
                <w:color w:val="auto"/>
              </w:rPr>
            </w:pPr>
          </w:p>
        </w:tc>
        <w:tc>
          <w:tcPr>
            <w:tcW w:w="840" w:type="dxa"/>
            <w:vAlign w:val="bottom"/>
            <w:tcBorders>
              <w:top w:val="single" w:sz="8" w:color="0000EE"/>
              <w:bottom w:val="single" w:sz="8" w:color="00000A"/>
            </w:tcBorders>
          </w:tcPr>
          <w:p>
            <w:pPr>
              <w:spacing w:after="0"/>
              <w:rPr>
                <w:sz w:val="4"/>
                <w:szCs w:val="4"/>
                <w:color w:val="auto"/>
              </w:rPr>
            </w:pPr>
          </w:p>
        </w:tc>
        <w:tc>
          <w:tcPr>
            <w:tcW w:w="500" w:type="dxa"/>
            <w:vAlign w:val="bottom"/>
            <w:tcBorders>
              <w:top w:val="single" w:sz="8" w:color="0000EE"/>
              <w:bottom w:val="single" w:sz="8" w:color="00000A"/>
            </w:tcBorders>
          </w:tcPr>
          <w:p>
            <w:pPr>
              <w:spacing w:after="0"/>
              <w:rPr>
                <w:sz w:val="4"/>
                <w:szCs w:val="4"/>
                <w:color w:val="auto"/>
              </w:rPr>
            </w:pPr>
          </w:p>
        </w:tc>
        <w:tc>
          <w:tcPr>
            <w:tcW w:w="220" w:type="dxa"/>
            <w:vAlign w:val="bottom"/>
            <w:tcBorders>
              <w:top w:val="single" w:sz="8" w:color="0000EE"/>
              <w:bottom w:val="single" w:sz="8" w:color="00000A"/>
            </w:tcBorders>
          </w:tcPr>
          <w:p>
            <w:pPr>
              <w:spacing w:after="0"/>
              <w:rPr>
                <w:sz w:val="4"/>
                <w:szCs w:val="4"/>
                <w:color w:val="auto"/>
              </w:rPr>
            </w:pPr>
          </w:p>
        </w:tc>
        <w:tc>
          <w:tcPr>
            <w:tcW w:w="120" w:type="dxa"/>
            <w:vAlign w:val="bottom"/>
            <w:tcBorders>
              <w:top w:val="single" w:sz="8" w:color="0000EE"/>
              <w:bottom w:val="single" w:sz="8" w:color="00000A"/>
            </w:tcBorders>
          </w:tcPr>
          <w:p>
            <w:pPr>
              <w:spacing w:after="0"/>
              <w:rPr>
                <w:sz w:val="4"/>
                <w:szCs w:val="4"/>
                <w:color w:val="auto"/>
              </w:rPr>
            </w:pPr>
          </w:p>
        </w:tc>
        <w:tc>
          <w:tcPr>
            <w:tcW w:w="460" w:type="dxa"/>
            <w:vAlign w:val="bottom"/>
            <w:tcBorders>
              <w:top w:val="single" w:sz="8" w:color="0000EE"/>
              <w:bottom w:val="single" w:sz="8" w:color="00000A"/>
            </w:tcBorders>
          </w:tcPr>
          <w:p>
            <w:pPr>
              <w:spacing w:after="0"/>
              <w:rPr>
                <w:sz w:val="4"/>
                <w:szCs w:val="4"/>
                <w:color w:val="auto"/>
              </w:rPr>
            </w:pPr>
          </w:p>
        </w:tc>
        <w:tc>
          <w:tcPr>
            <w:tcW w:w="20" w:type="dxa"/>
            <w:vAlign w:val="bottom"/>
            <w:tcBorders>
              <w:top w:val="single" w:sz="8" w:color="0000EE"/>
              <w:bottom w:val="single" w:sz="8" w:color="00000A"/>
            </w:tcBorders>
          </w:tcPr>
          <w:p>
            <w:pPr>
              <w:spacing w:after="0"/>
              <w:rPr>
                <w:sz w:val="4"/>
                <w:szCs w:val="4"/>
                <w:color w:val="auto"/>
              </w:rPr>
            </w:pPr>
          </w:p>
        </w:tc>
        <w:tc>
          <w:tcPr>
            <w:tcW w:w="40" w:type="dxa"/>
            <w:vAlign w:val="bottom"/>
            <w:tcBorders>
              <w:top w:val="single" w:sz="8" w:color="0000EE"/>
              <w:bottom w:val="single" w:sz="8" w:color="00000A"/>
            </w:tcBorders>
          </w:tcPr>
          <w:p>
            <w:pPr>
              <w:spacing w:after="0"/>
              <w:rPr>
                <w:sz w:val="4"/>
                <w:szCs w:val="4"/>
                <w:color w:val="auto"/>
              </w:rPr>
            </w:pPr>
          </w:p>
        </w:tc>
        <w:tc>
          <w:tcPr>
            <w:tcW w:w="160" w:type="dxa"/>
            <w:vAlign w:val="bottom"/>
            <w:tcBorders>
              <w:top w:val="single" w:sz="8" w:color="0000EE"/>
              <w:bottom w:val="single" w:sz="8" w:color="00000A"/>
            </w:tcBorders>
          </w:tcPr>
          <w:p>
            <w:pPr>
              <w:spacing w:after="0"/>
              <w:rPr>
                <w:sz w:val="4"/>
                <w:szCs w:val="4"/>
                <w:color w:val="auto"/>
              </w:rPr>
            </w:pPr>
          </w:p>
        </w:tc>
        <w:tc>
          <w:tcPr>
            <w:tcW w:w="200" w:type="dxa"/>
            <w:vAlign w:val="bottom"/>
            <w:tcBorders>
              <w:top w:val="single" w:sz="8" w:color="0000EE"/>
              <w:bottom w:val="single" w:sz="8" w:color="00000A"/>
            </w:tcBorders>
          </w:tcPr>
          <w:p>
            <w:pPr>
              <w:spacing w:after="0"/>
              <w:rPr>
                <w:sz w:val="4"/>
                <w:szCs w:val="4"/>
                <w:color w:val="auto"/>
              </w:rPr>
            </w:pPr>
          </w:p>
        </w:tc>
        <w:tc>
          <w:tcPr>
            <w:tcW w:w="60" w:type="dxa"/>
            <w:vAlign w:val="bottom"/>
            <w:tcBorders>
              <w:top w:val="single" w:sz="8" w:color="0000EE"/>
              <w:bottom w:val="single" w:sz="8" w:color="00000A"/>
            </w:tcBorders>
          </w:tcPr>
          <w:p>
            <w:pPr>
              <w:spacing w:after="0"/>
              <w:rPr>
                <w:sz w:val="4"/>
                <w:szCs w:val="4"/>
                <w:color w:val="auto"/>
              </w:rPr>
            </w:pPr>
          </w:p>
        </w:tc>
        <w:tc>
          <w:tcPr>
            <w:tcW w:w="40" w:type="dxa"/>
            <w:vAlign w:val="bottom"/>
            <w:tcBorders>
              <w:top w:val="single" w:sz="8" w:color="0000EE"/>
              <w:bottom w:val="single" w:sz="8" w:color="00000A"/>
            </w:tcBorders>
          </w:tcPr>
          <w:p>
            <w:pPr>
              <w:spacing w:after="0"/>
              <w:rPr>
                <w:sz w:val="4"/>
                <w:szCs w:val="4"/>
                <w:color w:val="auto"/>
              </w:rPr>
            </w:pPr>
          </w:p>
        </w:tc>
        <w:tc>
          <w:tcPr>
            <w:tcW w:w="460" w:type="dxa"/>
            <w:vAlign w:val="bottom"/>
            <w:tcBorders>
              <w:top w:val="single" w:sz="8" w:color="0000EE"/>
              <w:bottom w:val="single" w:sz="8" w:color="00000A"/>
            </w:tcBorders>
          </w:tcPr>
          <w:p>
            <w:pPr>
              <w:spacing w:after="0"/>
              <w:rPr>
                <w:sz w:val="4"/>
                <w:szCs w:val="4"/>
                <w:color w:val="auto"/>
              </w:rPr>
            </w:pPr>
          </w:p>
        </w:tc>
        <w:tc>
          <w:tcPr>
            <w:tcW w:w="40" w:type="dxa"/>
            <w:vAlign w:val="bottom"/>
            <w:tcBorders>
              <w:top w:val="single" w:sz="8" w:color="0000EE"/>
              <w:bottom w:val="single" w:sz="8" w:color="00000A"/>
            </w:tcBorders>
          </w:tcPr>
          <w:p>
            <w:pPr>
              <w:spacing w:after="0"/>
              <w:rPr>
                <w:sz w:val="4"/>
                <w:szCs w:val="4"/>
                <w:color w:val="auto"/>
              </w:rPr>
            </w:pPr>
          </w:p>
        </w:tc>
        <w:tc>
          <w:tcPr>
            <w:tcW w:w="60" w:type="dxa"/>
            <w:vAlign w:val="bottom"/>
            <w:tcBorders>
              <w:top w:val="single" w:sz="8" w:color="0000EE"/>
              <w:bottom w:val="single" w:sz="8" w:color="00000A"/>
            </w:tcBorders>
          </w:tcPr>
          <w:p>
            <w:pPr>
              <w:spacing w:after="0"/>
              <w:rPr>
                <w:sz w:val="4"/>
                <w:szCs w:val="4"/>
                <w:color w:val="auto"/>
              </w:rPr>
            </w:pPr>
          </w:p>
        </w:tc>
        <w:tc>
          <w:tcPr>
            <w:tcW w:w="160" w:type="dxa"/>
            <w:vAlign w:val="bottom"/>
            <w:tcBorders>
              <w:top w:val="single" w:sz="8" w:color="0000EE"/>
              <w:bottom w:val="single" w:sz="8" w:color="00000A"/>
            </w:tcBorders>
          </w:tcPr>
          <w:p>
            <w:pPr>
              <w:spacing w:after="0"/>
              <w:rPr>
                <w:sz w:val="4"/>
                <w:szCs w:val="4"/>
                <w:color w:val="auto"/>
              </w:rPr>
            </w:pPr>
          </w:p>
        </w:tc>
        <w:tc>
          <w:tcPr>
            <w:tcW w:w="320" w:type="dxa"/>
            <w:vAlign w:val="bottom"/>
            <w:tcBorders>
              <w:bottom w:val="single" w:sz="8" w:color="00000A"/>
            </w:tcBorders>
          </w:tcPr>
          <w:p>
            <w:pPr>
              <w:spacing w:after="0"/>
              <w:rPr>
                <w:sz w:val="4"/>
                <w:szCs w:val="4"/>
                <w:color w:val="auto"/>
              </w:rPr>
            </w:pPr>
          </w:p>
        </w:tc>
        <w:tc>
          <w:tcPr>
            <w:tcW w:w="340" w:type="dxa"/>
            <w:vAlign w:val="bottom"/>
            <w:tcBorders>
              <w:bottom w:val="single" w:sz="8" w:color="00000A"/>
            </w:tcBorders>
          </w:tcPr>
          <w:p>
            <w:pPr>
              <w:spacing w:after="0"/>
              <w:rPr>
                <w:sz w:val="4"/>
                <w:szCs w:val="4"/>
                <w:color w:val="auto"/>
              </w:rPr>
            </w:pPr>
          </w:p>
        </w:tc>
        <w:tc>
          <w:tcPr>
            <w:tcW w:w="640" w:type="dxa"/>
            <w:vAlign w:val="bottom"/>
            <w:tcBorders>
              <w:bottom w:val="single" w:sz="8" w:color="00000A"/>
            </w:tcBorders>
          </w:tcPr>
          <w:p>
            <w:pPr>
              <w:spacing w:after="0"/>
              <w:rPr>
                <w:sz w:val="4"/>
                <w:szCs w:val="4"/>
                <w:color w:val="auto"/>
              </w:rPr>
            </w:pPr>
          </w:p>
        </w:tc>
        <w:tc>
          <w:tcPr>
            <w:tcW w:w="20" w:type="dxa"/>
            <w:vAlign w:val="bottom"/>
            <w:tcBorders>
              <w:bottom w:val="single" w:sz="8" w:color="00000A"/>
            </w:tcBorders>
          </w:tcPr>
          <w:p>
            <w:pPr>
              <w:spacing w:after="0"/>
              <w:rPr>
                <w:sz w:val="4"/>
                <w:szCs w:val="4"/>
                <w:color w:val="auto"/>
              </w:rPr>
            </w:pPr>
          </w:p>
        </w:tc>
        <w:tc>
          <w:tcPr>
            <w:tcW w:w="1000" w:type="dxa"/>
            <w:vAlign w:val="bottom"/>
            <w:tcBorders>
              <w:bottom w:val="single" w:sz="8" w:color="00000A"/>
              <w:right w:val="single" w:sz="8" w:color="00000A"/>
            </w:tcBorders>
          </w:tcPr>
          <w:p>
            <w:pPr>
              <w:spacing w:after="0"/>
              <w:rPr>
                <w:sz w:val="4"/>
                <w:szCs w:val="4"/>
                <w:color w:val="auto"/>
              </w:rPr>
            </w:pPr>
          </w:p>
        </w:tc>
        <w:tc>
          <w:tcPr>
            <w:tcW w:w="5480" w:type="dxa"/>
            <w:vAlign w:val="bottom"/>
            <w:tcBorders>
              <w:bottom w:val="single" w:sz="8" w:color="00000A"/>
            </w:tcBorders>
          </w:tcPr>
          <w:p>
            <w:pPr>
              <w:spacing w:after="0"/>
              <w:rPr>
                <w:sz w:val="4"/>
                <w:szCs w:val="4"/>
                <w:color w:val="auto"/>
              </w:rPr>
            </w:pPr>
          </w:p>
        </w:tc>
        <w:tc>
          <w:tcPr>
            <w:tcW w:w="80" w:type="dxa"/>
            <w:vAlign w:val="bottom"/>
            <w:tcBorders>
              <w:bottom w:val="single" w:sz="8" w:color="00000A"/>
            </w:tcBorders>
          </w:tcPr>
          <w:p>
            <w:pPr>
              <w:spacing w:after="0"/>
              <w:rPr>
                <w:sz w:val="4"/>
                <w:szCs w:val="4"/>
                <w:color w:val="auto"/>
              </w:rPr>
            </w:pPr>
          </w:p>
        </w:tc>
        <w:tc>
          <w:tcPr>
            <w:tcW w:w="100" w:type="dxa"/>
            <w:vAlign w:val="bottom"/>
            <w:tcBorders>
              <w:top w:val="single" w:sz="8" w:color="0000EE"/>
              <w:bottom w:val="single" w:sz="8" w:color="00000A"/>
            </w:tcBorders>
          </w:tcPr>
          <w:p>
            <w:pPr>
              <w:spacing w:after="0"/>
              <w:rPr>
                <w:sz w:val="4"/>
                <w:szCs w:val="4"/>
                <w:color w:val="auto"/>
              </w:rPr>
            </w:pPr>
          </w:p>
        </w:tc>
        <w:tc>
          <w:tcPr>
            <w:tcW w:w="40" w:type="dxa"/>
            <w:vAlign w:val="bottom"/>
            <w:tcBorders>
              <w:bottom w:val="single" w:sz="8" w:color="00000A"/>
              <w:right w:val="single" w:sz="8" w:color="00000A"/>
            </w:tcBorders>
          </w:tcPr>
          <w:p>
            <w:pPr>
              <w:spacing w:after="0"/>
              <w:rPr>
                <w:sz w:val="4"/>
                <w:szCs w:val="4"/>
                <w:color w:val="auto"/>
              </w:rPr>
            </w:pPr>
          </w:p>
        </w:tc>
      </w:tr>
      <w:tr>
        <w:trPr>
          <w:trHeight w:val="196"/>
        </w:trPr>
        <w:tc>
          <w:tcPr>
            <w:tcW w:w="40" w:type="dxa"/>
            <w:vAlign w:val="bottom"/>
            <w:tcBorders>
              <w:left w:val="single" w:sz="8" w:color="00000A"/>
            </w:tcBorders>
          </w:tcPr>
          <w:p>
            <w:pPr>
              <w:spacing w:after="0"/>
              <w:rPr>
                <w:sz w:val="17"/>
                <w:szCs w:val="17"/>
                <w:color w:val="auto"/>
              </w:rPr>
            </w:pPr>
          </w:p>
        </w:tc>
        <w:tc>
          <w:tcPr>
            <w:tcW w:w="4700" w:type="dxa"/>
            <w:vAlign w:val="bottom"/>
            <w:gridSpan w:val="19"/>
          </w:tcPr>
          <w:p>
            <w:pPr>
              <w:spacing w:after="0" w:line="196" w:lineRule="exact"/>
              <w:rPr>
                <w:rFonts w:ascii="Arial" w:cs="Arial" w:eastAsia="Arial" w:hAnsi="Arial"/>
                <w:sz w:val="18"/>
                <w:szCs w:val="18"/>
                <w:b w:val="1"/>
                <w:bCs w:val="1"/>
                <w:color w:val="0000EE"/>
              </w:rPr>
            </w:pPr>
            <w:hyperlink w:anchor="page9">
              <w:r>
                <w:rPr>
                  <w:rFonts w:ascii="Arial" w:cs="Arial" w:eastAsia="Arial" w:hAnsi="Arial"/>
                  <w:sz w:val="18"/>
                  <w:szCs w:val="18"/>
                  <w:b w:val="1"/>
                  <w:bCs w:val="1"/>
                  <w:color w:val="0000EE"/>
                </w:rPr>
                <w:t>DESCRIPTION OF DEBT SECURITIES</w:t>
              </w:r>
            </w:hyperlink>
          </w:p>
        </w:tc>
        <w:tc>
          <w:tcPr>
            <w:tcW w:w="1000" w:type="dxa"/>
            <w:vAlign w:val="bottom"/>
            <w:tcBorders>
              <w:right w:val="single" w:sz="8" w:color="00000A"/>
            </w:tcBorders>
          </w:tcPr>
          <w:p>
            <w:pPr>
              <w:spacing w:after="0"/>
              <w:rPr>
                <w:sz w:val="17"/>
                <w:szCs w:val="17"/>
                <w:color w:val="auto"/>
              </w:rPr>
            </w:pPr>
          </w:p>
        </w:tc>
        <w:tc>
          <w:tcPr>
            <w:tcW w:w="5700" w:type="dxa"/>
            <w:vAlign w:val="bottom"/>
            <w:tcBorders>
              <w:right w:val="single" w:sz="8" w:color="00000A"/>
            </w:tcBorders>
            <w:gridSpan w:val="4"/>
          </w:tcPr>
          <w:p>
            <w:pPr>
              <w:jc w:val="right"/>
              <w:ind w:right="40"/>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6</w:t>
              </w:r>
            </w:hyperlink>
          </w:p>
        </w:tc>
      </w:tr>
      <w:tr>
        <w:trPr>
          <w:trHeight w:val="48"/>
        </w:trPr>
        <w:tc>
          <w:tcPr>
            <w:tcW w:w="40" w:type="dxa"/>
            <w:vAlign w:val="bottom"/>
            <w:tcBorders>
              <w:left w:val="single" w:sz="8" w:color="00000A"/>
              <w:bottom w:val="single" w:sz="8" w:color="00000A"/>
            </w:tcBorders>
          </w:tcPr>
          <w:p>
            <w:pPr>
              <w:spacing w:after="0"/>
              <w:rPr>
                <w:sz w:val="4"/>
                <w:szCs w:val="4"/>
                <w:color w:val="auto"/>
              </w:rPr>
            </w:pPr>
          </w:p>
        </w:tc>
        <w:tc>
          <w:tcPr>
            <w:tcW w:w="840" w:type="dxa"/>
            <w:vAlign w:val="bottom"/>
            <w:tcBorders>
              <w:top w:val="single" w:sz="8" w:color="0000EE"/>
              <w:bottom w:val="single" w:sz="8" w:color="00000A"/>
            </w:tcBorders>
          </w:tcPr>
          <w:p>
            <w:pPr>
              <w:spacing w:after="0"/>
              <w:rPr>
                <w:sz w:val="4"/>
                <w:szCs w:val="4"/>
                <w:color w:val="auto"/>
              </w:rPr>
            </w:pPr>
          </w:p>
        </w:tc>
        <w:tc>
          <w:tcPr>
            <w:tcW w:w="500" w:type="dxa"/>
            <w:vAlign w:val="bottom"/>
            <w:tcBorders>
              <w:top w:val="single" w:sz="8" w:color="0000EE"/>
              <w:bottom w:val="single" w:sz="8" w:color="00000A"/>
            </w:tcBorders>
          </w:tcPr>
          <w:p>
            <w:pPr>
              <w:spacing w:after="0"/>
              <w:rPr>
                <w:sz w:val="4"/>
                <w:szCs w:val="4"/>
                <w:color w:val="auto"/>
              </w:rPr>
            </w:pPr>
          </w:p>
        </w:tc>
        <w:tc>
          <w:tcPr>
            <w:tcW w:w="220" w:type="dxa"/>
            <w:vAlign w:val="bottom"/>
            <w:tcBorders>
              <w:top w:val="single" w:sz="8" w:color="0000EE"/>
              <w:bottom w:val="single" w:sz="8" w:color="00000A"/>
            </w:tcBorders>
          </w:tcPr>
          <w:p>
            <w:pPr>
              <w:spacing w:after="0"/>
              <w:rPr>
                <w:sz w:val="4"/>
                <w:szCs w:val="4"/>
                <w:color w:val="auto"/>
              </w:rPr>
            </w:pPr>
          </w:p>
        </w:tc>
        <w:tc>
          <w:tcPr>
            <w:tcW w:w="120" w:type="dxa"/>
            <w:vAlign w:val="bottom"/>
            <w:tcBorders>
              <w:top w:val="single" w:sz="8" w:color="0000EE"/>
              <w:bottom w:val="single" w:sz="8" w:color="00000A"/>
            </w:tcBorders>
          </w:tcPr>
          <w:p>
            <w:pPr>
              <w:spacing w:after="0"/>
              <w:rPr>
                <w:sz w:val="4"/>
                <w:szCs w:val="4"/>
                <w:color w:val="auto"/>
              </w:rPr>
            </w:pPr>
          </w:p>
        </w:tc>
        <w:tc>
          <w:tcPr>
            <w:tcW w:w="460" w:type="dxa"/>
            <w:vAlign w:val="bottom"/>
            <w:tcBorders>
              <w:top w:val="single" w:sz="8" w:color="0000EE"/>
              <w:bottom w:val="single" w:sz="8" w:color="00000A"/>
            </w:tcBorders>
          </w:tcPr>
          <w:p>
            <w:pPr>
              <w:spacing w:after="0"/>
              <w:rPr>
                <w:sz w:val="4"/>
                <w:szCs w:val="4"/>
                <w:color w:val="auto"/>
              </w:rPr>
            </w:pPr>
          </w:p>
        </w:tc>
        <w:tc>
          <w:tcPr>
            <w:tcW w:w="20" w:type="dxa"/>
            <w:vAlign w:val="bottom"/>
            <w:tcBorders>
              <w:top w:val="single" w:sz="8" w:color="0000EE"/>
              <w:bottom w:val="single" w:sz="8" w:color="00000A"/>
            </w:tcBorders>
          </w:tcPr>
          <w:p>
            <w:pPr>
              <w:spacing w:after="0"/>
              <w:rPr>
                <w:sz w:val="4"/>
                <w:szCs w:val="4"/>
                <w:color w:val="auto"/>
              </w:rPr>
            </w:pPr>
          </w:p>
        </w:tc>
        <w:tc>
          <w:tcPr>
            <w:tcW w:w="40" w:type="dxa"/>
            <w:vAlign w:val="bottom"/>
            <w:tcBorders>
              <w:top w:val="single" w:sz="8" w:color="0000EE"/>
              <w:bottom w:val="single" w:sz="8" w:color="00000A"/>
            </w:tcBorders>
          </w:tcPr>
          <w:p>
            <w:pPr>
              <w:spacing w:after="0"/>
              <w:rPr>
                <w:sz w:val="4"/>
                <w:szCs w:val="4"/>
                <w:color w:val="auto"/>
              </w:rPr>
            </w:pPr>
          </w:p>
        </w:tc>
        <w:tc>
          <w:tcPr>
            <w:tcW w:w="160" w:type="dxa"/>
            <w:vAlign w:val="bottom"/>
            <w:tcBorders>
              <w:top w:val="single" w:sz="8" w:color="0000EE"/>
              <w:bottom w:val="single" w:sz="8" w:color="00000A"/>
            </w:tcBorders>
          </w:tcPr>
          <w:p>
            <w:pPr>
              <w:spacing w:after="0"/>
              <w:rPr>
                <w:sz w:val="4"/>
                <w:szCs w:val="4"/>
                <w:color w:val="auto"/>
              </w:rPr>
            </w:pPr>
          </w:p>
        </w:tc>
        <w:tc>
          <w:tcPr>
            <w:tcW w:w="200" w:type="dxa"/>
            <w:vAlign w:val="bottom"/>
            <w:tcBorders>
              <w:top w:val="single" w:sz="8" w:color="0000EE"/>
              <w:bottom w:val="single" w:sz="8" w:color="00000A"/>
            </w:tcBorders>
          </w:tcPr>
          <w:p>
            <w:pPr>
              <w:spacing w:after="0"/>
              <w:rPr>
                <w:sz w:val="4"/>
                <w:szCs w:val="4"/>
                <w:color w:val="auto"/>
              </w:rPr>
            </w:pPr>
          </w:p>
        </w:tc>
        <w:tc>
          <w:tcPr>
            <w:tcW w:w="60" w:type="dxa"/>
            <w:vAlign w:val="bottom"/>
            <w:tcBorders>
              <w:top w:val="single" w:sz="8" w:color="0000EE"/>
              <w:bottom w:val="single" w:sz="8" w:color="00000A"/>
            </w:tcBorders>
          </w:tcPr>
          <w:p>
            <w:pPr>
              <w:spacing w:after="0"/>
              <w:rPr>
                <w:sz w:val="4"/>
                <w:szCs w:val="4"/>
                <w:color w:val="auto"/>
              </w:rPr>
            </w:pPr>
          </w:p>
        </w:tc>
        <w:tc>
          <w:tcPr>
            <w:tcW w:w="40" w:type="dxa"/>
            <w:vAlign w:val="bottom"/>
            <w:tcBorders>
              <w:top w:val="single" w:sz="8" w:color="0000EE"/>
              <w:bottom w:val="single" w:sz="8" w:color="00000A"/>
            </w:tcBorders>
          </w:tcPr>
          <w:p>
            <w:pPr>
              <w:spacing w:after="0"/>
              <w:rPr>
                <w:sz w:val="4"/>
                <w:szCs w:val="4"/>
                <w:color w:val="auto"/>
              </w:rPr>
            </w:pPr>
          </w:p>
        </w:tc>
        <w:tc>
          <w:tcPr>
            <w:tcW w:w="460" w:type="dxa"/>
            <w:vAlign w:val="bottom"/>
            <w:tcBorders>
              <w:top w:val="single" w:sz="8" w:color="0000EE"/>
              <w:bottom w:val="single" w:sz="8" w:color="00000A"/>
            </w:tcBorders>
          </w:tcPr>
          <w:p>
            <w:pPr>
              <w:spacing w:after="0"/>
              <w:rPr>
                <w:sz w:val="4"/>
                <w:szCs w:val="4"/>
                <w:color w:val="auto"/>
              </w:rPr>
            </w:pPr>
          </w:p>
        </w:tc>
        <w:tc>
          <w:tcPr>
            <w:tcW w:w="40" w:type="dxa"/>
            <w:vAlign w:val="bottom"/>
            <w:tcBorders>
              <w:top w:val="single" w:sz="8" w:color="0000EE"/>
              <w:bottom w:val="single" w:sz="8" w:color="00000A"/>
            </w:tcBorders>
          </w:tcPr>
          <w:p>
            <w:pPr>
              <w:spacing w:after="0"/>
              <w:rPr>
                <w:sz w:val="4"/>
                <w:szCs w:val="4"/>
                <w:color w:val="auto"/>
              </w:rPr>
            </w:pPr>
          </w:p>
        </w:tc>
        <w:tc>
          <w:tcPr>
            <w:tcW w:w="60" w:type="dxa"/>
            <w:vAlign w:val="bottom"/>
            <w:tcBorders>
              <w:top w:val="single" w:sz="8" w:color="0000EE"/>
              <w:bottom w:val="single" w:sz="8" w:color="00000A"/>
            </w:tcBorders>
          </w:tcPr>
          <w:p>
            <w:pPr>
              <w:spacing w:after="0"/>
              <w:rPr>
                <w:sz w:val="4"/>
                <w:szCs w:val="4"/>
                <w:color w:val="auto"/>
              </w:rPr>
            </w:pPr>
          </w:p>
        </w:tc>
        <w:tc>
          <w:tcPr>
            <w:tcW w:w="160" w:type="dxa"/>
            <w:vAlign w:val="bottom"/>
            <w:tcBorders>
              <w:bottom w:val="single" w:sz="8" w:color="00000A"/>
            </w:tcBorders>
          </w:tcPr>
          <w:p>
            <w:pPr>
              <w:spacing w:after="0"/>
              <w:rPr>
                <w:sz w:val="4"/>
                <w:szCs w:val="4"/>
                <w:color w:val="auto"/>
              </w:rPr>
            </w:pPr>
          </w:p>
        </w:tc>
        <w:tc>
          <w:tcPr>
            <w:tcW w:w="320" w:type="dxa"/>
            <w:vAlign w:val="bottom"/>
            <w:tcBorders>
              <w:bottom w:val="single" w:sz="8" w:color="00000A"/>
            </w:tcBorders>
          </w:tcPr>
          <w:p>
            <w:pPr>
              <w:spacing w:after="0"/>
              <w:rPr>
                <w:sz w:val="4"/>
                <w:szCs w:val="4"/>
                <w:color w:val="auto"/>
              </w:rPr>
            </w:pPr>
          </w:p>
        </w:tc>
        <w:tc>
          <w:tcPr>
            <w:tcW w:w="340" w:type="dxa"/>
            <w:vAlign w:val="bottom"/>
            <w:tcBorders>
              <w:bottom w:val="single" w:sz="8" w:color="00000A"/>
            </w:tcBorders>
          </w:tcPr>
          <w:p>
            <w:pPr>
              <w:spacing w:after="0"/>
              <w:rPr>
                <w:sz w:val="4"/>
                <w:szCs w:val="4"/>
                <w:color w:val="auto"/>
              </w:rPr>
            </w:pPr>
          </w:p>
        </w:tc>
        <w:tc>
          <w:tcPr>
            <w:tcW w:w="640" w:type="dxa"/>
            <w:vAlign w:val="bottom"/>
            <w:tcBorders>
              <w:bottom w:val="single" w:sz="8" w:color="00000A"/>
            </w:tcBorders>
          </w:tcPr>
          <w:p>
            <w:pPr>
              <w:spacing w:after="0"/>
              <w:rPr>
                <w:sz w:val="4"/>
                <w:szCs w:val="4"/>
                <w:color w:val="auto"/>
              </w:rPr>
            </w:pPr>
          </w:p>
        </w:tc>
        <w:tc>
          <w:tcPr>
            <w:tcW w:w="20" w:type="dxa"/>
            <w:vAlign w:val="bottom"/>
            <w:tcBorders>
              <w:bottom w:val="single" w:sz="8" w:color="00000A"/>
            </w:tcBorders>
          </w:tcPr>
          <w:p>
            <w:pPr>
              <w:spacing w:after="0"/>
              <w:rPr>
                <w:sz w:val="4"/>
                <w:szCs w:val="4"/>
                <w:color w:val="auto"/>
              </w:rPr>
            </w:pPr>
          </w:p>
        </w:tc>
        <w:tc>
          <w:tcPr>
            <w:tcW w:w="1000" w:type="dxa"/>
            <w:vAlign w:val="bottom"/>
            <w:tcBorders>
              <w:bottom w:val="single" w:sz="8" w:color="00000A"/>
              <w:right w:val="single" w:sz="8" w:color="00000A"/>
            </w:tcBorders>
          </w:tcPr>
          <w:p>
            <w:pPr>
              <w:spacing w:after="0"/>
              <w:rPr>
                <w:sz w:val="4"/>
                <w:szCs w:val="4"/>
                <w:color w:val="auto"/>
              </w:rPr>
            </w:pPr>
          </w:p>
        </w:tc>
        <w:tc>
          <w:tcPr>
            <w:tcW w:w="5480" w:type="dxa"/>
            <w:vAlign w:val="bottom"/>
            <w:tcBorders>
              <w:bottom w:val="single" w:sz="8" w:color="00000A"/>
            </w:tcBorders>
          </w:tcPr>
          <w:p>
            <w:pPr>
              <w:spacing w:after="0"/>
              <w:rPr>
                <w:sz w:val="4"/>
                <w:szCs w:val="4"/>
                <w:color w:val="auto"/>
              </w:rPr>
            </w:pPr>
          </w:p>
        </w:tc>
        <w:tc>
          <w:tcPr>
            <w:tcW w:w="80" w:type="dxa"/>
            <w:vAlign w:val="bottom"/>
            <w:tcBorders>
              <w:bottom w:val="single" w:sz="8" w:color="00000A"/>
            </w:tcBorders>
          </w:tcPr>
          <w:p>
            <w:pPr>
              <w:spacing w:after="0"/>
              <w:rPr>
                <w:sz w:val="4"/>
                <w:szCs w:val="4"/>
                <w:color w:val="auto"/>
              </w:rPr>
            </w:pPr>
          </w:p>
        </w:tc>
        <w:tc>
          <w:tcPr>
            <w:tcW w:w="100" w:type="dxa"/>
            <w:vAlign w:val="bottom"/>
            <w:tcBorders>
              <w:top w:val="single" w:sz="8" w:color="0000EE"/>
              <w:bottom w:val="single" w:sz="8" w:color="00000A"/>
            </w:tcBorders>
          </w:tcPr>
          <w:p>
            <w:pPr>
              <w:spacing w:after="0"/>
              <w:rPr>
                <w:sz w:val="4"/>
                <w:szCs w:val="4"/>
                <w:color w:val="auto"/>
              </w:rPr>
            </w:pPr>
          </w:p>
        </w:tc>
        <w:tc>
          <w:tcPr>
            <w:tcW w:w="40" w:type="dxa"/>
            <w:vAlign w:val="bottom"/>
            <w:tcBorders>
              <w:bottom w:val="single" w:sz="8" w:color="00000A"/>
              <w:right w:val="single" w:sz="8" w:color="00000A"/>
            </w:tcBorders>
          </w:tcPr>
          <w:p>
            <w:pPr>
              <w:spacing w:after="0"/>
              <w:rPr>
                <w:sz w:val="4"/>
                <w:szCs w:val="4"/>
                <w:color w:val="auto"/>
              </w:rPr>
            </w:pPr>
          </w:p>
        </w:tc>
      </w:tr>
      <w:tr>
        <w:trPr>
          <w:trHeight w:val="196"/>
        </w:trPr>
        <w:tc>
          <w:tcPr>
            <w:tcW w:w="40" w:type="dxa"/>
            <w:vAlign w:val="bottom"/>
            <w:tcBorders>
              <w:left w:val="single" w:sz="8" w:color="00000A"/>
            </w:tcBorders>
          </w:tcPr>
          <w:p>
            <w:pPr>
              <w:spacing w:after="0"/>
              <w:rPr>
                <w:sz w:val="17"/>
                <w:szCs w:val="17"/>
                <w:color w:val="auto"/>
              </w:rPr>
            </w:pPr>
          </w:p>
        </w:tc>
        <w:tc>
          <w:tcPr>
            <w:tcW w:w="4700" w:type="dxa"/>
            <w:vAlign w:val="bottom"/>
            <w:gridSpan w:val="19"/>
          </w:tcPr>
          <w:p>
            <w:pPr>
              <w:spacing w:after="0" w:line="196" w:lineRule="exact"/>
              <w:rPr>
                <w:rFonts w:ascii="Arial" w:cs="Arial" w:eastAsia="Arial" w:hAnsi="Arial"/>
                <w:sz w:val="18"/>
                <w:szCs w:val="18"/>
                <w:b w:val="1"/>
                <w:bCs w:val="1"/>
                <w:color w:val="0000EE"/>
              </w:rPr>
            </w:pPr>
            <w:hyperlink w:anchor="page15">
              <w:r>
                <w:rPr>
                  <w:rFonts w:ascii="Arial" w:cs="Arial" w:eastAsia="Arial" w:hAnsi="Arial"/>
                  <w:sz w:val="18"/>
                  <w:szCs w:val="18"/>
                  <w:b w:val="1"/>
                  <w:bCs w:val="1"/>
                  <w:color w:val="0000EE"/>
                </w:rPr>
                <w:t>DESCRIPTION OF WARRANTS</w:t>
              </w:r>
            </w:hyperlink>
          </w:p>
        </w:tc>
        <w:tc>
          <w:tcPr>
            <w:tcW w:w="1000" w:type="dxa"/>
            <w:vAlign w:val="bottom"/>
            <w:tcBorders>
              <w:right w:val="single" w:sz="8" w:color="00000A"/>
            </w:tcBorders>
          </w:tcPr>
          <w:p>
            <w:pPr>
              <w:spacing w:after="0"/>
              <w:rPr>
                <w:sz w:val="17"/>
                <w:szCs w:val="17"/>
                <w:color w:val="auto"/>
              </w:rPr>
            </w:pPr>
          </w:p>
        </w:tc>
        <w:tc>
          <w:tcPr>
            <w:tcW w:w="5700" w:type="dxa"/>
            <w:vAlign w:val="bottom"/>
            <w:tcBorders>
              <w:right w:val="single" w:sz="8" w:color="00000A"/>
            </w:tcBorders>
            <w:gridSpan w:val="4"/>
          </w:tcPr>
          <w:p>
            <w:pPr>
              <w:jc w:val="right"/>
              <w:ind w:right="40"/>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12</w:t>
              </w:r>
            </w:hyperlink>
          </w:p>
        </w:tc>
      </w:tr>
      <w:tr>
        <w:trPr>
          <w:trHeight w:val="48"/>
        </w:trPr>
        <w:tc>
          <w:tcPr>
            <w:tcW w:w="40" w:type="dxa"/>
            <w:vAlign w:val="bottom"/>
            <w:tcBorders>
              <w:left w:val="single" w:sz="8" w:color="00000A"/>
              <w:bottom w:val="single" w:sz="8" w:color="00000A"/>
            </w:tcBorders>
          </w:tcPr>
          <w:p>
            <w:pPr>
              <w:spacing w:after="0"/>
              <w:rPr>
                <w:sz w:val="4"/>
                <w:szCs w:val="4"/>
                <w:color w:val="auto"/>
              </w:rPr>
            </w:pPr>
          </w:p>
        </w:tc>
        <w:tc>
          <w:tcPr>
            <w:tcW w:w="840" w:type="dxa"/>
            <w:vAlign w:val="bottom"/>
            <w:tcBorders>
              <w:top w:val="single" w:sz="8" w:color="0000EE"/>
              <w:bottom w:val="single" w:sz="8" w:color="00000A"/>
            </w:tcBorders>
          </w:tcPr>
          <w:p>
            <w:pPr>
              <w:spacing w:after="0"/>
              <w:rPr>
                <w:sz w:val="4"/>
                <w:szCs w:val="4"/>
                <w:color w:val="auto"/>
              </w:rPr>
            </w:pPr>
          </w:p>
        </w:tc>
        <w:tc>
          <w:tcPr>
            <w:tcW w:w="500" w:type="dxa"/>
            <w:vAlign w:val="bottom"/>
            <w:tcBorders>
              <w:top w:val="single" w:sz="8" w:color="0000EE"/>
              <w:bottom w:val="single" w:sz="8" w:color="00000A"/>
            </w:tcBorders>
          </w:tcPr>
          <w:p>
            <w:pPr>
              <w:spacing w:after="0"/>
              <w:rPr>
                <w:sz w:val="4"/>
                <w:szCs w:val="4"/>
                <w:color w:val="auto"/>
              </w:rPr>
            </w:pPr>
          </w:p>
        </w:tc>
        <w:tc>
          <w:tcPr>
            <w:tcW w:w="220" w:type="dxa"/>
            <w:vAlign w:val="bottom"/>
            <w:tcBorders>
              <w:top w:val="single" w:sz="8" w:color="0000EE"/>
              <w:bottom w:val="single" w:sz="8" w:color="00000A"/>
            </w:tcBorders>
          </w:tcPr>
          <w:p>
            <w:pPr>
              <w:spacing w:after="0"/>
              <w:rPr>
                <w:sz w:val="4"/>
                <w:szCs w:val="4"/>
                <w:color w:val="auto"/>
              </w:rPr>
            </w:pPr>
          </w:p>
        </w:tc>
        <w:tc>
          <w:tcPr>
            <w:tcW w:w="120" w:type="dxa"/>
            <w:vAlign w:val="bottom"/>
            <w:tcBorders>
              <w:top w:val="single" w:sz="8" w:color="0000EE"/>
              <w:bottom w:val="single" w:sz="8" w:color="00000A"/>
            </w:tcBorders>
          </w:tcPr>
          <w:p>
            <w:pPr>
              <w:spacing w:after="0"/>
              <w:rPr>
                <w:sz w:val="4"/>
                <w:szCs w:val="4"/>
                <w:color w:val="auto"/>
              </w:rPr>
            </w:pPr>
          </w:p>
        </w:tc>
        <w:tc>
          <w:tcPr>
            <w:tcW w:w="460" w:type="dxa"/>
            <w:vAlign w:val="bottom"/>
            <w:tcBorders>
              <w:top w:val="single" w:sz="8" w:color="0000EE"/>
              <w:bottom w:val="single" w:sz="8" w:color="00000A"/>
            </w:tcBorders>
          </w:tcPr>
          <w:p>
            <w:pPr>
              <w:spacing w:after="0"/>
              <w:rPr>
                <w:sz w:val="4"/>
                <w:szCs w:val="4"/>
                <w:color w:val="auto"/>
              </w:rPr>
            </w:pPr>
          </w:p>
        </w:tc>
        <w:tc>
          <w:tcPr>
            <w:tcW w:w="20" w:type="dxa"/>
            <w:vAlign w:val="bottom"/>
            <w:tcBorders>
              <w:top w:val="single" w:sz="8" w:color="0000EE"/>
              <w:bottom w:val="single" w:sz="8" w:color="00000A"/>
            </w:tcBorders>
          </w:tcPr>
          <w:p>
            <w:pPr>
              <w:spacing w:after="0"/>
              <w:rPr>
                <w:sz w:val="4"/>
                <w:szCs w:val="4"/>
                <w:color w:val="auto"/>
              </w:rPr>
            </w:pPr>
          </w:p>
        </w:tc>
        <w:tc>
          <w:tcPr>
            <w:tcW w:w="40" w:type="dxa"/>
            <w:vAlign w:val="bottom"/>
            <w:tcBorders>
              <w:top w:val="single" w:sz="8" w:color="0000EE"/>
              <w:bottom w:val="single" w:sz="8" w:color="00000A"/>
            </w:tcBorders>
          </w:tcPr>
          <w:p>
            <w:pPr>
              <w:spacing w:after="0"/>
              <w:rPr>
                <w:sz w:val="4"/>
                <w:szCs w:val="4"/>
                <w:color w:val="auto"/>
              </w:rPr>
            </w:pPr>
          </w:p>
        </w:tc>
        <w:tc>
          <w:tcPr>
            <w:tcW w:w="160" w:type="dxa"/>
            <w:vAlign w:val="bottom"/>
            <w:tcBorders>
              <w:top w:val="single" w:sz="8" w:color="0000EE"/>
              <w:bottom w:val="single" w:sz="8" w:color="00000A"/>
            </w:tcBorders>
          </w:tcPr>
          <w:p>
            <w:pPr>
              <w:spacing w:after="0"/>
              <w:rPr>
                <w:sz w:val="4"/>
                <w:szCs w:val="4"/>
                <w:color w:val="auto"/>
              </w:rPr>
            </w:pPr>
          </w:p>
        </w:tc>
        <w:tc>
          <w:tcPr>
            <w:tcW w:w="200" w:type="dxa"/>
            <w:vAlign w:val="bottom"/>
            <w:tcBorders>
              <w:top w:val="single" w:sz="8" w:color="0000EE"/>
              <w:bottom w:val="single" w:sz="8" w:color="00000A"/>
            </w:tcBorders>
          </w:tcPr>
          <w:p>
            <w:pPr>
              <w:spacing w:after="0"/>
              <w:rPr>
                <w:sz w:val="4"/>
                <w:szCs w:val="4"/>
                <w:color w:val="auto"/>
              </w:rPr>
            </w:pPr>
          </w:p>
        </w:tc>
        <w:tc>
          <w:tcPr>
            <w:tcW w:w="60" w:type="dxa"/>
            <w:vAlign w:val="bottom"/>
            <w:tcBorders>
              <w:top w:val="single" w:sz="8" w:color="0000EE"/>
              <w:bottom w:val="single" w:sz="8" w:color="00000A"/>
            </w:tcBorders>
          </w:tcPr>
          <w:p>
            <w:pPr>
              <w:spacing w:after="0"/>
              <w:rPr>
                <w:sz w:val="4"/>
                <w:szCs w:val="4"/>
                <w:color w:val="auto"/>
              </w:rPr>
            </w:pPr>
          </w:p>
        </w:tc>
        <w:tc>
          <w:tcPr>
            <w:tcW w:w="40" w:type="dxa"/>
            <w:vAlign w:val="bottom"/>
            <w:tcBorders>
              <w:bottom w:val="single" w:sz="8" w:color="00000A"/>
            </w:tcBorders>
          </w:tcPr>
          <w:p>
            <w:pPr>
              <w:spacing w:after="0"/>
              <w:rPr>
                <w:sz w:val="4"/>
                <w:szCs w:val="4"/>
                <w:color w:val="auto"/>
              </w:rPr>
            </w:pPr>
          </w:p>
        </w:tc>
        <w:tc>
          <w:tcPr>
            <w:tcW w:w="460" w:type="dxa"/>
            <w:vAlign w:val="bottom"/>
            <w:tcBorders>
              <w:bottom w:val="single" w:sz="8" w:color="00000A"/>
            </w:tcBorders>
          </w:tcPr>
          <w:p>
            <w:pPr>
              <w:spacing w:after="0"/>
              <w:rPr>
                <w:sz w:val="4"/>
                <w:szCs w:val="4"/>
                <w:color w:val="auto"/>
              </w:rPr>
            </w:pPr>
          </w:p>
        </w:tc>
        <w:tc>
          <w:tcPr>
            <w:tcW w:w="40" w:type="dxa"/>
            <w:vAlign w:val="bottom"/>
            <w:tcBorders>
              <w:bottom w:val="single" w:sz="8" w:color="00000A"/>
            </w:tcBorders>
          </w:tcPr>
          <w:p>
            <w:pPr>
              <w:spacing w:after="0"/>
              <w:rPr>
                <w:sz w:val="4"/>
                <w:szCs w:val="4"/>
                <w:color w:val="auto"/>
              </w:rPr>
            </w:pPr>
          </w:p>
        </w:tc>
        <w:tc>
          <w:tcPr>
            <w:tcW w:w="60" w:type="dxa"/>
            <w:vAlign w:val="bottom"/>
            <w:tcBorders>
              <w:bottom w:val="single" w:sz="8" w:color="00000A"/>
            </w:tcBorders>
          </w:tcPr>
          <w:p>
            <w:pPr>
              <w:spacing w:after="0"/>
              <w:rPr>
                <w:sz w:val="4"/>
                <w:szCs w:val="4"/>
                <w:color w:val="auto"/>
              </w:rPr>
            </w:pPr>
          </w:p>
        </w:tc>
        <w:tc>
          <w:tcPr>
            <w:tcW w:w="160" w:type="dxa"/>
            <w:vAlign w:val="bottom"/>
            <w:tcBorders>
              <w:bottom w:val="single" w:sz="8" w:color="00000A"/>
            </w:tcBorders>
          </w:tcPr>
          <w:p>
            <w:pPr>
              <w:spacing w:after="0"/>
              <w:rPr>
                <w:sz w:val="4"/>
                <w:szCs w:val="4"/>
                <w:color w:val="auto"/>
              </w:rPr>
            </w:pPr>
          </w:p>
        </w:tc>
        <w:tc>
          <w:tcPr>
            <w:tcW w:w="320" w:type="dxa"/>
            <w:vAlign w:val="bottom"/>
            <w:tcBorders>
              <w:bottom w:val="single" w:sz="8" w:color="00000A"/>
            </w:tcBorders>
          </w:tcPr>
          <w:p>
            <w:pPr>
              <w:spacing w:after="0"/>
              <w:rPr>
                <w:sz w:val="4"/>
                <w:szCs w:val="4"/>
                <w:color w:val="auto"/>
              </w:rPr>
            </w:pPr>
          </w:p>
        </w:tc>
        <w:tc>
          <w:tcPr>
            <w:tcW w:w="340" w:type="dxa"/>
            <w:vAlign w:val="bottom"/>
            <w:tcBorders>
              <w:bottom w:val="single" w:sz="8" w:color="00000A"/>
            </w:tcBorders>
          </w:tcPr>
          <w:p>
            <w:pPr>
              <w:spacing w:after="0"/>
              <w:rPr>
                <w:sz w:val="4"/>
                <w:szCs w:val="4"/>
                <w:color w:val="auto"/>
              </w:rPr>
            </w:pPr>
          </w:p>
        </w:tc>
        <w:tc>
          <w:tcPr>
            <w:tcW w:w="640" w:type="dxa"/>
            <w:vAlign w:val="bottom"/>
            <w:tcBorders>
              <w:bottom w:val="single" w:sz="8" w:color="00000A"/>
            </w:tcBorders>
          </w:tcPr>
          <w:p>
            <w:pPr>
              <w:spacing w:after="0"/>
              <w:rPr>
                <w:sz w:val="4"/>
                <w:szCs w:val="4"/>
                <w:color w:val="auto"/>
              </w:rPr>
            </w:pPr>
          </w:p>
        </w:tc>
        <w:tc>
          <w:tcPr>
            <w:tcW w:w="20" w:type="dxa"/>
            <w:vAlign w:val="bottom"/>
            <w:tcBorders>
              <w:bottom w:val="single" w:sz="8" w:color="00000A"/>
            </w:tcBorders>
          </w:tcPr>
          <w:p>
            <w:pPr>
              <w:spacing w:after="0"/>
              <w:rPr>
                <w:sz w:val="4"/>
                <w:szCs w:val="4"/>
                <w:color w:val="auto"/>
              </w:rPr>
            </w:pPr>
          </w:p>
        </w:tc>
        <w:tc>
          <w:tcPr>
            <w:tcW w:w="1000" w:type="dxa"/>
            <w:vAlign w:val="bottom"/>
            <w:tcBorders>
              <w:bottom w:val="single" w:sz="8" w:color="00000A"/>
              <w:right w:val="single" w:sz="8" w:color="00000A"/>
            </w:tcBorders>
          </w:tcPr>
          <w:p>
            <w:pPr>
              <w:spacing w:after="0"/>
              <w:rPr>
                <w:sz w:val="4"/>
                <w:szCs w:val="4"/>
                <w:color w:val="auto"/>
              </w:rPr>
            </w:pPr>
          </w:p>
        </w:tc>
        <w:tc>
          <w:tcPr>
            <w:tcW w:w="5480" w:type="dxa"/>
            <w:vAlign w:val="bottom"/>
            <w:tcBorders>
              <w:bottom w:val="single" w:sz="8" w:color="00000A"/>
            </w:tcBorders>
          </w:tcPr>
          <w:p>
            <w:pPr>
              <w:spacing w:after="0"/>
              <w:rPr>
                <w:sz w:val="4"/>
                <w:szCs w:val="4"/>
                <w:color w:val="auto"/>
              </w:rPr>
            </w:pPr>
          </w:p>
        </w:tc>
        <w:tc>
          <w:tcPr>
            <w:tcW w:w="80" w:type="dxa"/>
            <w:vAlign w:val="bottom"/>
            <w:tcBorders>
              <w:top w:val="single" w:sz="8" w:color="0000EE"/>
              <w:bottom w:val="single" w:sz="8" w:color="00000A"/>
            </w:tcBorders>
          </w:tcPr>
          <w:p>
            <w:pPr>
              <w:spacing w:after="0"/>
              <w:rPr>
                <w:sz w:val="4"/>
                <w:szCs w:val="4"/>
                <w:color w:val="auto"/>
              </w:rPr>
            </w:pPr>
          </w:p>
        </w:tc>
        <w:tc>
          <w:tcPr>
            <w:tcW w:w="100" w:type="dxa"/>
            <w:vAlign w:val="bottom"/>
            <w:tcBorders>
              <w:top w:val="single" w:sz="8" w:color="0000EE"/>
              <w:bottom w:val="single" w:sz="8" w:color="00000A"/>
            </w:tcBorders>
          </w:tcPr>
          <w:p>
            <w:pPr>
              <w:spacing w:after="0"/>
              <w:rPr>
                <w:sz w:val="4"/>
                <w:szCs w:val="4"/>
                <w:color w:val="auto"/>
              </w:rPr>
            </w:pPr>
          </w:p>
        </w:tc>
        <w:tc>
          <w:tcPr>
            <w:tcW w:w="40" w:type="dxa"/>
            <w:vAlign w:val="bottom"/>
            <w:tcBorders>
              <w:bottom w:val="single" w:sz="8" w:color="00000A"/>
              <w:right w:val="single" w:sz="8" w:color="00000A"/>
            </w:tcBorders>
          </w:tcPr>
          <w:p>
            <w:pPr>
              <w:spacing w:after="0"/>
              <w:rPr>
                <w:sz w:val="4"/>
                <w:szCs w:val="4"/>
                <w:color w:val="auto"/>
              </w:rPr>
            </w:pPr>
          </w:p>
        </w:tc>
      </w:tr>
      <w:tr>
        <w:trPr>
          <w:trHeight w:val="196"/>
        </w:trPr>
        <w:tc>
          <w:tcPr>
            <w:tcW w:w="40" w:type="dxa"/>
            <w:vAlign w:val="bottom"/>
            <w:tcBorders>
              <w:left w:val="single" w:sz="8" w:color="00000A"/>
            </w:tcBorders>
          </w:tcPr>
          <w:p>
            <w:pPr>
              <w:spacing w:after="0"/>
              <w:rPr>
                <w:sz w:val="17"/>
                <w:szCs w:val="17"/>
                <w:color w:val="auto"/>
              </w:rPr>
            </w:pPr>
          </w:p>
        </w:tc>
        <w:tc>
          <w:tcPr>
            <w:tcW w:w="4700" w:type="dxa"/>
            <w:vAlign w:val="bottom"/>
            <w:gridSpan w:val="19"/>
          </w:tcPr>
          <w:p>
            <w:pPr>
              <w:spacing w:after="0" w:line="196" w:lineRule="exact"/>
              <w:rPr>
                <w:rFonts w:ascii="Arial" w:cs="Arial" w:eastAsia="Arial" w:hAnsi="Arial"/>
                <w:sz w:val="18"/>
                <w:szCs w:val="18"/>
                <w:b w:val="1"/>
                <w:bCs w:val="1"/>
                <w:color w:val="0000EE"/>
              </w:rPr>
            </w:pPr>
            <w:hyperlink w:anchor="page16">
              <w:r>
                <w:rPr>
                  <w:rFonts w:ascii="Arial" w:cs="Arial" w:eastAsia="Arial" w:hAnsi="Arial"/>
                  <w:sz w:val="18"/>
                  <w:szCs w:val="18"/>
                  <w:b w:val="1"/>
                  <w:bCs w:val="1"/>
                  <w:color w:val="0000EE"/>
                </w:rPr>
                <w:t>DESCRIPTION OF SUBSCRIPTION RIGHTS</w:t>
              </w:r>
            </w:hyperlink>
          </w:p>
        </w:tc>
        <w:tc>
          <w:tcPr>
            <w:tcW w:w="1000" w:type="dxa"/>
            <w:vAlign w:val="bottom"/>
            <w:tcBorders>
              <w:right w:val="single" w:sz="8" w:color="00000A"/>
            </w:tcBorders>
          </w:tcPr>
          <w:p>
            <w:pPr>
              <w:spacing w:after="0"/>
              <w:rPr>
                <w:sz w:val="17"/>
                <w:szCs w:val="17"/>
                <w:color w:val="auto"/>
              </w:rPr>
            </w:pPr>
          </w:p>
        </w:tc>
        <w:tc>
          <w:tcPr>
            <w:tcW w:w="5700" w:type="dxa"/>
            <w:vAlign w:val="bottom"/>
            <w:tcBorders>
              <w:right w:val="single" w:sz="8" w:color="00000A"/>
            </w:tcBorders>
            <w:gridSpan w:val="4"/>
          </w:tcPr>
          <w:p>
            <w:pPr>
              <w:jc w:val="right"/>
              <w:ind w:right="40"/>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13</w:t>
              </w:r>
            </w:hyperlink>
          </w:p>
        </w:tc>
      </w:tr>
      <w:tr>
        <w:trPr>
          <w:trHeight w:val="48"/>
        </w:trPr>
        <w:tc>
          <w:tcPr>
            <w:tcW w:w="40" w:type="dxa"/>
            <w:vAlign w:val="bottom"/>
            <w:tcBorders>
              <w:left w:val="single" w:sz="8" w:color="00000A"/>
              <w:bottom w:val="single" w:sz="8" w:color="00000A"/>
            </w:tcBorders>
          </w:tcPr>
          <w:p>
            <w:pPr>
              <w:spacing w:after="0"/>
              <w:rPr>
                <w:sz w:val="4"/>
                <w:szCs w:val="4"/>
                <w:color w:val="auto"/>
              </w:rPr>
            </w:pPr>
          </w:p>
        </w:tc>
        <w:tc>
          <w:tcPr>
            <w:tcW w:w="840" w:type="dxa"/>
            <w:vAlign w:val="bottom"/>
            <w:tcBorders>
              <w:top w:val="single" w:sz="8" w:color="0000EE"/>
              <w:bottom w:val="single" w:sz="8" w:color="00000A"/>
            </w:tcBorders>
          </w:tcPr>
          <w:p>
            <w:pPr>
              <w:spacing w:after="0"/>
              <w:rPr>
                <w:sz w:val="4"/>
                <w:szCs w:val="4"/>
                <w:color w:val="auto"/>
              </w:rPr>
            </w:pPr>
          </w:p>
        </w:tc>
        <w:tc>
          <w:tcPr>
            <w:tcW w:w="500" w:type="dxa"/>
            <w:vAlign w:val="bottom"/>
            <w:tcBorders>
              <w:top w:val="single" w:sz="8" w:color="0000EE"/>
              <w:bottom w:val="single" w:sz="8" w:color="00000A"/>
            </w:tcBorders>
          </w:tcPr>
          <w:p>
            <w:pPr>
              <w:spacing w:after="0"/>
              <w:rPr>
                <w:sz w:val="4"/>
                <w:szCs w:val="4"/>
                <w:color w:val="auto"/>
              </w:rPr>
            </w:pPr>
          </w:p>
        </w:tc>
        <w:tc>
          <w:tcPr>
            <w:tcW w:w="220" w:type="dxa"/>
            <w:vAlign w:val="bottom"/>
            <w:tcBorders>
              <w:top w:val="single" w:sz="8" w:color="0000EE"/>
              <w:bottom w:val="single" w:sz="8" w:color="00000A"/>
            </w:tcBorders>
          </w:tcPr>
          <w:p>
            <w:pPr>
              <w:spacing w:after="0"/>
              <w:rPr>
                <w:sz w:val="4"/>
                <w:szCs w:val="4"/>
                <w:color w:val="auto"/>
              </w:rPr>
            </w:pPr>
          </w:p>
        </w:tc>
        <w:tc>
          <w:tcPr>
            <w:tcW w:w="120" w:type="dxa"/>
            <w:vAlign w:val="bottom"/>
            <w:tcBorders>
              <w:top w:val="single" w:sz="8" w:color="0000EE"/>
              <w:bottom w:val="single" w:sz="8" w:color="00000A"/>
            </w:tcBorders>
          </w:tcPr>
          <w:p>
            <w:pPr>
              <w:spacing w:after="0"/>
              <w:rPr>
                <w:sz w:val="4"/>
                <w:szCs w:val="4"/>
                <w:color w:val="auto"/>
              </w:rPr>
            </w:pPr>
          </w:p>
        </w:tc>
        <w:tc>
          <w:tcPr>
            <w:tcW w:w="460" w:type="dxa"/>
            <w:vAlign w:val="bottom"/>
            <w:tcBorders>
              <w:top w:val="single" w:sz="8" w:color="0000EE"/>
              <w:bottom w:val="single" w:sz="8" w:color="00000A"/>
            </w:tcBorders>
          </w:tcPr>
          <w:p>
            <w:pPr>
              <w:spacing w:after="0"/>
              <w:rPr>
                <w:sz w:val="4"/>
                <w:szCs w:val="4"/>
                <w:color w:val="auto"/>
              </w:rPr>
            </w:pPr>
          </w:p>
        </w:tc>
        <w:tc>
          <w:tcPr>
            <w:tcW w:w="20" w:type="dxa"/>
            <w:vAlign w:val="bottom"/>
            <w:tcBorders>
              <w:top w:val="single" w:sz="8" w:color="0000EE"/>
              <w:bottom w:val="single" w:sz="8" w:color="00000A"/>
            </w:tcBorders>
          </w:tcPr>
          <w:p>
            <w:pPr>
              <w:spacing w:after="0"/>
              <w:rPr>
                <w:sz w:val="4"/>
                <w:szCs w:val="4"/>
                <w:color w:val="auto"/>
              </w:rPr>
            </w:pPr>
          </w:p>
        </w:tc>
        <w:tc>
          <w:tcPr>
            <w:tcW w:w="40" w:type="dxa"/>
            <w:vAlign w:val="bottom"/>
            <w:tcBorders>
              <w:top w:val="single" w:sz="8" w:color="0000EE"/>
              <w:bottom w:val="single" w:sz="8" w:color="00000A"/>
            </w:tcBorders>
          </w:tcPr>
          <w:p>
            <w:pPr>
              <w:spacing w:after="0"/>
              <w:rPr>
                <w:sz w:val="4"/>
                <w:szCs w:val="4"/>
                <w:color w:val="auto"/>
              </w:rPr>
            </w:pPr>
          </w:p>
        </w:tc>
        <w:tc>
          <w:tcPr>
            <w:tcW w:w="160" w:type="dxa"/>
            <w:vAlign w:val="bottom"/>
            <w:tcBorders>
              <w:top w:val="single" w:sz="8" w:color="0000EE"/>
              <w:bottom w:val="single" w:sz="8" w:color="00000A"/>
            </w:tcBorders>
          </w:tcPr>
          <w:p>
            <w:pPr>
              <w:spacing w:after="0"/>
              <w:rPr>
                <w:sz w:val="4"/>
                <w:szCs w:val="4"/>
                <w:color w:val="auto"/>
              </w:rPr>
            </w:pPr>
          </w:p>
        </w:tc>
        <w:tc>
          <w:tcPr>
            <w:tcW w:w="200" w:type="dxa"/>
            <w:vAlign w:val="bottom"/>
            <w:tcBorders>
              <w:top w:val="single" w:sz="8" w:color="0000EE"/>
              <w:bottom w:val="single" w:sz="8" w:color="00000A"/>
            </w:tcBorders>
          </w:tcPr>
          <w:p>
            <w:pPr>
              <w:spacing w:after="0"/>
              <w:rPr>
                <w:sz w:val="4"/>
                <w:szCs w:val="4"/>
                <w:color w:val="auto"/>
              </w:rPr>
            </w:pPr>
          </w:p>
        </w:tc>
        <w:tc>
          <w:tcPr>
            <w:tcW w:w="60" w:type="dxa"/>
            <w:vAlign w:val="bottom"/>
            <w:tcBorders>
              <w:top w:val="single" w:sz="8" w:color="0000EE"/>
              <w:bottom w:val="single" w:sz="8" w:color="00000A"/>
            </w:tcBorders>
          </w:tcPr>
          <w:p>
            <w:pPr>
              <w:spacing w:after="0"/>
              <w:rPr>
                <w:sz w:val="4"/>
                <w:szCs w:val="4"/>
                <w:color w:val="auto"/>
              </w:rPr>
            </w:pPr>
          </w:p>
        </w:tc>
        <w:tc>
          <w:tcPr>
            <w:tcW w:w="40" w:type="dxa"/>
            <w:vAlign w:val="bottom"/>
            <w:tcBorders>
              <w:top w:val="single" w:sz="8" w:color="0000EE"/>
              <w:bottom w:val="single" w:sz="8" w:color="00000A"/>
            </w:tcBorders>
          </w:tcPr>
          <w:p>
            <w:pPr>
              <w:spacing w:after="0"/>
              <w:rPr>
                <w:sz w:val="4"/>
                <w:szCs w:val="4"/>
                <w:color w:val="auto"/>
              </w:rPr>
            </w:pPr>
          </w:p>
        </w:tc>
        <w:tc>
          <w:tcPr>
            <w:tcW w:w="460" w:type="dxa"/>
            <w:vAlign w:val="bottom"/>
            <w:tcBorders>
              <w:top w:val="single" w:sz="8" w:color="0000EE"/>
              <w:bottom w:val="single" w:sz="8" w:color="00000A"/>
            </w:tcBorders>
          </w:tcPr>
          <w:p>
            <w:pPr>
              <w:spacing w:after="0"/>
              <w:rPr>
                <w:sz w:val="4"/>
                <w:szCs w:val="4"/>
                <w:color w:val="auto"/>
              </w:rPr>
            </w:pPr>
          </w:p>
        </w:tc>
        <w:tc>
          <w:tcPr>
            <w:tcW w:w="40" w:type="dxa"/>
            <w:vAlign w:val="bottom"/>
            <w:tcBorders>
              <w:top w:val="single" w:sz="8" w:color="0000EE"/>
              <w:bottom w:val="single" w:sz="8" w:color="00000A"/>
            </w:tcBorders>
          </w:tcPr>
          <w:p>
            <w:pPr>
              <w:spacing w:after="0"/>
              <w:rPr>
                <w:sz w:val="4"/>
                <w:szCs w:val="4"/>
                <w:color w:val="auto"/>
              </w:rPr>
            </w:pPr>
          </w:p>
        </w:tc>
        <w:tc>
          <w:tcPr>
            <w:tcW w:w="60" w:type="dxa"/>
            <w:vAlign w:val="bottom"/>
            <w:tcBorders>
              <w:top w:val="single" w:sz="8" w:color="0000EE"/>
              <w:bottom w:val="single" w:sz="8" w:color="00000A"/>
            </w:tcBorders>
          </w:tcPr>
          <w:p>
            <w:pPr>
              <w:spacing w:after="0"/>
              <w:rPr>
                <w:sz w:val="4"/>
                <w:szCs w:val="4"/>
                <w:color w:val="auto"/>
              </w:rPr>
            </w:pPr>
          </w:p>
        </w:tc>
        <w:tc>
          <w:tcPr>
            <w:tcW w:w="160" w:type="dxa"/>
            <w:vAlign w:val="bottom"/>
            <w:tcBorders>
              <w:top w:val="single" w:sz="8" w:color="0000EE"/>
              <w:bottom w:val="single" w:sz="8" w:color="00000A"/>
            </w:tcBorders>
          </w:tcPr>
          <w:p>
            <w:pPr>
              <w:spacing w:after="0"/>
              <w:rPr>
                <w:sz w:val="4"/>
                <w:szCs w:val="4"/>
                <w:color w:val="auto"/>
              </w:rPr>
            </w:pPr>
          </w:p>
        </w:tc>
        <w:tc>
          <w:tcPr>
            <w:tcW w:w="320" w:type="dxa"/>
            <w:vAlign w:val="bottom"/>
            <w:tcBorders>
              <w:top w:val="single" w:sz="8" w:color="0000EE"/>
              <w:bottom w:val="single" w:sz="8" w:color="00000A"/>
            </w:tcBorders>
          </w:tcPr>
          <w:p>
            <w:pPr>
              <w:spacing w:after="0"/>
              <w:rPr>
                <w:sz w:val="4"/>
                <w:szCs w:val="4"/>
                <w:color w:val="auto"/>
              </w:rPr>
            </w:pPr>
          </w:p>
        </w:tc>
        <w:tc>
          <w:tcPr>
            <w:tcW w:w="340" w:type="dxa"/>
            <w:vAlign w:val="bottom"/>
            <w:tcBorders>
              <w:bottom w:val="single" w:sz="8" w:color="00000A"/>
            </w:tcBorders>
          </w:tcPr>
          <w:p>
            <w:pPr>
              <w:spacing w:after="0"/>
              <w:rPr>
                <w:sz w:val="4"/>
                <w:szCs w:val="4"/>
                <w:color w:val="auto"/>
              </w:rPr>
            </w:pPr>
          </w:p>
        </w:tc>
        <w:tc>
          <w:tcPr>
            <w:tcW w:w="640" w:type="dxa"/>
            <w:vAlign w:val="bottom"/>
            <w:tcBorders>
              <w:bottom w:val="single" w:sz="8" w:color="00000A"/>
            </w:tcBorders>
          </w:tcPr>
          <w:p>
            <w:pPr>
              <w:spacing w:after="0"/>
              <w:rPr>
                <w:sz w:val="4"/>
                <w:szCs w:val="4"/>
                <w:color w:val="auto"/>
              </w:rPr>
            </w:pPr>
          </w:p>
        </w:tc>
        <w:tc>
          <w:tcPr>
            <w:tcW w:w="20" w:type="dxa"/>
            <w:vAlign w:val="bottom"/>
            <w:tcBorders>
              <w:bottom w:val="single" w:sz="8" w:color="00000A"/>
            </w:tcBorders>
          </w:tcPr>
          <w:p>
            <w:pPr>
              <w:spacing w:after="0"/>
              <w:rPr>
                <w:sz w:val="4"/>
                <w:szCs w:val="4"/>
                <w:color w:val="auto"/>
              </w:rPr>
            </w:pPr>
          </w:p>
        </w:tc>
        <w:tc>
          <w:tcPr>
            <w:tcW w:w="1000" w:type="dxa"/>
            <w:vAlign w:val="bottom"/>
            <w:tcBorders>
              <w:bottom w:val="single" w:sz="8" w:color="00000A"/>
              <w:right w:val="single" w:sz="8" w:color="00000A"/>
            </w:tcBorders>
          </w:tcPr>
          <w:p>
            <w:pPr>
              <w:spacing w:after="0"/>
              <w:rPr>
                <w:sz w:val="4"/>
                <w:szCs w:val="4"/>
                <w:color w:val="auto"/>
              </w:rPr>
            </w:pPr>
          </w:p>
        </w:tc>
        <w:tc>
          <w:tcPr>
            <w:tcW w:w="5480" w:type="dxa"/>
            <w:vAlign w:val="bottom"/>
            <w:tcBorders>
              <w:bottom w:val="single" w:sz="8" w:color="00000A"/>
            </w:tcBorders>
          </w:tcPr>
          <w:p>
            <w:pPr>
              <w:spacing w:after="0"/>
              <w:rPr>
                <w:sz w:val="4"/>
                <w:szCs w:val="4"/>
                <w:color w:val="auto"/>
              </w:rPr>
            </w:pPr>
          </w:p>
        </w:tc>
        <w:tc>
          <w:tcPr>
            <w:tcW w:w="80" w:type="dxa"/>
            <w:vAlign w:val="bottom"/>
            <w:tcBorders>
              <w:top w:val="single" w:sz="8" w:color="0000EE"/>
              <w:bottom w:val="single" w:sz="8" w:color="00000A"/>
            </w:tcBorders>
          </w:tcPr>
          <w:p>
            <w:pPr>
              <w:spacing w:after="0"/>
              <w:rPr>
                <w:sz w:val="4"/>
                <w:szCs w:val="4"/>
                <w:color w:val="auto"/>
              </w:rPr>
            </w:pPr>
          </w:p>
        </w:tc>
        <w:tc>
          <w:tcPr>
            <w:tcW w:w="100" w:type="dxa"/>
            <w:vAlign w:val="bottom"/>
            <w:tcBorders>
              <w:top w:val="single" w:sz="8" w:color="0000EE"/>
              <w:bottom w:val="single" w:sz="8" w:color="00000A"/>
            </w:tcBorders>
          </w:tcPr>
          <w:p>
            <w:pPr>
              <w:spacing w:after="0"/>
              <w:rPr>
                <w:sz w:val="4"/>
                <w:szCs w:val="4"/>
                <w:color w:val="auto"/>
              </w:rPr>
            </w:pPr>
          </w:p>
        </w:tc>
        <w:tc>
          <w:tcPr>
            <w:tcW w:w="40" w:type="dxa"/>
            <w:vAlign w:val="bottom"/>
            <w:tcBorders>
              <w:bottom w:val="single" w:sz="8" w:color="00000A"/>
              <w:right w:val="single" w:sz="8" w:color="00000A"/>
            </w:tcBorders>
          </w:tcPr>
          <w:p>
            <w:pPr>
              <w:spacing w:after="0"/>
              <w:rPr>
                <w:sz w:val="4"/>
                <w:szCs w:val="4"/>
                <w:color w:val="auto"/>
              </w:rPr>
            </w:pPr>
          </w:p>
        </w:tc>
      </w:tr>
      <w:tr>
        <w:trPr>
          <w:trHeight w:val="196"/>
        </w:trPr>
        <w:tc>
          <w:tcPr>
            <w:tcW w:w="40" w:type="dxa"/>
            <w:vAlign w:val="bottom"/>
            <w:tcBorders>
              <w:left w:val="single" w:sz="8" w:color="00000A"/>
            </w:tcBorders>
          </w:tcPr>
          <w:p>
            <w:pPr>
              <w:spacing w:after="0"/>
              <w:rPr>
                <w:sz w:val="17"/>
                <w:szCs w:val="17"/>
                <w:color w:val="auto"/>
              </w:rPr>
            </w:pPr>
          </w:p>
        </w:tc>
        <w:tc>
          <w:tcPr>
            <w:tcW w:w="4700" w:type="dxa"/>
            <w:vAlign w:val="bottom"/>
            <w:gridSpan w:val="19"/>
          </w:tcPr>
          <w:p>
            <w:pPr>
              <w:spacing w:after="0" w:line="196" w:lineRule="exact"/>
              <w:rPr>
                <w:rFonts w:ascii="Arial" w:cs="Arial" w:eastAsia="Arial" w:hAnsi="Arial"/>
                <w:sz w:val="18"/>
                <w:szCs w:val="18"/>
                <w:b w:val="1"/>
                <w:bCs w:val="1"/>
                <w:color w:val="0000EE"/>
              </w:rPr>
            </w:pPr>
            <w:hyperlink w:anchor="page17">
              <w:r>
                <w:rPr>
                  <w:rFonts w:ascii="Arial" w:cs="Arial" w:eastAsia="Arial" w:hAnsi="Arial"/>
                  <w:sz w:val="18"/>
                  <w:szCs w:val="18"/>
                  <w:b w:val="1"/>
                  <w:bCs w:val="1"/>
                  <w:color w:val="0000EE"/>
                </w:rPr>
                <w:t>DESCRIPTION OF UNITS</w:t>
              </w:r>
            </w:hyperlink>
          </w:p>
        </w:tc>
        <w:tc>
          <w:tcPr>
            <w:tcW w:w="1000" w:type="dxa"/>
            <w:vAlign w:val="bottom"/>
            <w:tcBorders>
              <w:right w:val="single" w:sz="8" w:color="00000A"/>
            </w:tcBorders>
          </w:tcPr>
          <w:p>
            <w:pPr>
              <w:spacing w:after="0"/>
              <w:rPr>
                <w:sz w:val="17"/>
                <w:szCs w:val="17"/>
                <w:color w:val="auto"/>
              </w:rPr>
            </w:pPr>
          </w:p>
        </w:tc>
        <w:tc>
          <w:tcPr>
            <w:tcW w:w="5700" w:type="dxa"/>
            <w:vAlign w:val="bottom"/>
            <w:tcBorders>
              <w:right w:val="single" w:sz="8" w:color="00000A"/>
            </w:tcBorders>
            <w:gridSpan w:val="4"/>
          </w:tcPr>
          <w:p>
            <w:pPr>
              <w:jc w:val="right"/>
              <w:ind w:right="40"/>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14</w:t>
              </w:r>
            </w:hyperlink>
          </w:p>
        </w:tc>
      </w:tr>
      <w:tr>
        <w:trPr>
          <w:trHeight w:val="48"/>
        </w:trPr>
        <w:tc>
          <w:tcPr>
            <w:tcW w:w="40" w:type="dxa"/>
            <w:vAlign w:val="bottom"/>
            <w:tcBorders>
              <w:left w:val="single" w:sz="8" w:color="00000A"/>
              <w:bottom w:val="single" w:sz="8" w:color="00000A"/>
            </w:tcBorders>
          </w:tcPr>
          <w:p>
            <w:pPr>
              <w:spacing w:after="0"/>
              <w:rPr>
                <w:sz w:val="4"/>
                <w:szCs w:val="4"/>
                <w:color w:val="auto"/>
              </w:rPr>
            </w:pPr>
          </w:p>
        </w:tc>
        <w:tc>
          <w:tcPr>
            <w:tcW w:w="840" w:type="dxa"/>
            <w:vAlign w:val="bottom"/>
            <w:tcBorders>
              <w:top w:val="single" w:sz="8" w:color="0000EE"/>
              <w:bottom w:val="single" w:sz="8" w:color="00000A"/>
            </w:tcBorders>
          </w:tcPr>
          <w:p>
            <w:pPr>
              <w:spacing w:after="0"/>
              <w:rPr>
                <w:sz w:val="4"/>
                <w:szCs w:val="4"/>
                <w:color w:val="auto"/>
              </w:rPr>
            </w:pPr>
          </w:p>
        </w:tc>
        <w:tc>
          <w:tcPr>
            <w:tcW w:w="500" w:type="dxa"/>
            <w:vAlign w:val="bottom"/>
            <w:tcBorders>
              <w:top w:val="single" w:sz="8" w:color="0000EE"/>
              <w:bottom w:val="single" w:sz="8" w:color="00000A"/>
            </w:tcBorders>
          </w:tcPr>
          <w:p>
            <w:pPr>
              <w:spacing w:after="0"/>
              <w:rPr>
                <w:sz w:val="4"/>
                <w:szCs w:val="4"/>
                <w:color w:val="auto"/>
              </w:rPr>
            </w:pPr>
          </w:p>
        </w:tc>
        <w:tc>
          <w:tcPr>
            <w:tcW w:w="220" w:type="dxa"/>
            <w:vAlign w:val="bottom"/>
            <w:tcBorders>
              <w:top w:val="single" w:sz="8" w:color="0000EE"/>
              <w:bottom w:val="single" w:sz="8" w:color="00000A"/>
            </w:tcBorders>
          </w:tcPr>
          <w:p>
            <w:pPr>
              <w:spacing w:after="0"/>
              <w:rPr>
                <w:sz w:val="4"/>
                <w:szCs w:val="4"/>
                <w:color w:val="auto"/>
              </w:rPr>
            </w:pPr>
          </w:p>
        </w:tc>
        <w:tc>
          <w:tcPr>
            <w:tcW w:w="120" w:type="dxa"/>
            <w:vAlign w:val="bottom"/>
            <w:tcBorders>
              <w:top w:val="single" w:sz="8" w:color="0000EE"/>
              <w:bottom w:val="single" w:sz="8" w:color="00000A"/>
            </w:tcBorders>
          </w:tcPr>
          <w:p>
            <w:pPr>
              <w:spacing w:after="0"/>
              <w:rPr>
                <w:sz w:val="4"/>
                <w:szCs w:val="4"/>
                <w:color w:val="auto"/>
              </w:rPr>
            </w:pPr>
          </w:p>
        </w:tc>
        <w:tc>
          <w:tcPr>
            <w:tcW w:w="460" w:type="dxa"/>
            <w:vAlign w:val="bottom"/>
            <w:tcBorders>
              <w:top w:val="single" w:sz="8" w:color="0000EE"/>
              <w:bottom w:val="single" w:sz="8" w:color="00000A"/>
            </w:tcBorders>
          </w:tcPr>
          <w:p>
            <w:pPr>
              <w:spacing w:after="0"/>
              <w:rPr>
                <w:sz w:val="4"/>
                <w:szCs w:val="4"/>
                <w:color w:val="auto"/>
              </w:rPr>
            </w:pPr>
          </w:p>
        </w:tc>
        <w:tc>
          <w:tcPr>
            <w:tcW w:w="20" w:type="dxa"/>
            <w:vAlign w:val="bottom"/>
            <w:tcBorders>
              <w:bottom w:val="single" w:sz="8" w:color="00000A"/>
            </w:tcBorders>
          </w:tcPr>
          <w:p>
            <w:pPr>
              <w:spacing w:after="0"/>
              <w:rPr>
                <w:sz w:val="4"/>
                <w:szCs w:val="4"/>
                <w:color w:val="auto"/>
              </w:rPr>
            </w:pPr>
          </w:p>
        </w:tc>
        <w:tc>
          <w:tcPr>
            <w:tcW w:w="40" w:type="dxa"/>
            <w:vAlign w:val="bottom"/>
            <w:tcBorders>
              <w:bottom w:val="single" w:sz="8" w:color="00000A"/>
            </w:tcBorders>
          </w:tcPr>
          <w:p>
            <w:pPr>
              <w:spacing w:after="0"/>
              <w:rPr>
                <w:sz w:val="4"/>
                <w:szCs w:val="4"/>
                <w:color w:val="auto"/>
              </w:rPr>
            </w:pPr>
          </w:p>
        </w:tc>
        <w:tc>
          <w:tcPr>
            <w:tcW w:w="160" w:type="dxa"/>
            <w:vAlign w:val="bottom"/>
            <w:tcBorders>
              <w:bottom w:val="single" w:sz="8" w:color="00000A"/>
            </w:tcBorders>
          </w:tcPr>
          <w:p>
            <w:pPr>
              <w:spacing w:after="0"/>
              <w:rPr>
                <w:sz w:val="4"/>
                <w:szCs w:val="4"/>
                <w:color w:val="auto"/>
              </w:rPr>
            </w:pPr>
          </w:p>
        </w:tc>
        <w:tc>
          <w:tcPr>
            <w:tcW w:w="200" w:type="dxa"/>
            <w:vAlign w:val="bottom"/>
            <w:tcBorders>
              <w:bottom w:val="single" w:sz="8" w:color="00000A"/>
            </w:tcBorders>
          </w:tcPr>
          <w:p>
            <w:pPr>
              <w:spacing w:after="0"/>
              <w:rPr>
                <w:sz w:val="4"/>
                <w:szCs w:val="4"/>
                <w:color w:val="auto"/>
              </w:rPr>
            </w:pPr>
          </w:p>
        </w:tc>
        <w:tc>
          <w:tcPr>
            <w:tcW w:w="60" w:type="dxa"/>
            <w:vAlign w:val="bottom"/>
            <w:tcBorders>
              <w:bottom w:val="single" w:sz="8" w:color="00000A"/>
            </w:tcBorders>
          </w:tcPr>
          <w:p>
            <w:pPr>
              <w:spacing w:after="0"/>
              <w:rPr>
                <w:sz w:val="4"/>
                <w:szCs w:val="4"/>
                <w:color w:val="auto"/>
              </w:rPr>
            </w:pPr>
          </w:p>
        </w:tc>
        <w:tc>
          <w:tcPr>
            <w:tcW w:w="40" w:type="dxa"/>
            <w:vAlign w:val="bottom"/>
            <w:tcBorders>
              <w:bottom w:val="single" w:sz="8" w:color="00000A"/>
            </w:tcBorders>
          </w:tcPr>
          <w:p>
            <w:pPr>
              <w:spacing w:after="0"/>
              <w:rPr>
                <w:sz w:val="4"/>
                <w:szCs w:val="4"/>
                <w:color w:val="auto"/>
              </w:rPr>
            </w:pPr>
          </w:p>
        </w:tc>
        <w:tc>
          <w:tcPr>
            <w:tcW w:w="460" w:type="dxa"/>
            <w:vAlign w:val="bottom"/>
            <w:tcBorders>
              <w:bottom w:val="single" w:sz="8" w:color="00000A"/>
            </w:tcBorders>
          </w:tcPr>
          <w:p>
            <w:pPr>
              <w:spacing w:after="0"/>
              <w:rPr>
                <w:sz w:val="4"/>
                <w:szCs w:val="4"/>
                <w:color w:val="auto"/>
              </w:rPr>
            </w:pPr>
          </w:p>
        </w:tc>
        <w:tc>
          <w:tcPr>
            <w:tcW w:w="40" w:type="dxa"/>
            <w:vAlign w:val="bottom"/>
            <w:tcBorders>
              <w:bottom w:val="single" w:sz="8" w:color="00000A"/>
            </w:tcBorders>
          </w:tcPr>
          <w:p>
            <w:pPr>
              <w:spacing w:after="0"/>
              <w:rPr>
                <w:sz w:val="4"/>
                <w:szCs w:val="4"/>
                <w:color w:val="auto"/>
              </w:rPr>
            </w:pPr>
          </w:p>
        </w:tc>
        <w:tc>
          <w:tcPr>
            <w:tcW w:w="60" w:type="dxa"/>
            <w:vAlign w:val="bottom"/>
            <w:tcBorders>
              <w:bottom w:val="single" w:sz="8" w:color="00000A"/>
            </w:tcBorders>
          </w:tcPr>
          <w:p>
            <w:pPr>
              <w:spacing w:after="0"/>
              <w:rPr>
                <w:sz w:val="4"/>
                <w:szCs w:val="4"/>
                <w:color w:val="auto"/>
              </w:rPr>
            </w:pPr>
          </w:p>
        </w:tc>
        <w:tc>
          <w:tcPr>
            <w:tcW w:w="160" w:type="dxa"/>
            <w:vAlign w:val="bottom"/>
            <w:tcBorders>
              <w:bottom w:val="single" w:sz="8" w:color="00000A"/>
            </w:tcBorders>
          </w:tcPr>
          <w:p>
            <w:pPr>
              <w:spacing w:after="0"/>
              <w:rPr>
                <w:sz w:val="4"/>
                <w:szCs w:val="4"/>
                <w:color w:val="auto"/>
              </w:rPr>
            </w:pPr>
          </w:p>
        </w:tc>
        <w:tc>
          <w:tcPr>
            <w:tcW w:w="320" w:type="dxa"/>
            <w:vAlign w:val="bottom"/>
            <w:tcBorders>
              <w:bottom w:val="single" w:sz="8" w:color="00000A"/>
            </w:tcBorders>
          </w:tcPr>
          <w:p>
            <w:pPr>
              <w:spacing w:after="0"/>
              <w:rPr>
                <w:sz w:val="4"/>
                <w:szCs w:val="4"/>
                <w:color w:val="auto"/>
              </w:rPr>
            </w:pPr>
          </w:p>
        </w:tc>
        <w:tc>
          <w:tcPr>
            <w:tcW w:w="340" w:type="dxa"/>
            <w:vAlign w:val="bottom"/>
            <w:tcBorders>
              <w:bottom w:val="single" w:sz="8" w:color="00000A"/>
            </w:tcBorders>
          </w:tcPr>
          <w:p>
            <w:pPr>
              <w:spacing w:after="0"/>
              <w:rPr>
                <w:sz w:val="4"/>
                <w:szCs w:val="4"/>
                <w:color w:val="auto"/>
              </w:rPr>
            </w:pPr>
          </w:p>
        </w:tc>
        <w:tc>
          <w:tcPr>
            <w:tcW w:w="640" w:type="dxa"/>
            <w:vAlign w:val="bottom"/>
            <w:tcBorders>
              <w:bottom w:val="single" w:sz="8" w:color="00000A"/>
            </w:tcBorders>
          </w:tcPr>
          <w:p>
            <w:pPr>
              <w:spacing w:after="0"/>
              <w:rPr>
                <w:sz w:val="4"/>
                <w:szCs w:val="4"/>
                <w:color w:val="auto"/>
              </w:rPr>
            </w:pPr>
          </w:p>
        </w:tc>
        <w:tc>
          <w:tcPr>
            <w:tcW w:w="20" w:type="dxa"/>
            <w:vAlign w:val="bottom"/>
            <w:tcBorders>
              <w:bottom w:val="single" w:sz="8" w:color="00000A"/>
            </w:tcBorders>
          </w:tcPr>
          <w:p>
            <w:pPr>
              <w:spacing w:after="0"/>
              <w:rPr>
                <w:sz w:val="4"/>
                <w:szCs w:val="4"/>
                <w:color w:val="auto"/>
              </w:rPr>
            </w:pPr>
          </w:p>
        </w:tc>
        <w:tc>
          <w:tcPr>
            <w:tcW w:w="1000" w:type="dxa"/>
            <w:vAlign w:val="bottom"/>
            <w:tcBorders>
              <w:bottom w:val="single" w:sz="8" w:color="00000A"/>
              <w:right w:val="single" w:sz="8" w:color="00000A"/>
            </w:tcBorders>
          </w:tcPr>
          <w:p>
            <w:pPr>
              <w:spacing w:after="0"/>
              <w:rPr>
                <w:sz w:val="4"/>
                <w:szCs w:val="4"/>
                <w:color w:val="auto"/>
              </w:rPr>
            </w:pPr>
          </w:p>
        </w:tc>
        <w:tc>
          <w:tcPr>
            <w:tcW w:w="5480" w:type="dxa"/>
            <w:vAlign w:val="bottom"/>
            <w:tcBorders>
              <w:bottom w:val="single" w:sz="8" w:color="00000A"/>
            </w:tcBorders>
          </w:tcPr>
          <w:p>
            <w:pPr>
              <w:spacing w:after="0"/>
              <w:rPr>
                <w:sz w:val="4"/>
                <w:szCs w:val="4"/>
                <w:color w:val="auto"/>
              </w:rPr>
            </w:pPr>
          </w:p>
        </w:tc>
        <w:tc>
          <w:tcPr>
            <w:tcW w:w="80" w:type="dxa"/>
            <w:vAlign w:val="bottom"/>
            <w:tcBorders>
              <w:top w:val="single" w:sz="8" w:color="0000EE"/>
              <w:bottom w:val="single" w:sz="8" w:color="00000A"/>
            </w:tcBorders>
          </w:tcPr>
          <w:p>
            <w:pPr>
              <w:spacing w:after="0"/>
              <w:rPr>
                <w:sz w:val="4"/>
                <w:szCs w:val="4"/>
                <w:color w:val="auto"/>
              </w:rPr>
            </w:pPr>
          </w:p>
        </w:tc>
        <w:tc>
          <w:tcPr>
            <w:tcW w:w="100" w:type="dxa"/>
            <w:vAlign w:val="bottom"/>
            <w:tcBorders>
              <w:top w:val="single" w:sz="8" w:color="0000EE"/>
              <w:bottom w:val="single" w:sz="8" w:color="00000A"/>
            </w:tcBorders>
          </w:tcPr>
          <w:p>
            <w:pPr>
              <w:spacing w:after="0"/>
              <w:rPr>
                <w:sz w:val="4"/>
                <w:szCs w:val="4"/>
                <w:color w:val="auto"/>
              </w:rPr>
            </w:pPr>
          </w:p>
        </w:tc>
        <w:tc>
          <w:tcPr>
            <w:tcW w:w="40" w:type="dxa"/>
            <w:vAlign w:val="bottom"/>
            <w:tcBorders>
              <w:bottom w:val="single" w:sz="8" w:color="00000A"/>
              <w:right w:val="single" w:sz="8" w:color="00000A"/>
            </w:tcBorders>
          </w:tcPr>
          <w:p>
            <w:pPr>
              <w:spacing w:after="0"/>
              <w:rPr>
                <w:sz w:val="4"/>
                <w:szCs w:val="4"/>
                <w:color w:val="auto"/>
              </w:rPr>
            </w:pPr>
          </w:p>
        </w:tc>
      </w:tr>
      <w:tr>
        <w:trPr>
          <w:trHeight w:val="196"/>
        </w:trPr>
        <w:tc>
          <w:tcPr>
            <w:tcW w:w="40" w:type="dxa"/>
            <w:vAlign w:val="bottom"/>
            <w:tcBorders>
              <w:left w:val="single" w:sz="8" w:color="00000A"/>
            </w:tcBorders>
          </w:tcPr>
          <w:p>
            <w:pPr>
              <w:spacing w:after="0"/>
              <w:rPr>
                <w:sz w:val="17"/>
                <w:szCs w:val="17"/>
                <w:color w:val="auto"/>
              </w:rPr>
            </w:pPr>
          </w:p>
        </w:tc>
        <w:tc>
          <w:tcPr>
            <w:tcW w:w="4700" w:type="dxa"/>
            <w:vAlign w:val="bottom"/>
            <w:gridSpan w:val="19"/>
          </w:tcPr>
          <w:p>
            <w:pPr>
              <w:spacing w:after="0" w:line="196" w:lineRule="exact"/>
              <w:rPr>
                <w:rFonts w:ascii="Arial" w:cs="Arial" w:eastAsia="Arial" w:hAnsi="Arial"/>
                <w:sz w:val="18"/>
                <w:szCs w:val="18"/>
                <w:b w:val="1"/>
                <w:bCs w:val="1"/>
                <w:color w:val="0000EE"/>
              </w:rPr>
            </w:pPr>
            <w:hyperlink w:anchor="page17">
              <w:r>
                <w:rPr>
                  <w:rFonts w:ascii="Arial" w:cs="Arial" w:eastAsia="Arial" w:hAnsi="Arial"/>
                  <w:sz w:val="18"/>
                  <w:szCs w:val="18"/>
                  <w:b w:val="1"/>
                  <w:bCs w:val="1"/>
                  <w:color w:val="0000EE"/>
                </w:rPr>
                <w:t>SELLING SECURITYHOLDERS</w:t>
              </w:r>
            </w:hyperlink>
          </w:p>
        </w:tc>
        <w:tc>
          <w:tcPr>
            <w:tcW w:w="1000" w:type="dxa"/>
            <w:vAlign w:val="bottom"/>
            <w:tcBorders>
              <w:right w:val="single" w:sz="8" w:color="00000A"/>
            </w:tcBorders>
          </w:tcPr>
          <w:p>
            <w:pPr>
              <w:spacing w:after="0"/>
              <w:rPr>
                <w:sz w:val="17"/>
                <w:szCs w:val="17"/>
                <w:color w:val="auto"/>
              </w:rPr>
            </w:pPr>
          </w:p>
        </w:tc>
        <w:tc>
          <w:tcPr>
            <w:tcW w:w="5700" w:type="dxa"/>
            <w:vAlign w:val="bottom"/>
            <w:tcBorders>
              <w:right w:val="single" w:sz="8" w:color="00000A"/>
            </w:tcBorders>
            <w:gridSpan w:val="4"/>
          </w:tcPr>
          <w:p>
            <w:pPr>
              <w:jc w:val="right"/>
              <w:ind w:right="40"/>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14</w:t>
              </w:r>
            </w:hyperlink>
          </w:p>
        </w:tc>
      </w:tr>
      <w:tr>
        <w:trPr>
          <w:trHeight w:val="48"/>
        </w:trPr>
        <w:tc>
          <w:tcPr>
            <w:tcW w:w="40" w:type="dxa"/>
            <w:vAlign w:val="bottom"/>
            <w:tcBorders>
              <w:left w:val="single" w:sz="8" w:color="00000A"/>
              <w:bottom w:val="single" w:sz="8" w:color="00000A"/>
            </w:tcBorders>
          </w:tcPr>
          <w:p>
            <w:pPr>
              <w:spacing w:after="0"/>
              <w:rPr>
                <w:sz w:val="4"/>
                <w:szCs w:val="4"/>
                <w:color w:val="auto"/>
              </w:rPr>
            </w:pPr>
          </w:p>
        </w:tc>
        <w:tc>
          <w:tcPr>
            <w:tcW w:w="840" w:type="dxa"/>
            <w:vAlign w:val="bottom"/>
            <w:tcBorders>
              <w:top w:val="single" w:sz="8" w:color="0000EE"/>
              <w:bottom w:val="single" w:sz="8" w:color="00000A"/>
            </w:tcBorders>
          </w:tcPr>
          <w:p>
            <w:pPr>
              <w:spacing w:after="0"/>
              <w:rPr>
                <w:sz w:val="4"/>
                <w:szCs w:val="4"/>
                <w:color w:val="auto"/>
              </w:rPr>
            </w:pPr>
          </w:p>
        </w:tc>
        <w:tc>
          <w:tcPr>
            <w:tcW w:w="500" w:type="dxa"/>
            <w:vAlign w:val="bottom"/>
            <w:tcBorders>
              <w:top w:val="single" w:sz="8" w:color="0000EE"/>
              <w:bottom w:val="single" w:sz="8" w:color="00000A"/>
            </w:tcBorders>
          </w:tcPr>
          <w:p>
            <w:pPr>
              <w:spacing w:after="0"/>
              <w:rPr>
                <w:sz w:val="4"/>
                <w:szCs w:val="4"/>
                <w:color w:val="auto"/>
              </w:rPr>
            </w:pPr>
          </w:p>
        </w:tc>
        <w:tc>
          <w:tcPr>
            <w:tcW w:w="220" w:type="dxa"/>
            <w:vAlign w:val="bottom"/>
            <w:tcBorders>
              <w:top w:val="single" w:sz="8" w:color="0000EE"/>
              <w:bottom w:val="single" w:sz="8" w:color="00000A"/>
            </w:tcBorders>
          </w:tcPr>
          <w:p>
            <w:pPr>
              <w:spacing w:after="0"/>
              <w:rPr>
                <w:sz w:val="4"/>
                <w:szCs w:val="4"/>
                <w:color w:val="auto"/>
              </w:rPr>
            </w:pPr>
          </w:p>
        </w:tc>
        <w:tc>
          <w:tcPr>
            <w:tcW w:w="120" w:type="dxa"/>
            <w:vAlign w:val="bottom"/>
            <w:tcBorders>
              <w:top w:val="single" w:sz="8" w:color="0000EE"/>
              <w:bottom w:val="single" w:sz="8" w:color="00000A"/>
            </w:tcBorders>
          </w:tcPr>
          <w:p>
            <w:pPr>
              <w:spacing w:after="0"/>
              <w:rPr>
                <w:sz w:val="4"/>
                <w:szCs w:val="4"/>
                <w:color w:val="auto"/>
              </w:rPr>
            </w:pPr>
          </w:p>
        </w:tc>
        <w:tc>
          <w:tcPr>
            <w:tcW w:w="460" w:type="dxa"/>
            <w:vAlign w:val="bottom"/>
            <w:tcBorders>
              <w:top w:val="single" w:sz="8" w:color="0000EE"/>
              <w:bottom w:val="single" w:sz="8" w:color="00000A"/>
            </w:tcBorders>
          </w:tcPr>
          <w:p>
            <w:pPr>
              <w:spacing w:after="0"/>
              <w:rPr>
                <w:sz w:val="4"/>
                <w:szCs w:val="4"/>
                <w:color w:val="auto"/>
              </w:rPr>
            </w:pPr>
          </w:p>
        </w:tc>
        <w:tc>
          <w:tcPr>
            <w:tcW w:w="20" w:type="dxa"/>
            <w:vAlign w:val="bottom"/>
            <w:tcBorders>
              <w:top w:val="single" w:sz="8" w:color="0000EE"/>
              <w:bottom w:val="single" w:sz="8" w:color="00000A"/>
            </w:tcBorders>
          </w:tcPr>
          <w:p>
            <w:pPr>
              <w:spacing w:after="0"/>
              <w:rPr>
                <w:sz w:val="4"/>
                <w:szCs w:val="4"/>
                <w:color w:val="auto"/>
              </w:rPr>
            </w:pPr>
          </w:p>
        </w:tc>
        <w:tc>
          <w:tcPr>
            <w:tcW w:w="40" w:type="dxa"/>
            <w:vAlign w:val="bottom"/>
            <w:tcBorders>
              <w:top w:val="single" w:sz="8" w:color="0000EE"/>
              <w:bottom w:val="single" w:sz="8" w:color="00000A"/>
            </w:tcBorders>
          </w:tcPr>
          <w:p>
            <w:pPr>
              <w:spacing w:after="0"/>
              <w:rPr>
                <w:sz w:val="4"/>
                <w:szCs w:val="4"/>
                <w:color w:val="auto"/>
              </w:rPr>
            </w:pPr>
          </w:p>
        </w:tc>
        <w:tc>
          <w:tcPr>
            <w:tcW w:w="160" w:type="dxa"/>
            <w:vAlign w:val="bottom"/>
            <w:tcBorders>
              <w:top w:val="single" w:sz="8" w:color="0000EE"/>
              <w:bottom w:val="single" w:sz="8" w:color="00000A"/>
            </w:tcBorders>
          </w:tcPr>
          <w:p>
            <w:pPr>
              <w:spacing w:after="0"/>
              <w:rPr>
                <w:sz w:val="4"/>
                <w:szCs w:val="4"/>
                <w:color w:val="auto"/>
              </w:rPr>
            </w:pPr>
          </w:p>
        </w:tc>
        <w:tc>
          <w:tcPr>
            <w:tcW w:w="200" w:type="dxa"/>
            <w:vAlign w:val="bottom"/>
            <w:tcBorders>
              <w:top w:val="single" w:sz="8" w:color="0000EE"/>
              <w:bottom w:val="single" w:sz="8" w:color="00000A"/>
            </w:tcBorders>
          </w:tcPr>
          <w:p>
            <w:pPr>
              <w:spacing w:after="0"/>
              <w:rPr>
                <w:sz w:val="4"/>
                <w:szCs w:val="4"/>
                <w:color w:val="auto"/>
              </w:rPr>
            </w:pPr>
          </w:p>
        </w:tc>
        <w:tc>
          <w:tcPr>
            <w:tcW w:w="60" w:type="dxa"/>
            <w:vAlign w:val="bottom"/>
            <w:tcBorders>
              <w:top w:val="single" w:sz="8" w:color="0000EE"/>
              <w:bottom w:val="single" w:sz="8" w:color="00000A"/>
            </w:tcBorders>
          </w:tcPr>
          <w:p>
            <w:pPr>
              <w:spacing w:after="0"/>
              <w:rPr>
                <w:sz w:val="4"/>
                <w:szCs w:val="4"/>
                <w:color w:val="auto"/>
              </w:rPr>
            </w:pPr>
          </w:p>
        </w:tc>
        <w:tc>
          <w:tcPr>
            <w:tcW w:w="40" w:type="dxa"/>
            <w:vAlign w:val="bottom"/>
            <w:tcBorders>
              <w:top w:val="single" w:sz="8" w:color="0000EE"/>
              <w:bottom w:val="single" w:sz="8" w:color="00000A"/>
            </w:tcBorders>
          </w:tcPr>
          <w:p>
            <w:pPr>
              <w:spacing w:after="0"/>
              <w:rPr>
                <w:sz w:val="4"/>
                <w:szCs w:val="4"/>
                <w:color w:val="auto"/>
              </w:rPr>
            </w:pPr>
          </w:p>
        </w:tc>
        <w:tc>
          <w:tcPr>
            <w:tcW w:w="460" w:type="dxa"/>
            <w:vAlign w:val="bottom"/>
            <w:tcBorders>
              <w:bottom w:val="single" w:sz="8" w:color="00000A"/>
            </w:tcBorders>
          </w:tcPr>
          <w:p>
            <w:pPr>
              <w:spacing w:after="0"/>
              <w:rPr>
                <w:sz w:val="4"/>
                <w:szCs w:val="4"/>
                <w:color w:val="auto"/>
              </w:rPr>
            </w:pPr>
          </w:p>
        </w:tc>
        <w:tc>
          <w:tcPr>
            <w:tcW w:w="40" w:type="dxa"/>
            <w:vAlign w:val="bottom"/>
            <w:tcBorders>
              <w:bottom w:val="single" w:sz="8" w:color="00000A"/>
            </w:tcBorders>
          </w:tcPr>
          <w:p>
            <w:pPr>
              <w:spacing w:after="0"/>
              <w:rPr>
                <w:sz w:val="4"/>
                <w:szCs w:val="4"/>
                <w:color w:val="auto"/>
              </w:rPr>
            </w:pPr>
          </w:p>
        </w:tc>
        <w:tc>
          <w:tcPr>
            <w:tcW w:w="60" w:type="dxa"/>
            <w:vAlign w:val="bottom"/>
            <w:tcBorders>
              <w:bottom w:val="single" w:sz="8" w:color="00000A"/>
            </w:tcBorders>
          </w:tcPr>
          <w:p>
            <w:pPr>
              <w:spacing w:after="0"/>
              <w:rPr>
                <w:sz w:val="4"/>
                <w:szCs w:val="4"/>
                <w:color w:val="auto"/>
              </w:rPr>
            </w:pPr>
          </w:p>
        </w:tc>
        <w:tc>
          <w:tcPr>
            <w:tcW w:w="160" w:type="dxa"/>
            <w:vAlign w:val="bottom"/>
            <w:tcBorders>
              <w:bottom w:val="single" w:sz="8" w:color="00000A"/>
            </w:tcBorders>
          </w:tcPr>
          <w:p>
            <w:pPr>
              <w:spacing w:after="0"/>
              <w:rPr>
                <w:sz w:val="4"/>
                <w:szCs w:val="4"/>
                <w:color w:val="auto"/>
              </w:rPr>
            </w:pPr>
          </w:p>
        </w:tc>
        <w:tc>
          <w:tcPr>
            <w:tcW w:w="320" w:type="dxa"/>
            <w:vAlign w:val="bottom"/>
            <w:tcBorders>
              <w:bottom w:val="single" w:sz="8" w:color="00000A"/>
            </w:tcBorders>
          </w:tcPr>
          <w:p>
            <w:pPr>
              <w:spacing w:after="0"/>
              <w:rPr>
                <w:sz w:val="4"/>
                <w:szCs w:val="4"/>
                <w:color w:val="auto"/>
              </w:rPr>
            </w:pPr>
          </w:p>
        </w:tc>
        <w:tc>
          <w:tcPr>
            <w:tcW w:w="340" w:type="dxa"/>
            <w:vAlign w:val="bottom"/>
            <w:tcBorders>
              <w:bottom w:val="single" w:sz="8" w:color="00000A"/>
            </w:tcBorders>
          </w:tcPr>
          <w:p>
            <w:pPr>
              <w:spacing w:after="0"/>
              <w:rPr>
                <w:sz w:val="4"/>
                <w:szCs w:val="4"/>
                <w:color w:val="auto"/>
              </w:rPr>
            </w:pPr>
          </w:p>
        </w:tc>
        <w:tc>
          <w:tcPr>
            <w:tcW w:w="640" w:type="dxa"/>
            <w:vAlign w:val="bottom"/>
            <w:tcBorders>
              <w:bottom w:val="single" w:sz="8" w:color="00000A"/>
            </w:tcBorders>
          </w:tcPr>
          <w:p>
            <w:pPr>
              <w:spacing w:after="0"/>
              <w:rPr>
                <w:sz w:val="4"/>
                <w:szCs w:val="4"/>
                <w:color w:val="auto"/>
              </w:rPr>
            </w:pPr>
          </w:p>
        </w:tc>
        <w:tc>
          <w:tcPr>
            <w:tcW w:w="20" w:type="dxa"/>
            <w:vAlign w:val="bottom"/>
            <w:tcBorders>
              <w:bottom w:val="single" w:sz="8" w:color="00000A"/>
            </w:tcBorders>
          </w:tcPr>
          <w:p>
            <w:pPr>
              <w:spacing w:after="0"/>
              <w:rPr>
                <w:sz w:val="4"/>
                <w:szCs w:val="4"/>
                <w:color w:val="auto"/>
              </w:rPr>
            </w:pPr>
          </w:p>
        </w:tc>
        <w:tc>
          <w:tcPr>
            <w:tcW w:w="1000" w:type="dxa"/>
            <w:vAlign w:val="bottom"/>
            <w:tcBorders>
              <w:bottom w:val="single" w:sz="8" w:color="00000A"/>
              <w:right w:val="single" w:sz="8" w:color="00000A"/>
            </w:tcBorders>
          </w:tcPr>
          <w:p>
            <w:pPr>
              <w:spacing w:after="0"/>
              <w:rPr>
                <w:sz w:val="4"/>
                <w:szCs w:val="4"/>
                <w:color w:val="auto"/>
              </w:rPr>
            </w:pPr>
          </w:p>
        </w:tc>
        <w:tc>
          <w:tcPr>
            <w:tcW w:w="5480" w:type="dxa"/>
            <w:vAlign w:val="bottom"/>
            <w:tcBorders>
              <w:bottom w:val="single" w:sz="8" w:color="00000A"/>
            </w:tcBorders>
          </w:tcPr>
          <w:p>
            <w:pPr>
              <w:spacing w:after="0"/>
              <w:rPr>
                <w:sz w:val="4"/>
                <w:szCs w:val="4"/>
                <w:color w:val="auto"/>
              </w:rPr>
            </w:pPr>
          </w:p>
        </w:tc>
        <w:tc>
          <w:tcPr>
            <w:tcW w:w="80" w:type="dxa"/>
            <w:vAlign w:val="bottom"/>
            <w:tcBorders>
              <w:top w:val="single" w:sz="8" w:color="0000EE"/>
              <w:bottom w:val="single" w:sz="8" w:color="00000A"/>
            </w:tcBorders>
          </w:tcPr>
          <w:p>
            <w:pPr>
              <w:spacing w:after="0"/>
              <w:rPr>
                <w:sz w:val="4"/>
                <w:szCs w:val="4"/>
                <w:color w:val="auto"/>
              </w:rPr>
            </w:pPr>
          </w:p>
        </w:tc>
        <w:tc>
          <w:tcPr>
            <w:tcW w:w="100" w:type="dxa"/>
            <w:vAlign w:val="bottom"/>
            <w:tcBorders>
              <w:top w:val="single" w:sz="8" w:color="0000EE"/>
              <w:bottom w:val="single" w:sz="8" w:color="00000A"/>
            </w:tcBorders>
          </w:tcPr>
          <w:p>
            <w:pPr>
              <w:spacing w:after="0"/>
              <w:rPr>
                <w:sz w:val="4"/>
                <w:szCs w:val="4"/>
                <w:color w:val="auto"/>
              </w:rPr>
            </w:pPr>
          </w:p>
        </w:tc>
        <w:tc>
          <w:tcPr>
            <w:tcW w:w="40" w:type="dxa"/>
            <w:vAlign w:val="bottom"/>
            <w:tcBorders>
              <w:bottom w:val="single" w:sz="8" w:color="00000A"/>
              <w:right w:val="single" w:sz="8" w:color="00000A"/>
            </w:tcBorders>
          </w:tcPr>
          <w:p>
            <w:pPr>
              <w:spacing w:after="0"/>
              <w:rPr>
                <w:sz w:val="4"/>
                <w:szCs w:val="4"/>
                <w:color w:val="auto"/>
              </w:rPr>
            </w:pPr>
          </w:p>
        </w:tc>
      </w:tr>
      <w:tr>
        <w:trPr>
          <w:trHeight w:val="196"/>
        </w:trPr>
        <w:tc>
          <w:tcPr>
            <w:tcW w:w="40" w:type="dxa"/>
            <w:vAlign w:val="bottom"/>
            <w:tcBorders>
              <w:left w:val="single" w:sz="8" w:color="00000A"/>
            </w:tcBorders>
          </w:tcPr>
          <w:p>
            <w:pPr>
              <w:spacing w:after="0"/>
              <w:rPr>
                <w:sz w:val="17"/>
                <w:szCs w:val="17"/>
                <w:color w:val="auto"/>
              </w:rPr>
            </w:pPr>
          </w:p>
        </w:tc>
        <w:tc>
          <w:tcPr>
            <w:tcW w:w="4700" w:type="dxa"/>
            <w:vAlign w:val="bottom"/>
            <w:gridSpan w:val="19"/>
          </w:tcPr>
          <w:p>
            <w:pPr>
              <w:spacing w:after="0" w:line="196" w:lineRule="exact"/>
              <w:rPr>
                <w:rFonts w:ascii="Arial" w:cs="Arial" w:eastAsia="Arial" w:hAnsi="Arial"/>
                <w:sz w:val="18"/>
                <w:szCs w:val="18"/>
                <w:b w:val="1"/>
                <w:bCs w:val="1"/>
                <w:color w:val="0000EE"/>
              </w:rPr>
            </w:pPr>
            <w:hyperlink w:anchor="page17">
              <w:r>
                <w:rPr>
                  <w:rFonts w:ascii="Arial" w:cs="Arial" w:eastAsia="Arial" w:hAnsi="Arial"/>
                  <w:sz w:val="18"/>
                  <w:szCs w:val="18"/>
                  <w:b w:val="1"/>
                  <w:bCs w:val="1"/>
                  <w:color w:val="0000EE"/>
                </w:rPr>
                <w:t>PLAN OF DISTRIBUTION</w:t>
              </w:r>
            </w:hyperlink>
          </w:p>
        </w:tc>
        <w:tc>
          <w:tcPr>
            <w:tcW w:w="1000" w:type="dxa"/>
            <w:vAlign w:val="bottom"/>
            <w:tcBorders>
              <w:right w:val="single" w:sz="8" w:color="00000A"/>
            </w:tcBorders>
          </w:tcPr>
          <w:p>
            <w:pPr>
              <w:spacing w:after="0"/>
              <w:rPr>
                <w:sz w:val="17"/>
                <w:szCs w:val="17"/>
                <w:color w:val="auto"/>
              </w:rPr>
            </w:pPr>
          </w:p>
        </w:tc>
        <w:tc>
          <w:tcPr>
            <w:tcW w:w="5700" w:type="dxa"/>
            <w:vAlign w:val="bottom"/>
            <w:tcBorders>
              <w:right w:val="single" w:sz="8" w:color="00000A"/>
            </w:tcBorders>
            <w:gridSpan w:val="4"/>
          </w:tcPr>
          <w:p>
            <w:pPr>
              <w:jc w:val="right"/>
              <w:ind w:right="40"/>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14</w:t>
              </w:r>
            </w:hyperlink>
          </w:p>
        </w:tc>
      </w:tr>
      <w:tr>
        <w:trPr>
          <w:trHeight w:val="48"/>
        </w:trPr>
        <w:tc>
          <w:tcPr>
            <w:tcW w:w="40" w:type="dxa"/>
            <w:vAlign w:val="bottom"/>
            <w:tcBorders>
              <w:left w:val="single" w:sz="8" w:color="00000A"/>
              <w:bottom w:val="single" w:sz="8" w:color="00000A"/>
            </w:tcBorders>
          </w:tcPr>
          <w:p>
            <w:pPr>
              <w:spacing w:after="0"/>
              <w:rPr>
                <w:sz w:val="4"/>
                <w:szCs w:val="4"/>
                <w:color w:val="auto"/>
              </w:rPr>
            </w:pPr>
          </w:p>
        </w:tc>
        <w:tc>
          <w:tcPr>
            <w:tcW w:w="840" w:type="dxa"/>
            <w:vAlign w:val="bottom"/>
            <w:tcBorders>
              <w:top w:val="single" w:sz="8" w:color="0000EE"/>
              <w:bottom w:val="single" w:sz="8" w:color="00000A"/>
            </w:tcBorders>
          </w:tcPr>
          <w:p>
            <w:pPr>
              <w:spacing w:after="0"/>
              <w:rPr>
                <w:sz w:val="4"/>
                <w:szCs w:val="4"/>
                <w:color w:val="auto"/>
              </w:rPr>
            </w:pPr>
          </w:p>
        </w:tc>
        <w:tc>
          <w:tcPr>
            <w:tcW w:w="500" w:type="dxa"/>
            <w:vAlign w:val="bottom"/>
            <w:tcBorders>
              <w:top w:val="single" w:sz="8" w:color="0000EE"/>
              <w:bottom w:val="single" w:sz="8" w:color="00000A"/>
            </w:tcBorders>
          </w:tcPr>
          <w:p>
            <w:pPr>
              <w:spacing w:after="0"/>
              <w:rPr>
                <w:sz w:val="4"/>
                <w:szCs w:val="4"/>
                <w:color w:val="auto"/>
              </w:rPr>
            </w:pPr>
          </w:p>
        </w:tc>
        <w:tc>
          <w:tcPr>
            <w:tcW w:w="220" w:type="dxa"/>
            <w:vAlign w:val="bottom"/>
            <w:tcBorders>
              <w:top w:val="single" w:sz="8" w:color="0000EE"/>
              <w:bottom w:val="single" w:sz="8" w:color="00000A"/>
            </w:tcBorders>
          </w:tcPr>
          <w:p>
            <w:pPr>
              <w:spacing w:after="0"/>
              <w:rPr>
                <w:sz w:val="4"/>
                <w:szCs w:val="4"/>
                <w:color w:val="auto"/>
              </w:rPr>
            </w:pPr>
          </w:p>
        </w:tc>
        <w:tc>
          <w:tcPr>
            <w:tcW w:w="120" w:type="dxa"/>
            <w:vAlign w:val="bottom"/>
            <w:tcBorders>
              <w:top w:val="single" w:sz="8" w:color="0000EE"/>
              <w:bottom w:val="single" w:sz="8" w:color="00000A"/>
            </w:tcBorders>
          </w:tcPr>
          <w:p>
            <w:pPr>
              <w:spacing w:after="0"/>
              <w:rPr>
                <w:sz w:val="4"/>
                <w:szCs w:val="4"/>
                <w:color w:val="auto"/>
              </w:rPr>
            </w:pPr>
          </w:p>
        </w:tc>
        <w:tc>
          <w:tcPr>
            <w:tcW w:w="460" w:type="dxa"/>
            <w:vAlign w:val="bottom"/>
            <w:tcBorders>
              <w:top w:val="single" w:sz="8" w:color="0000EE"/>
              <w:bottom w:val="single" w:sz="8" w:color="00000A"/>
            </w:tcBorders>
          </w:tcPr>
          <w:p>
            <w:pPr>
              <w:spacing w:after="0"/>
              <w:rPr>
                <w:sz w:val="4"/>
                <w:szCs w:val="4"/>
                <w:color w:val="auto"/>
              </w:rPr>
            </w:pPr>
          </w:p>
        </w:tc>
        <w:tc>
          <w:tcPr>
            <w:tcW w:w="20" w:type="dxa"/>
            <w:vAlign w:val="bottom"/>
            <w:tcBorders>
              <w:top w:val="single" w:sz="8" w:color="0000EE"/>
              <w:bottom w:val="single" w:sz="8" w:color="00000A"/>
            </w:tcBorders>
          </w:tcPr>
          <w:p>
            <w:pPr>
              <w:spacing w:after="0"/>
              <w:rPr>
                <w:sz w:val="4"/>
                <w:szCs w:val="4"/>
                <w:color w:val="auto"/>
              </w:rPr>
            </w:pPr>
          </w:p>
        </w:tc>
        <w:tc>
          <w:tcPr>
            <w:tcW w:w="40" w:type="dxa"/>
            <w:vAlign w:val="bottom"/>
            <w:tcBorders>
              <w:bottom w:val="single" w:sz="8" w:color="00000A"/>
            </w:tcBorders>
          </w:tcPr>
          <w:p>
            <w:pPr>
              <w:spacing w:after="0"/>
              <w:rPr>
                <w:sz w:val="4"/>
                <w:szCs w:val="4"/>
                <w:color w:val="auto"/>
              </w:rPr>
            </w:pPr>
          </w:p>
        </w:tc>
        <w:tc>
          <w:tcPr>
            <w:tcW w:w="160" w:type="dxa"/>
            <w:vAlign w:val="bottom"/>
            <w:tcBorders>
              <w:bottom w:val="single" w:sz="8" w:color="00000A"/>
            </w:tcBorders>
          </w:tcPr>
          <w:p>
            <w:pPr>
              <w:spacing w:after="0"/>
              <w:rPr>
                <w:sz w:val="4"/>
                <w:szCs w:val="4"/>
                <w:color w:val="auto"/>
              </w:rPr>
            </w:pPr>
          </w:p>
        </w:tc>
        <w:tc>
          <w:tcPr>
            <w:tcW w:w="200" w:type="dxa"/>
            <w:vAlign w:val="bottom"/>
            <w:tcBorders>
              <w:bottom w:val="single" w:sz="8" w:color="00000A"/>
            </w:tcBorders>
          </w:tcPr>
          <w:p>
            <w:pPr>
              <w:spacing w:after="0"/>
              <w:rPr>
                <w:sz w:val="4"/>
                <w:szCs w:val="4"/>
                <w:color w:val="auto"/>
              </w:rPr>
            </w:pPr>
          </w:p>
        </w:tc>
        <w:tc>
          <w:tcPr>
            <w:tcW w:w="60" w:type="dxa"/>
            <w:vAlign w:val="bottom"/>
            <w:tcBorders>
              <w:bottom w:val="single" w:sz="8" w:color="00000A"/>
            </w:tcBorders>
          </w:tcPr>
          <w:p>
            <w:pPr>
              <w:spacing w:after="0"/>
              <w:rPr>
                <w:sz w:val="4"/>
                <w:szCs w:val="4"/>
                <w:color w:val="auto"/>
              </w:rPr>
            </w:pPr>
          </w:p>
        </w:tc>
        <w:tc>
          <w:tcPr>
            <w:tcW w:w="40" w:type="dxa"/>
            <w:vAlign w:val="bottom"/>
            <w:tcBorders>
              <w:bottom w:val="single" w:sz="8" w:color="00000A"/>
            </w:tcBorders>
          </w:tcPr>
          <w:p>
            <w:pPr>
              <w:spacing w:after="0"/>
              <w:rPr>
                <w:sz w:val="4"/>
                <w:szCs w:val="4"/>
                <w:color w:val="auto"/>
              </w:rPr>
            </w:pPr>
          </w:p>
        </w:tc>
        <w:tc>
          <w:tcPr>
            <w:tcW w:w="460" w:type="dxa"/>
            <w:vAlign w:val="bottom"/>
            <w:tcBorders>
              <w:bottom w:val="single" w:sz="8" w:color="00000A"/>
            </w:tcBorders>
          </w:tcPr>
          <w:p>
            <w:pPr>
              <w:spacing w:after="0"/>
              <w:rPr>
                <w:sz w:val="4"/>
                <w:szCs w:val="4"/>
                <w:color w:val="auto"/>
              </w:rPr>
            </w:pPr>
          </w:p>
        </w:tc>
        <w:tc>
          <w:tcPr>
            <w:tcW w:w="40" w:type="dxa"/>
            <w:vAlign w:val="bottom"/>
            <w:tcBorders>
              <w:bottom w:val="single" w:sz="8" w:color="00000A"/>
            </w:tcBorders>
          </w:tcPr>
          <w:p>
            <w:pPr>
              <w:spacing w:after="0"/>
              <w:rPr>
                <w:sz w:val="4"/>
                <w:szCs w:val="4"/>
                <w:color w:val="auto"/>
              </w:rPr>
            </w:pPr>
          </w:p>
        </w:tc>
        <w:tc>
          <w:tcPr>
            <w:tcW w:w="60" w:type="dxa"/>
            <w:vAlign w:val="bottom"/>
            <w:tcBorders>
              <w:bottom w:val="single" w:sz="8" w:color="00000A"/>
            </w:tcBorders>
          </w:tcPr>
          <w:p>
            <w:pPr>
              <w:spacing w:after="0"/>
              <w:rPr>
                <w:sz w:val="4"/>
                <w:szCs w:val="4"/>
                <w:color w:val="auto"/>
              </w:rPr>
            </w:pPr>
          </w:p>
        </w:tc>
        <w:tc>
          <w:tcPr>
            <w:tcW w:w="160" w:type="dxa"/>
            <w:vAlign w:val="bottom"/>
            <w:tcBorders>
              <w:bottom w:val="single" w:sz="8" w:color="00000A"/>
            </w:tcBorders>
          </w:tcPr>
          <w:p>
            <w:pPr>
              <w:spacing w:after="0"/>
              <w:rPr>
                <w:sz w:val="4"/>
                <w:szCs w:val="4"/>
                <w:color w:val="auto"/>
              </w:rPr>
            </w:pPr>
          </w:p>
        </w:tc>
        <w:tc>
          <w:tcPr>
            <w:tcW w:w="320" w:type="dxa"/>
            <w:vAlign w:val="bottom"/>
            <w:tcBorders>
              <w:bottom w:val="single" w:sz="8" w:color="00000A"/>
            </w:tcBorders>
          </w:tcPr>
          <w:p>
            <w:pPr>
              <w:spacing w:after="0"/>
              <w:rPr>
                <w:sz w:val="4"/>
                <w:szCs w:val="4"/>
                <w:color w:val="auto"/>
              </w:rPr>
            </w:pPr>
          </w:p>
        </w:tc>
        <w:tc>
          <w:tcPr>
            <w:tcW w:w="340" w:type="dxa"/>
            <w:vAlign w:val="bottom"/>
            <w:tcBorders>
              <w:bottom w:val="single" w:sz="8" w:color="00000A"/>
            </w:tcBorders>
          </w:tcPr>
          <w:p>
            <w:pPr>
              <w:spacing w:after="0"/>
              <w:rPr>
                <w:sz w:val="4"/>
                <w:szCs w:val="4"/>
                <w:color w:val="auto"/>
              </w:rPr>
            </w:pPr>
          </w:p>
        </w:tc>
        <w:tc>
          <w:tcPr>
            <w:tcW w:w="640" w:type="dxa"/>
            <w:vAlign w:val="bottom"/>
            <w:tcBorders>
              <w:bottom w:val="single" w:sz="8" w:color="00000A"/>
            </w:tcBorders>
          </w:tcPr>
          <w:p>
            <w:pPr>
              <w:spacing w:after="0"/>
              <w:rPr>
                <w:sz w:val="4"/>
                <w:szCs w:val="4"/>
                <w:color w:val="auto"/>
              </w:rPr>
            </w:pPr>
          </w:p>
        </w:tc>
        <w:tc>
          <w:tcPr>
            <w:tcW w:w="20" w:type="dxa"/>
            <w:vAlign w:val="bottom"/>
            <w:tcBorders>
              <w:bottom w:val="single" w:sz="8" w:color="00000A"/>
            </w:tcBorders>
          </w:tcPr>
          <w:p>
            <w:pPr>
              <w:spacing w:after="0"/>
              <w:rPr>
                <w:sz w:val="4"/>
                <w:szCs w:val="4"/>
                <w:color w:val="auto"/>
              </w:rPr>
            </w:pPr>
          </w:p>
        </w:tc>
        <w:tc>
          <w:tcPr>
            <w:tcW w:w="1000" w:type="dxa"/>
            <w:vAlign w:val="bottom"/>
            <w:tcBorders>
              <w:bottom w:val="single" w:sz="8" w:color="00000A"/>
              <w:right w:val="single" w:sz="8" w:color="00000A"/>
            </w:tcBorders>
          </w:tcPr>
          <w:p>
            <w:pPr>
              <w:spacing w:after="0"/>
              <w:rPr>
                <w:sz w:val="4"/>
                <w:szCs w:val="4"/>
                <w:color w:val="auto"/>
              </w:rPr>
            </w:pPr>
          </w:p>
        </w:tc>
        <w:tc>
          <w:tcPr>
            <w:tcW w:w="5480" w:type="dxa"/>
            <w:vAlign w:val="bottom"/>
            <w:tcBorders>
              <w:bottom w:val="single" w:sz="8" w:color="00000A"/>
            </w:tcBorders>
          </w:tcPr>
          <w:p>
            <w:pPr>
              <w:spacing w:after="0"/>
              <w:rPr>
                <w:sz w:val="4"/>
                <w:szCs w:val="4"/>
                <w:color w:val="auto"/>
              </w:rPr>
            </w:pPr>
          </w:p>
        </w:tc>
        <w:tc>
          <w:tcPr>
            <w:tcW w:w="80" w:type="dxa"/>
            <w:vAlign w:val="bottom"/>
            <w:tcBorders>
              <w:top w:val="single" w:sz="8" w:color="0000EE"/>
              <w:bottom w:val="single" w:sz="8" w:color="00000A"/>
            </w:tcBorders>
          </w:tcPr>
          <w:p>
            <w:pPr>
              <w:spacing w:after="0"/>
              <w:rPr>
                <w:sz w:val="4"/>
                <w:szCs w:val="4"/>
                <w:color w:val="auto"/>
              </w:rPr>
            </w:pPr>
          </w:p>
        </w:tc>
        <w:tc>
          <w:tcPr>
            <w:tcW w:w="100" w:type="dxa"/>
            <w:vAlign w:val="bottom"/>
            <w:tcBorders>
              <w:top w:val="single" w:sz="8" w:color="0000EE"/>
              <w:bottom w:val="single" w:sz="8" w:color="00000A"/>
            </w:tcBorders>
          </w:tcPr>
          <w:p>
            <w:pPr>
              <w:spacing w:after="0"/>
              <w:rPr>
                <w:sz w:val="4"/>
                <w:szCs w:val="4"/>
                <w:color w:val="auto"/>
              </w:rPr>
            </w:pPr>
          </w:p>
        </w:tc>
        <w:tc>
          <w:tcPr>
            <w:tcW w:w="40" w:type="dxa"/>
            <w:vAlign w:val="bottom"/>
            <w:tcBorders>
              <w:bottom w:val="single" w:sz="8" w:color="00000A"/>
              <w:right w:val="single" w:sz="8" w:color="00000A"/>
            </w:tcBorders>
          </w:tcPr>
          <w:p>
            <w:pPr>
              <w:spacing w:after="0"/>
              <w:rPr>
                <w:sz w:val="4"/>
                <w:szCs w:val="4"/>
                <w:color w:val="auto"/>
              </w:rPr>
            </w:pPr>
          </w:p>
        </w:tc>
      </w:tr>
      <w:tr>
        <w:trPr>
          <w:trHeight w:val="196"/>
        </w:trPr>
        <w:tc>
          <w:tcPr>
            <w:tcW w:w="40" w:type="dxa"/>
            <w:vAlign w:val="bottom"/>
            <w:tcBorders>
              <w:left w:val="single" w:sz="8" w:color="00000A"/>
            </w:tcBorders>
          </w:tcPr>
          <w:p>
            <w:pPr>
              <w:spacing w:after="0"/>
              <w:rPr>
                <w:sz w:val="17"/>
                <w:szCs w:val="17"/>
                <w:color w:val="auto"/>
              </w:rPr>
            </w:pPr>
          </w:p>
        </w:tc>
        <w:tc>
          <w:tcPr>
            <w:tcW w:w="4700" w:type="dxa"/>
            <w:vAlign w:val="bottom"/>
            <w:gridSpan w:val="19"/>
          </w:tcPr>
          <w:p>
            <w:pPr>
              <w:spacing w:after="0" w:line="196" w:lineRule="exact"/>
              <w:rPr>
                <w:rFonts w:ascii="Arial" w:cs="Arial" w:eastAsia="Arial" w:hAnsi="Arial"/>
                <w:sz w:val="18"/>
                <w:szCs w:val="18"/>
                <w:b w:val="1"/>
                <w:bCs w:val="1"/>
                <w:color w:val="0000EE"/>
              </w:rPr>
            </w:pPr>
            <w:hyperlink w:anchor="page18">
              <w:r>
                <w:rPr>
                  <w:rFonts w:ascii="Arial" w:cs="Arial" w:eastAsia="Arial" w:hAnsi="Arial"/>
                  <w:sz w:val="18"/>
                  <w:szCs w:val="18"/>
                  <w:b w:val="1"/>
                  <w:bCs w:val="1"/>
                  <w:color w:val="0000EE"/>
                </w:rPr>
                <w:t>LEGAL MATTERS</w:t>
              </w:r>
            </w:hyperlink>
          </w:p>
        </w:tc>
        <w:tc>
          <w:tcPr>
            <w:tcW w:w="1000" w:type="dxa"/>
            <w:vAlign w:val="bottom"/>
            <w:tcBorders>
              <w:right w:val="single" w:sz="8" w:color="00000A"/>
            </w:tcBorders>
          </w:tcPr>
          <w:p>
            <w:pPr>
              <w:spacing w:after="0"/>
              <w:rPr>
                <w:sz w:val="17"/>
                <w:szCs w:val="17"/>
                <w:color w:val="auto"/>
              </w:rPr>
            </w:pPr>
          </w:p>
        </w:tc>
        <w:tc>
          <w:tcPr>
            <w:tcW w:w="5700" w:type="dxa"/>
            <w:vAlign w:val="bottom"/>
            <w:tcBorders>
              <w:right w:val="single" w:sz="8" w:color="00000A"/>
            </w:tcBorders>
            <w:gridSpan w:val="4"/>
          </w:tcPr>
          <w:p>
            <w:pPr>
              <w:jc w:val="right"/>
              <w:ind w:right="40"/>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15</w:t>
              </w:r>
            </w:hyperlink>
          </w:p>
        </w:tc>
      </w:tr>
      <w:tr>
        <w:trPr>
          <w:trHeight w:val="48"/>
        </w:trPr>
        <w:tc>
          <w:tcPr>
            <w:tcW w:w="40" w:type="dxa"/>
            <w:vAlign w:val="bottom"/>
            <w:tcBorders>
              <w:left w:val="single" w:sz="8" w:color="00000A"/>
              <w:bottom w:val="single" w:sz="8" w:color="00000A"/>
            </w:tcBorders>
          </w:tcPr>
          <w:p>
            <w:pPr>
              <w:spacing w:after="0"/>
              <w:rPr>
                <w:sz w:val="4"/>
                <w:szCs w:val="4"/>
                <w:color w:val="auto"/>
              </w:rPr>
            </w:pPr>
          </w:p>
        </w:tc>
        <w:tc>
          <w:tcPr>
            <w:tcW w:w="840" w:type="dxa"/>
            <w:vAlign w:val="bottom"/>
            <w:tcBorders>
              <w:top w:val="single" w:sz="8" w:color="0000EE"/>
              <w:bottom w:val="single" w:sz="8" w:color="00000A"/>
            </w:tcBorders>
          </w:tcPr>
          <w:p>
            <w:pPr>
              <w:spacing w:after="0"/>
              <w:rPr>
                <w:sz w:val="4"/>
                <w:szCs w:val="4"/>
                <w:color w:val="auto"/>
              </w:rPr>
            </w:pPr>
          </w:p>
        </w:tc>
        <w:tc>
          <w:tcPr>
            <w:tcW w:w="500" w:type="dxa"/>
            <w:vAlign w:val="bottom"/>
            <w:tcBorders>
              <w:top w:val="single" w:sz="8" w:color="0000EE"/>
              <w:bottom w:val="single" w:sz="8" w:color="00000A"/>
            </w:tcBorders>
          </w:tcPr>
          <w:p>
            <w:pPr>
              <w:spacing w:after="0"/>
              <w:rPr>
                <w:sz w:val="4"/>
                <w:szCs w:val="4"/>
                <w:color w:val="auto"/>
              </w:rPr>
            </w:pPr>
          </w:p>
        </w:tc>
        <w:tc>
          <w:tcPr>
            <w:tcW w:w="220" w:type="dxa"/>
            <w:vAlign w:val="bottom"/>
            <w:tcBorders>
              <w:top w:val="single" w:sz="8" w:color="0000EE"/>
              <w:bottom w:val="single" w:sz="8" w:color="00000A"/>
            </w:tcBorders>
          </w:tcPr>
          <w:p>
            <w:pPr>
              <w:spacing w:after="0"/>
              <w:rPr>
                <w:sz w:val="4"/>
                <w:szCs w:val="4"/>
                <w:color w:val="auto"/>
              </w:rPr>
            </w:pPr>
          </w:p>
        </w:tc>
        <w:tc>
          <w:tcPr>
            <w:tcW w:w="120" w:type="dxa"/>
            <w:vAlign w:val="bottom"/>
            <w:tcBorders>
              <w:bottom w:val="single" w:sz="8" w:color="00000A"/>
            </w:tcBorders>
          </w:tcPr>
          <w:p>
            <w:pPr>
              <w:spacing w:after="0"/>
              <w:rPr>
                <w:sz w:val="4"/>
                <w:szCs w:val="4"/>
                <w:color w:val="auto"/>
              </w:rPr>
            </w:pPr>
          </w:p>
        </w:tc>
        <w:tc>
          <w:tcPr>
            <w:tcW w:w="460" w:type="dxa"/>
            <w:vAlign w:val="bottom"/>
            <w:tcBorders>
              <w:bottom w:val="single" w:sz="8" w:color="00000A"/>
            </w:tcBorders>
          </w:tcPr>
          <w:p>
            <w:pPr>
              <w:spacing w:after="0"/>
              <w:rPr>
                <w:sz w:val="4"/>
                <w:szCs w:val="4"/>
                <w:color w:val="auto"/>
              </w:rPr>
            </w:pPr>
          </w:p>
        </w:tc>
        <w:tc>
          <w:tcPr>
            <w:tcW w:w="20" w:type="dxa"/>
            <w:vAlign w:val="bottom"/>
            <w:tcBorders>
              <w:bottom w:val="single" w:sz="8" w:color="00000A"/>
            </w:tcBorders>
          </w:tcPr>
          <w:p>
            <w:pPr>
              <w:spacing w:after="0"/>
              <w:rPr>
                <w:sz w:val="4"/>
                <w:szCs w:val="4"/>
                <w:color w:val="auto"/>
              </w:rPr>
            </w:pPr>
          </w:p>
        </w:tc>
        <w:tc>
          <w:tcPr>
            <w:tcW w:w="40" w:type="dxa"/>
            <w:vAlign w:val="bottom"/>
            <w:tcBorders>
              <w:bottom w:val="single" w:sz="8" w:color="00000A"/>
            </w:tcBorders>
          </w:tcPr>
          <w:p>
            <w:pPr>
              <w:spacing w:after="0"/>
              <w:rPr>
                <w:sz w:val="4"/>
                <w:szCs w:val="4"/>
                <w:color w:val="auto"/>
              </w:rPr>
            </w:pPr>
          </w:p>
        </w:tc>
        <w:tc>
          <w:tcPr>
            <w:tcW w:w="160" w:type="dxa"/>
            <w:vAlign w:val="bottom"/>
            <w:tcBorders>
              <w:bottom w:val="single" w:sz="8" w:color="00000A"/>
            </w:tcBorders>
          </w:tcPr>
          <w:p>
            <w:pPr>
              <w:spacing w:after="0"/>
              <w:rPr>
                <w:sz w:val="4"/>
                <w:szCs w:val="4"/>
                <w:color w:val="auto"/>
              </w:rPr>
            </w:pPr>
          </w:p>
        </w:tc>
        <w:tc>
          <w:tcPr>
            <w:tcW w:w="200" w:type="dxa"/>
            <w:vAlign w:val="bottom"/>
            <w:tcBorders>
              <w:bottom w:val="single" w:sz="8" w:color="00000A"/>
            </w:tcBorders>
          </w:tcPr>
          <w:p>
            <w:pPr>
              <w:spacing w:after="0"/>
              <w:rPr>
                <w:sz w:val="4"/>
                <w:szCs w:val="4"/>
                <w:color w:val="auto"/>
              </w:rPr>
            </w:pPr>
          </w:p>
        </w:tc>
        <w:tc>
          <w:tcPr>
            <w:tcW w:w="60" w:type="dxa"/>
            <w:vAlign w:val="bottom"/>
            <w:tcBorders>
              <w:bottom w:val="single" w:sz="8" w:color="00000A"/>
            </w:tcBorders>
          </w:tcPr>
          <w:p>
            <w:pPr>
              <w:spacing w:after="0"/>
              <w:rPr>
                <w:sz w:val="4"/>
                <w:szCs w:val="4"/>
                <w:color w:val="auto"/>
              </w:rPr>
            </w:pPr>
          </w:p>
        </w:tc>
        <w:tc>
          <w:tcPr>
            <w:tcW w:w="40" w:type="dxa"/>
            <w:vAlign w:val="bottom"/>
            <w:tcBorders>
              <w:bottom w:val="single" w:sz="8" w:color="00000A"/>
            </w:tcBorders>
          </w:tcPr>
          <w:p>
            <w:pPr>
              <w:spacing w:after="0"/>
              <w:rPr>
                <w:sz w:val="4"/>
                <w:szCs w:val="4"/>
                <w:color w:val="auto"/>
              </w:rPr>
            </w:pPr>
          </w:p>
        </w:tc>
        <w:tc>
          <w:tcPr>
            <w:tcW w:w="460" w:type="dxa"/>
            <w:vAlign w:val="bottom"/>
            <w:tcBorders>
              <w:bottom w:val="single" w:sz="8" w:color="00000A"/>
            </w:tcBorders>
          </w:tcPr>
          <w:p>
            <w:pPr>
              <w:spacing w:after="0"/>
              <w:rPr>
                <w:sz w:val="4"/>
                <w:szCs w:val="4"/>
                <w:color w:val="auto"/>
              </w:rPr>
            </w:pPr>
          </w:p>
        </w:tc>
        <w:tc>
          <w:tcPr>
            <w:tcW w:w="40" w:type="dxa"/>
            <w:vAlign w:val="bottom"/>
            <w:tcBorders>
              <w:bottom w:val="single" w:sz="8" w:color="00000A"/>
            </w:tcBorders>
          </w:tcPr>
          <w:p>
            <w:pPr>
              <w:spacing w:after="0"/>
              <w:rPr>
                <w:sz w:val="4"/>
                <w:szCs w:val="4"/>
                <w:color w:val="auto"/>
              </w:rPr>
            </w:pPr>
          </w:p>
        </w:tc>
        <w:tc>
          <w:tcPr>
            <w:tcW w:w="60" w:type="dxa"/>
            <w:vAlign w:val="bottom"/>
            <w:tcBorders>
              <w:bottom w:val="single" w:sz="8" w:color="00000A"/>
            </w:tcBorders>
          </w:tcPr>
          <w:p>
            <w:pPr>
              <w:spacing w:after="0"/>
              <w:rPr>
                <w:sz w:val="4"/>
                <w:szCs w:val="4"/>
                <w:color w:val="auto"/>
              </w:rPr>
            </w:pPr>
          </w:p>
        </w:tc>
        <w:tc>
          <w:tcPr>
            <w:tcW w:w="160" w:type="dxa"/>
            <w:vAlign w:val="bottom"/>
            <w:tcBorders>
              <w:bottom w:val="single" w:sz="8" w:color="00000A"/>
            </w:tcBorders>
          </w:tcPr>
          <w:p>
            <w:pPr>
              <w:spacing w:after="0"/>
              <w:rPr>
                <w:sz w:val="4"/>
                <w:szCs w:val="4"/>
                <w:color w:val="auto"/>
              </w:rPr>
            </w:pPr>
          </w:p>
        </w:tc>
        <w:tc>
          <w:tcPr>
            <w:tcW w:w="320" w:type="dxa"/>
            <w:vAlign w:val="bottom"/>
            <w:tcBorders>
              <w:bottom w:val="single" w:sz="8" w:color="00000A"/>
            </w:tcBorders>
          </w:tcPr>
          <w:p>
            <w:pPr>
              <w:spacing w:after="0"/>
              <w:rPr>
                <w:sz w:val="4"/>
                <w:szCs w:val="4"/>
                <w:color w:val="auto"/>
              </w:rPr>
            </w:pPr>
          </w:p>
        </w:tc>
        <w:tc>
          <w:tcPr>
            <w:tcW w:w="340" w:type="dxa"/>
            <w:vAlign w:val="bottom"/>
            <w:tcBorders>
              <w:bottom w:val="single" w:sz="8" w:color="00000A"/>
            </w:tcBorders>
          </w:tcPr>
          <w:p>
            <w:pPr>
              <w:spacing w:after="0"/>
              <w:rPr>
                <w:sz w:val="4"/>
                <w:szCs w:val="4"/>
                <w:color w:val="auto"/>
              </w:rPr>
            </w:pPr>
          </w:p>
        </w:tc>
        <w:tc>
          <w:tcPr>
            <w:tcW w:w="640" w:type="dxa"/>
            <w:vAlign w:val="bottom"/>
            <w:tcBorders>
              <w:bottom w:val="single" w:sz="8" w:color="00000A"/>
            </w:tcBorders>
          </w:tcPr>
          <w:p>
            <w:pPr>
              <w:spacing w:after="0"/>
              <w:rPr>
                <w:sz w:val="4"/>
                <w:szCs w:val="4"/>
                <w:color w:val="auto"/>
              </w:rPr>
            </w:pPr>
          </w:p>
        </w:tc>
        <w:tc>
          <w:tcPr>
            <w:tcW w:w="20" w:type="dxa"/>
            <w:vAlign w:val="bottom"/>
            <w:tcBorders>
              <w:bottom w:val="single" w:sz="8" w:color="00000A"/>
            </w:tcBorders>
          </w:tcPr>
          <w:p>
            <w:pPr>
              <w:spacing w:after="0"/>
              <w:rPr>
                <w:sz w:val="4"/>
                <w:szCs w:val="4"/>
                <w:color w:val="auto"/>
              </w:rPr>
            </w:pPr>
          </w:p>
        </w:tc>
        <w:tc>
          <w:tcPr>
            <w:tcW w:w="1000" w:type="dxa"/>
            <w:vAlign w:val="bottom"/>
            <w:tcBorders>
              <w:bottom w:val="single" w:sz="8" w:color="00000A"/>
              <w:right w:val="single" w:sz="8" w:color="00000A"/>
            </w:tcBorders>
          </w:tcPr>
          <w:p>
            <w:pPr>
              <w:spacing w:after="0"/>
              <w:rPr>
                <w:sz w:val="4"/>
                <w:szCs w:val="4"/>
                <w:color w:val="auto"/>
              </w:rPr>
            </w:pPr>
          </w:p>
        </w:tc>
        <w:tc>
          <w:tcPr>
            <w:tcW w:w="5480" w:type="dxa"/>
            <w:vAlign w:val="bottom"/>
            <w:tcBorders>
              <w:bottom w:val="single" w:sz="8" w:color="00000A"/>
            </w:tcBorders>
          </w:tcPr>
          <w:p>
            <w:pPr>
              <w:spacing w:after="0"/>
              <w:rPr>
                <w:sz w:val="4"/>
                <w:szCs w:val="4"/>
                <w:color w:val="auto"/>
              </w:rPr>
            </w:pPr>
          </w:p>
        </w:tc>
        <w:tc>
          <w:tcPr>
            <w:tcW w:w="80" w:type="dxa"/>
            <w:vAlign w:val="bottom"/>
            <w:tcBorders>
              <w:top w:val="single" w:sz="8" w:color="0000EE"/>
              <w:bottom w:val="single" w:sz="8" w:color="00000A"/>
            </w:tcBorders>
          </w:tcPr>
          <w:p>
            <w:pPr>
              <w:spacing w:after="0"/>
              <w:rPr>
                <w:sz w:val="4"/>
                <w:szCs w:val="4"/>
                <w:color w:val="auto"/>
              </w:rPr>
            </w:pPr>
          </w:p>
        </w:tc>
        <w:tc>
          <w:tcPr>
            <w:tcW w:w="100" w:type="dxa"/>
            <w:vAlign w:val="bottom"/>
            <w:tcBorders>
              <w:top w:val="single" w:sz="8" w:color="0000EE"/>
              <w:bottom w:val="single" w:sz="8" w:color="00000A"/>
            </w:tcBorders>
          </w:tcPr>
          <w:p>
            <w:pPr>
              <w:spacing w:after="0"/>
              <w:rPr>
                <w:sz w:val="4"/>
                <w:szCs w:val="4"/>
                <w:color w:val="auto"/>
              </w:rPr>
            </w:pPr>
          </w:p>
        </w:tc>
        <w:tc>
          <w:tcPr>
            <w:tcW w:w="40" w:type="dxa"/>
            <w:vAlign w:val="bottom"/>
            <w:tcBorders>
              <w:bottom w:val="single" w:sz="8" w:color="00000A"/>
              <w:right w:val="single" w:sz="8" w:color="00000A"/>
            </w:tcBorders>
          </w:tcPr>
          <w:p>
            <w:pPr>
              <w:spacing w:after="0"/>
              <w:rPr>
                <w:sz w:val="4"/>
                <w:szCs w:val="4"/>
                <w:color w:val="auto"/>
              </w:rPr>
            </w:pPr>
          </w:p>
        </w:tc>
      </w:tr>
      <w:tr>
        <w:trPr>
          <w:trHeight w:val="196"/>
        </w:trPr>
        <w:tc>
          <w:tcPr>
            <w:tcW w:w="40" w:type="dxa"/>
            <w:vAlign w:val="bottom"/>
            <w:tcBorders>
              <w:left w:val="single" w:sz="8" w:color="00000A"/>
            </w:tcBorders>
          </w:tcPr>
          <w:p>
            <w:pPr>
              <w:spacing w:after="0"/>
              <w:rPr>
                <w:sz w:val="17"/>
                <w:szCs w:val="17"/>
                <w:color w:val="auto"/>
              </w:rPr>
            </w:pPr>
          </w:p>
        </w:tc>
        <w:tc>
          <w:tcPr>
            <w:tcW w:w="4700" w:type="dxa"/>
            <w:vAlign w:val="bottom"/>
            <w:gridSpan w:val="19"/>
          </w:tcPr>
          <w:p>
            <w:pPr>
              <w:spacing w:after="0" w:line="196" w:lineRule="exact"/>
              <w:rPr>
                <w:rFonts w:ascii="Arial" w:cs="Arial" w:eastAsia="Arial" w:hAnsi="Arial"/>
                <w:sz w:val="18"/>
                <w:szCs w:val="18"/>
                <w:b w:val="1"/>
                <w:bCs w:val="1"/>
                <w:color w:val="0000EE"/>
              </w:rPr>
            </w:pPr>
            <w:hyperlink w:anchor="page18">
              <w:r>
                <w:rPr>
                  <w:rFonts w:ascii="Arial" w:cs="Arial" w:eastAsia="Arial" w:hAnsi="Arial"/>
                  <w:sz w:val="18"/>
                  <w:szCs w:val="18"/>
                  <w:b w:val="1"/>
                  <w:bCs w:val="1"/>
                  <w:color w:val="0000EE"/>
                </w:rPr>
                <w:t>EXPERTS</w:t>
              </w:r>
            </w:hyperlink>
          </w:p>
        </w:tc>
        <w:tc>
          <w:tcPr>
            <w:tcW w:w="1000" w:type="dxa"/>
            <w:vAlign w:val="bottom"/>
            <w:tcBorders>
              <w:right w:val="single" w:sz="8" w:color="00000A"/>
            </w:tcBorders>
          </w:tcPr>
          <w:p>
            <w:pPr>
              <w:spacing w:after="0"/>
              <w:rPr>
                <w:sz w:val="17"/>
                <w:szCs w:val="17"/>
                <w:color w:val="auto"/>
              </w:rPr>
            </w:pPr>
          </w:p>
        </w:tc>
        <w:tc>
          <w:tcPr>
            <w:tcW w:w="5700" w:type="dxa"/>
            <w:vAlign w:val="bottom"/>
            <w:tcBorders>
              <w:right w:val="single" w:sz="8" w:color="00000A"/>
            </w:tcBorders>
            <w:gridSpan w:val="4"/>
          </w:tcPr>
          <w:p>
            <w:pPr>
              <w:jc w:val="right"/>
              <w:ind w:right="40"/>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15</w:t>
              </w:r>
            </w:hyperlink>
          </w:p>
        </w:tc>
      </w:tr>
      <w:tr>
        <w:trPr>
          <w:trHeight w:val="48"/>
        </w:trPr>
        <w:tc>
          <w:tcPr>
            <w:tcW w:w="40" w:type="dxa"/>
            <w:vAlign w:val="bottom"/>
            <w:tcBorders>
              <w:left w:val="single" w:sz="8" w:color="00000A"/>
              <w:bottom w:val="single" w:sz="8" w:color="00000A"/>
            </w:tcBorders>
          </w:tcPr>
          <w:p>
            <w:pPr>
              <w:spacing w:after="0"/>
              <w:rPr>
                <w:sz w:val="4"/>
                <w:szCs w:val="4"/>
                <w:color w:val="auto"/>
              </w:rPr>
            </w:pPr>
          </w:p>
        </w:tc>
        <w:tc>
          <w:tcPr>
            <w:tcW w:w="840" w:type="dxa"/>
            <w:vAlign w:val="bottom"/>
            <w:tcBorders>
              <w:top w:val="single" w:sz="8" w:color="0000EE"/>
              <w:bottom w:val="single" w:sz="8" w:color="00000A"/>
            </w:tcBorders>
          </w:tcPr>
          <w:p>
            <w:pPr>
              <w:spacing w:after="0"/>
              <w:rPr>
                <w:sz w:val="4"/>
                <w:szCs w:val="4"/>
                <w:color w:val="auto"/>
              </w:rPr>
            </w:pPr>
          </w:p>
        </w:tc>
        <w:tc>
          <w:tcPr>
            <w:tcW w:w="500" w:type="dxa"/>
            <w:vAlign w:val="bottom"/>
            <w:tcBorders>
              <w:bottom w:val="single" w:sz="8" w:color="00000A"/>
            </w:tcBorders>
          </w:tcPr>
          <w:p>
            <w:pPr>
              <w:spacing w:after="0"/>
              <w:rPr>
                <w:sz w:val="4"/>
                <w:szCs w:val="4"/>
                <w:color w:val="auto"/>
              </w:rPr>
            </w:pPr>
          </w:p>
        </w:tc>
        <w:tc>
          <w:tcPr>
            <w:tcW w:w="220" w:type="dxa"/>
            <w:vAlign w:val="bottom"/>
            <w:tcBorders>
              <w:bottom w:val="single" w:sz="8" w:color="00000A"/>
            </w:tcBorders>
          </w:tcPr>
          <w:p>
            <w:pPr>
              <w:spacing w:after="0"/>
              <w:rPr>
                <w:sz w:val="4"/>
                <w:szCs w:val="4"/>
                <w:color w:val="auto"/>
              </w:rPr>
            </w:pPr>
          </w:p>
        </w:tc>
        <w:tc>
          <w:tcPr>
            <w:tcW w:w="120" w:type="dxa"/>
            <w:vAlign w:val="bottom"/>
            <w:tcBorders>
              <w:bottom w:val="single" w:sz="8" w:color="00000A"/>
            </w:tcBorders>
          </w:tcPr>
          <w:p>
            <w:pPr>
              <w:spacing w:after="0"/>
              <w:rPr>
                <w:sz w:val="4"/>
                <w:szCs w:val="4"/>
                <w:color w:val="auto"/>
              </w:rPr>
            </w:pPr>
          </w:p>
        </w:tc>
        <w:tc>
          <w:tcPr>
            <w:tcW w:w="460" w:type="dxa"/>
            <w:vAlign w:val="bottom"/>
            <w:tcBorders>
              <w:bottom w:val="single" w:sz="8" w:color="00000A"/>
            </w:tcBorders>
          </w:tcPr>
          <w:p>
            <w:pPr>
              <w:spacing w:after="0"/>
              <w:rPr>
                <w:sz w:val="4"/>
                <w:szCs w:val="4"/>
                <w:color w:val="auto"/>
              </w:rPr>
            </w:pPr>
          </w:p>
        </w:tc>
        <w:tc>
          <w:tcPr>
            <w:tcW w:w="20" w:type="dxa"/>
            <w:vAlign w:val="bottom"/>
            <w:tcBorders>
              <w:bottom w:val="single" w:sz="8" w:color="00000A"/>
            </w:tcBorders>
          </w:tcPr>
          <w:p>
            <w:pPr>
              <w:spacing w:after="0"/>
              <w:rPr>
                <w:sz w:val="4"/>
                <w:szCs w:val="4"/>
                <w:color w:val="auto"/>
              </w:rPr>
            </w:pPr>
          </w:p>
        </w:tc>
        <w:tc>
          <w:tcPr>
            <w:tcW w:w="40" w:type="dxa"/>
            <w:vAlign w:val="bottom"/>
            <w:tcBorders>
              <w:bottom w:val="single" w:sz="8" w:color="00000A"/>
            </w:tcBorders>
          </w:tcPr>
          <w:p>
            <w:pPr>
              <w:spacing w:after="0"/>
              <w:rPr>
                <w:sz w:val="4"/>
                <w:szCs w:val="4"/>
                <w:color w:val="auto"/>
              </w:rPr>
            </w:pPr>
          </w:p>
        </w:tc>
        <w:tc>
          <w:tcPr>
            <w:tcW w:w="160" w:type="dxa"/>
            <w:vAlign w:val="bottom"/>
            <w:tcBorders>
              <w:bottom w:val="single" w:sz="8" w:color="00000A"/>
            </w:tcBorders>
          </w:tcPr>
          <w:p>
            <w:pPr>
              <w:spacing w:after="0"/>
              <w:rPr>
                <w:sz w:val="4"/>
                <w:szCs w:val="4"/>
                <w:color w:val="auto"/>
              </w:rPr>
            </w:pPr>
          </w:p>
        </w:tc>
        <w:tc>
          <w:tcPr>
            <w:tcW w:w="200" w:type="dxa"/>
            <w:vAlign w:val="bottom"/>
            <w:tcBorders>
              <w:bottom w:val="single" w:sz="8" w:color="00000A"/>
            </w:tcBorders>
          </w:tcPr>
          <w:p>
            <w:pPr>
              <w:spacing w:after="0"/>
              <w:rPr>
                <w:sz w:val="4"/>
                <w:szCs w:val="4"/>
                <w:color w:val="auto"/>
              </w:rPr>
            </w:pPr>
          </w:p>
        </w:tc>
        <w:tc>
          <w:tcPr>
            <w:tcW w:w="60" w:type="dxa"/>
            <w:vAlign w:val="bottom"/>
            <w:tcBorders>
              <w:bottom w:val="single" w:sz="8" w:color="00000A"/>
            </w:tcBorders>
          </w:tcPr>
          <w:p>
            <w:pPr>
              <w:spacing w:after="0"/>
              <w:rPr>
                <w:sz w:val="4"/>
                <w:szCs w:val="4"/>
                <w:color w:val="auto"/>
              </w:rPr>
            </w:pPr>
          </w:p>
        </w:tc>
        <w:tc>
          <w:tcPr>
            <w:tcW w:w="40" w:type="dxa"/>
            <w:vAlign w:val="bottom"/>
            <w:tcBorders>
              <w:bottom w:val="single" w:sz="8" w:color="00000A"/>
            </w:tcBorders>
          </w:tcPr>
          <w:p>
            <w:pPr>
              <w:spacing w:after="0"/>
              <w:rPr>
                <w:sz w:val="4"/>
                <w:szCs w:val="4"/>
                <w:color w:val="auto"/>
              </w:rPr>
            </w:pPr>
          </w:p>
        </w:tc>
        <w:tc>
          <w:tcPr>
            <w:tcW w:w="460" w:type="dxa"/>
            <w:vAlign w:val="bottom"/>
            <w:tcBorders>
              <w:bottom w:val="single" w:sz="8" w:color="00000A"/>
            </w:tcBorders>
          </w:tcPr>
          <w:p>
            <w:pPr>
              <w:spacing w:after="0"/>
              <w:rPr>
                <w:sz w:val="4"/>
                <w:szCs w:val="4"/>
                <w:color w:val="auto"/>
              </w:rPr>
            </w:pPr>
          </w:p>
        </w:tc>
        <w:tc>
          <w:tcPr>
            <w:tcW w:w="40" w:type="dxa"/>
            <w:vAlign w:val="bottom"/>
            <w:tcBorders>
              <w:bottom w:val="single" w:sz="8" w:color="00000A"/>
            </w:tcBorders>
          </w:tcPr>
          <w:p>
            <w:pPr>
              <w:spacing w:after="0"/>
              <w:rPr>
                <w:sz w:val="4"/>
                <w:szCs w:val="4"/>
                <w:color w:val="auto"/>
              </w:rPr>
            </w:pPr>
          </w:p>
        </w:tc>
        <w:tc>
          <w:tcPr>
            <w:tcW w:w="60" w:type="dxa"/>
            <w:vAlign w:val="bottom"/>
            <w:tcBorders>
              <w:bottom w:val="single" w:sz="8" w:color="00000A"/>
            </w:tcBorders>
          </w:tcPr>
          <w:p>
            <w:pPr>
              <w:spacing w:after="0"/>
              <w:rPr>
                <w:sz w:val="4"/>
                <w:szCs w:val="4"/>
                <w:color w:val="auto"/>
              </w:rPr>
            </w:pPr>
          </w:p>
        </w:tc>
        <w:tc>
          <w:tcPr>
            <w:tcW w:w="160" w:type="dxa"/>
            <w:vAlign w:val="bottom"/>
            <w:tcBorders>
              <w:bottom w:val="single" w:sz="8" w:color="00000A"/>
            </w:tcBorders>
          </w:tcPr>
          <w:p>
            <w:pPr>
              <w:spacing w:after="0"/>
              <w:rPr>
                <w:sz w:val="4"/>
                <w:szCs w:val="4"/>
                <w:color w:val="auto"/>
              </w:rPr>
            </w:pPr>
          </w:p>
        </w:tc>
        <w:tc>
          <w:tcPr>
            <w:tcW w:w="320" w:type="dxa"/>
            <w:vAlign w:val="bottom"/>
            <w:tcBorders>
              <w:bottom w:val="single" w:sz="8" w:color="00000A"/>
            </w:tcBorders>
          </w:tcPr>
          <w:p>
            <w:pPr>
              <w:spacing w:after="0"/>
              <w:rPr>
                <w:sz w:val="4"/>
                <w:szCs w:val="4"/>
                <w:color w:val="auto"/>
              </w:rPr>
            </w:pPr>
          </w:p>
        </w:tc>
        <w:tc>
          <w:tcPr>
            <w:tcW w:w="340" w:type="dxa"/>
            <w:vAlign w:val="bottom"/>
            <w:tcBorders>
              <w:bottom w:val="single" w:sz="8" w:color="00000A"/>
            </w:tcBorders>
          </w:tcPr>
          <w:p>
            <w:pPr>
              <w:spacing w:after="0"/>
              <w:rPr>
                <w:sz w:val="4"/>
                <w:szCs w:val="4"/>
                <w:color w:val="auto"/>
              </w:rPr>
            </w:pPr>
          </w:p>
        </w:tc>
        <w:tc>
          <w:tcPr>
            <w:tcW w:w="640" w:type="dxa"/>
            <w:vAlign w:val="bottom"/>
            <w:tcBorders>
              <w:bottom w:val="single" w:sz="8" w:color="00000A"/>
            </w:tcBorders>
          </w:tcPr>
          <w:p>
            <w:pPr>
              <w:spacing w:after="0"/>
              <w:rPr>
                <w:sz w:val="4"/>
                <w:szCs w:val="4"/>
                <w:color w:val="auto"/>
              </w:rPr>
            </w:pPr>
          </w:p>
        </w:tc>
        <w:tc>
          <w:tcPr>
            <w:tcW w:w="20" w:type="dxa"/>
            <w:vAlign w:val="bottom"/>
            <w:tcBorders>
              <w:bottom w:val="single" w:sz="8" w:color="00000A"/>
            </w:tcBorders>
          </w:tcPr>
          <w:p>
            <w:pPr>
              <w:spacing w:after="0"/>
              <w:rPr>
                <w:sz w:val="4"/>
                <w:szCs w:val="4"/>
                <w:color w:val="auto"/>
              </w:rPr>
            </w:pPr>
          </w:p>
        </w:tc>
        <w:tc>
          <w:tcPr>
            <w:tcW w:w="1000" w:type="dxa"/>
            <w:vAlign w:val="bottom"/>
            <w:tcBorders>
              <w:bottom w:val="single" w:sz="8" w:color="00000A"/>
              <w:right w:val="single" w:sz="8" w:color="00000A"/>
            </w:tcBorders>
          </w:tcPr>
          <w:p>
            <w:pPr>
              <w:spacing w:after="0"/>
              <w:rPr>
                <w:sz w:val="4"/>
                <w:szCs w:val="4"/>
                <w:color w:val="auto"/>
              </w:rPr>
            </w:pPr>
          </w:p>
        </w:tc>
        <w:tc>
          <w:tcPr>
            <w:tcW w:w="5480" w:type="dxa"/>
            <w:vAlign w:val="bottom"/>
            <w:tcBorders>
              <w:bottom w:val="single" w:sz="8" w:color="00000A"/>
            </w:tcBorders>
          </w:tcPr>
          <w:p>
            <w:pPr>
              <w:spacing w:after="0"/>
              <w:rPr>
                <w:sz w:val="4"/>
                <w:szCs w:val="4"/>
                <w:color w:val="auto"/>
              </w:rPr>
            </w:pPr>
          </w:p>
        </w:tc>
        <w:tc>
          <w:tcPr>
            <w:tcW w:w="80" w:type="dxa"/>
            <w:vAlign w:val="bottom"/>
            <w:tcBorders>
              <w:top w:val="single" w:sz="8" w:color="0000EE"/>
              <w:bottom w:val="single" w:sz="8" w:color="00000A"/>
            </w:tcBorders>
          </w:tcPr>
          <w:p>
            <w:pPr>
              <w:spacing w:after="0"/>
              <w:rPr>
                <w:sz w:val="4"/>
                <w:szCs w:val="4"/>
                <w:color w:val="auto"/>
              </w:rPr>
            </w:pPr>
          </w:p>
        </w:tc>
        <w:tc>
          <w:tcPr>
            <w:tcW w:w="100" w:type="dxa"/>
            <w:vAlign w:val="bottom"/>
            <w:tcBorders>
              <w:top w:val="single" w:sz="8" w:color="0000EE"/>
              <w:bottom w:val="single" w:sz="8" w:color="00000A"/>
            </w:tcBorders>
          </w:tcPr>
          <w:p>
            <w:pPr>
              <w:spacing w:after="0"/>
              <w:rPr>
                <w:sz w:val="4"/>
                <w:szCs w:val="4"/>
                <w:color w:val="auto"/>
              </w:rPr>
            </w:pPr>
          </w:p>
        </w:tc>
        <w:tc>
          <w:tcPr>
            <w:tcW w:w="40" w:type="dxa"/>
            <w:vAlign w:val="bottom"/>
            <w:tcBorders>
              <w:bottom w:val="single" w:sz="8" w:color="00000A"/>
              <w:right w:val="single" w:sz="8" w:color="00000A"/>
            </w:tcBorders>
          </w:tcPr>
          <w:p>
            <w:pPr>
              <w:spacing w:after="0"/>
              <w:rPr>
                <w:sz w:val="4"/>
                <w:szCs w:val="4"/>
                <w:color w:val="auto"/>
              </w:rPr>
            </w:pPr>
          </w:p>
        </w:tc>
      </w:tr>
      <w:tr>
        <w:trPr>
          <w:trHeight w:val="196"/>
        </w:trPr>
        <w:tc>
          <w:tcPr>
            <w:tcW w:w="40" w:type="dxa"/>
            <w:vAlign w:val="bottom"/>
            <w:tcBorders>
              <w:left w:val="single" w:sz="8" w:color="00000A"/>
            </w:tcBorders>
          </w:tcPr>
          <w:p>
            <w:pPr>
              <w:spacing w:after="0"/>
              <w:rPr>
                <w:sz w:val="17"/>
                <w:szCs w:val="17"/>
                <w:color w:val="auto"/>
              </w:rPr>
            </w:pPr>
          </w:p>
        </w:tc>
        <w:tc>
          <w:tcPr>
            <w:tcW w:w="4700" w:type="dxa"/>
            <w:vAlign w:val="bottom"/>
            <w:gridSpan w:val="19"/>
          </w:tcPr>
          <w:p>
            <w:pPr>
              <w:spacing w:after="0" w:line="196" w:lineRule="exact"/>
              <w:rPr>
                <w:rFonts w:ascii="Arial" w:cs="Arial" w:eastAsia="Arial" w:hAnsi="Arial"/>
                <w:sz w:val="18"/>
                <w:szCs w:val="18"/>
                <w:b w:val="1"/>
                <w:bCs w:val="1"/>
                <w:color w:val="0000EE"/>
              </w:rPr>
            </w:pPr>
            <w:hyperlink w:anchor="page18">
              <w:r>
                <w:rPr>
                  <w:rFonts w:ascii="Arial" w:cs="Arial" w:eastAsia="Arial" w:hAnsi="Arial"/>
                  <w:sz w:val="18"/>
                  <w:szCs w:val="18"/>
                  <w:b w:val="1"/>
                  <w:bCs w:val="1"/>
                  <w:color w:val="0000EE"/>
                </w:rPr>
                <w:t>WHERE YOU CAN FIND MORE INFORMATION</w:t>
              </w:r>
            </w:hyperlink>
          </w:p>
        </w:tc>
        <w:tc>
          <w:tcPr>
            <w:tcW w:w="1000" w:type="dxa"/>
            <w:vAlign w:val="bottom"/>
            <w:tcBorders>
              <w:right w:val="single" w:sz="8" w:color="00000A"/>
            </w:tcBorders>
          </w:tcPr>
          <w:p>
            <w:pPr>
              <w:spacing w:after="0"/>
              <w:rPr>
                <w:sz w:val="17"/>
                <w:szCs w:val="17"/>
                <w:color w:val="auto"/>
              </w:rPr>
            </w:pPr>
          </w:p>
        </w:tc>
        <w:tc>
          <w:tcPr>
            <w:tcW w:w="5700" w:type="dxa"/>
            <w:vAlign w:val="bottom"/>
            <w:tcBorders>
              <w:right w:val="single" w:sz="8" w:color="00000A"/>
            </w:tcBorders>
            <w:gridSpan w:val="4"/>
          </w:tcPr>
          <w:p>
            <w:pPr>
              <w:jc w:val="right"/>
              <w:ind w:right="40"/>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15</w:t>
              </w:r>
            </w:hyperlink>
          </w:p>
        </w:tc>
      </w:tr>
      <w:tr>
        <w:trPr>
          <w:trHeight w:val="48"/>
        </w:trPr>
        <w:tc>
          <w:tcPr>
            <w:tcW w:w="40" w:type="dxa"/>
            <w:vAlign w:val="bottom"/>
            <w:tcBorders>
              <w:left w:val="single" w:sz="8" w:color="00000A"/>
              <w:bottom w:val="single" w:sz="8" w:color="00000A"/>
            </w:tcBorders>
          </w:tcPr>
          <w:p>
            <w:pPr>
              <w:spacing w:after="0"/>
              <w:rPr>
                <w:sz w:val="4"/>
                <w:szCs w:val="4"/>
                <w:color w:val="auto"/>
              </w:rPr>
            </w:pPr>
          </w:p>
        </w:tc>
        <w:tc>
          <w:tcPr>
            <w:tcW w:w="840" w:type="dxa"/>
            <w:vAlign w:val="bottom"/>
            <w:tcBorders>
              <w:top w:val="single" w:sz="8" w:color="0000EE"/>
              <w:bottom w:val="single" w:sz="8" w:color="00000A"/>
            </w:tcBorders>
          </w:tcPr>
          <w:p>
            <w:pPr>
              <w:spacing w:after="0"/>
              <w:rPr>
                <w:sz w:val="4"/>
                <w:szCs w:val="4"/>
                <w:color w:val="auto"/>
              </w:rPr>
            </w:pPr>
          </w:p>
        </w:tc>
        <w:tc>
          <w:tcPr>
            <w:tcW w:w="500" w:type="dxa"/>
            <w:vAlign w:val="bottom"/>
            <w:tcBorders>
              <w:top w:val="single" w:sz="8" w:color="0000EE"/>
              <w:bottom w:val="single" w:sz="8" w:color="00000A"/>
            </w:tcBorders>
          </w:tcPr>
          <w:p>
            <w:pPr>
              <w:spacing w:after="0"/>
              <w:rPr>
                <w:sz w:val="4"/>
                <w:szCs w:val="4"/>
                <w:color w:val="auto"/>
              </w:rPr>
            </w:pPr>
          </w:p>
        </w:tc>
        <w:tc>
          <w:tcPr>
            <w:tcW w:w="220" w:type="dxa"/>
            <w:vAlign w:val="bottom"/>
            <w:tcBorders>
              <w:top w:val="single" w:sz="8" w:color="0000EE"/>
              <w:bottom w:val="single" w:sz="8" w:color="00000A"/>
            </w:tcBorders>
          </w:tcPr>
          <w:p>
            <w:pPr>
              <w:spacing w:after="0"/>
              <w:rPr>
                <w:sz w:val="4"/>
                <w:szCs w:val="4"/>
                <w:color w:val="auto"/>
              </w:rPr>
            </w:pPr>
          </w:p>
        </w:tc>
        <w:tc>
          <w:tcPr>
            <w:tcW w:w="120" w:type="dxa"/>
            <w:vAlign w:val="bottom"/>
            <w:tcBorders>
              <w:top w:val="single" w:sz="8" w:color="0000EE"/>
              <w:bottom w:val="single" w:sz="8" w:color="00000A"/>
            </w:tcBorders>
          </w:tcPr>
          <w:p>
            <w:pPr>
              <w:spacing w:after="0"/>
              <w:rPr>
                <w:sz w:val="4"/>
                <w:szCs w:val="4"/>
                <w:color w:val="auto"/>
              </w:rPr>
            </w:pPr>
          </w:p>
        </w:tc>
        <w:tc>
          <w:tcPr>
            <w:tcW w:w="460" w:type="dxa"/>
            <w:vAlign w:val="bottom"/>
            <w:tcBorders>
              <w:top w:val="single" w:sz="8" w:color="0000EE"/>
              <w:bottom w:val="single" w:sz="8" w:color="00000A"/>
            </w:tcBorders>
          </w:tcPr>
          <w:p>
            <w:pPr>
              <w:spacing w:after="0"/>
              <w:rPr>
                <w:sz w:val="4"/>
                <w:szCs w:val="4"/>
                <w:color w:val="auto"/>
              </w:rPr>
            </w:pPr>
          </w:p>
        </w:tc>
        <w:tc>
          <w:tcPr>
            <w:tcW w:w="20" w:type="dxa"/>
            <w:vAlign w:val="bottom"/>
            <w:tcBorders>
              <w:top w:val="single" w:sz="8" w:color="0000EE"/>
              <w:bottom w:val="single" w:sz="8" w:color="00000A"/>
            </w:tcBorders>
          </w:tcPr>
          <w:p>
            <w:pPr>
              <w:spacing w:after="0"/>
              <w:rPr>
                <w:sz w:val="4"/>
                <w:szCs w:val="4"/>
                <w:color w:val="auto"/>
              </w:rPr>
            </w:pPr>
          </w:p>
        </w:tc>
        <w:tc>
          <w:tcPr>
            <w:tcW w:w="40" w:type="dxa"/>
            <w:vAlign w:val="bottom"/>
            <w:tcBorders>
              <w:top w:val="single" w:sz="8" w:color="0000EE"/>
              <w:bottom w:val="single" w:sz="8" w:color="00000A"/>
            </w:tcBorders>
          </w:tcPr>
          <w:p>
            <w:pPr>
              <w:spacing w:after="0"/>
              <w:rPr>
                <w:sz w:val="4"/>
                <w:szCs w:val="4"/>
                <w:color w:val="auto"/>
              </w:rPr>
            </w:pPr>
          </w:p>
        </w:tc>
        <w:tc>
          <w:tcPr>
            <w:tcW w:w="160" w:type="dxa"/>
            <w:vAlign w:val="bottom"/>
            <w:tcBorders>
              <w:top w:val="single" w:sz="8" w:color="0000EE"/>
              <w:bottom w:val="single" w:sz="8" w:color="00000A"/>
            </w:tcBorders>
          </w:tcPr>
          <w:p>
            <w:pPr>
              <w:spacing w:after="0"/>
              <w:rPr>
                <w:sz w:val="4"/>
                <w:szCs w:val="4"/>
                <w:color w:val="auto"/>
              </w:rPr>
            </w:pPr>
          </w:p>
        </w:tc>
        <w:tc>
          <w:tcPr>
            <w:tcW w:w="200" w:type="dxa"/>
            <w:vAlign w:val="bottom"/>
            <w:tcBorders>
              <w:top w:val="single" w:sz="8" w:color="0000EE"/>
              <w:bottom w:val="single" w:sz="8" w:color="00000A"/>
            </w:tcBorders>
          </w:tcPr>
          <w:p>
            <w:pPr>
              <w:spacing w:after="0"/>
              <w:rPr>
                <w:sz w:val="4"/>
                <w:szCs w:val="4"/>
                <w:color w:val="auto"/>
              </w:rPr>
            </w:pPr>
          </w:p>
        </w:tc>
        <w:tc>
          <w:tcPr>
            <w:tcW w:w="60" w:type="dxa"/>
            <w:vAlign w:val="bottom"/>
            <w:tcBorders>
              <w:top w:val="single" w:sz="8" w:color="0000EE"/>
              <w:bottom w:val="single" w:sz="8" w:color="00000A"/>
            </w:tcBorders>
          </w:tcPr>
          <w:p>
            <w:pPr>
              <w:spacing w:after="0"/>
              <w:rPr>
                <w:sz w:val="4"/>
                <w:szCs w:val="4"/>
                <w:color w:val="auto"/>
              </w:rPr>
            </w:pPr>
          </w:p>
        </w:tc>
        <w:tc>
          <w:tcPr>
            <w:tcW w:w="40" w:type="dxa"/>
            <w:vAlign w:val="bottom"/>
            <w:tcBorders>
              <w:top w:val="single" w:sz="8" w:color="0000EE"/>
              <w:bottom w:val="single" w:sz="8" w:color="00000A"/>
            </w:tcBorders>
          </w:tcPr>
          <w:p>
            <w:pPr>
              <w:spacing w:after="0"/>
              <w:rPr>
                <w:sz w:val="4"/>
                <w:szCs w:val="4"/>
                <w:color w:val="auto"/>
              </w:rPr>
            </w:pPr>
          </w:p>
        </w:tc>
        <w:tc>
          <w:tcPr>
            <w:tcW w:w="460" w:type="dxa"/>
            <w:vAlign w:val="bottom"/>
            <w:tcBorders>
              <w:top w:val="single" w:sz="8" w:color="0000EE"/>
              <w:bottom w:val="single" w:sz="8" w:color="00000A"/>
            </w:tcBorders>
          </w:tcPr>
          <w:p>
            <w:pPr>
              <w:spacing w:after="0"/>
              <w:rPr>
                <w:sz w:val="4"/>
                <w:szCs w:val="4"/>
                <w:color w:val="auto"/>
              </w:rPr>
            </w:pPr>
          </w:p>
        </w:tc>
        <w:tc>
          <w:tcPr>
            <w:tcW w:w="40" w:type="dxa"/>
            <w:vAlign w:val="bottom"/>
            <w:tcBorders>
              <w:top w:val="single" w:sz="8" w:color="0000EE"/>
              <w:bottom w:val="single" w:sz="8" w:color="00000A"/>
            </w:tcBorders>
          </w:tcPr>
          <w:p>
            <w:pPr>
              <w:spacing w:after="0"/>
              <w:rPr>
                <w:sz w:val="4"/>
                <w:szCs w:val="4"/>
                <w:color w:val="auto"/>
              </w:rPr>
            </w:pPr>
          </w:p>
        </w:tc>
        <w:tc>
          <w:tcPr>
            <w:tcW w:w="60" w:type="dxa"/>
            <w:vAlign w:val="bottom"/>
            <w:tcBorders>
              <w:top w:val="single" w:sz="8" w:color="0000EE"/>
              <w:bottom w:val="single" w:sz="8" w:color="00000A"/>
            </w:tcBorders>
          </w:tcPr>
          <w:p>
            <w:pPr>
              <w:spacing w:after="0"/>
              <w:rPr>
                <w:sz w:val="4"/>
                <w:szCs w:val="4"/>
                <w:color w:val="auto"/>
              </w:rPr>
            </w:pPr>
          </w:p>
        </w:tc>
        <w:tc>
          <w:tcPr>
            <w:tcW w:w="160" w:type="dxa"/>
            <w:vAlign w:val="bottom"/>
            <w:tcBorders>
              <w:top w:val="single" w:sz="8" w:color="0000EE"/>
              <w:bottom w:val="single" w:sz="8" w:color="00000A"/>
            </w:tcBorders>
          </w:tcPr>
          <w:p>
            <w:pPr>
              <w:spacing w:after="0"/>
              <w:rPr>
                <w:sz w:val="4"/>
                <w:szCs w:val="4"/>
                <w:color w:val="auto"/>
              </w:rPr>
            </w:pPr>
          </w:p>
        </w:tc>
        <w:tc>
          <w:tcPr>
            <w:tcW w:w="320" w:type="dxa"/>
            <w:vAlign w:val="bottom"/>
            <w:tcBorders>
              <w:top w:val="single" w:sz="8" w:color="0000EE"/>
              <w:bottom w:val="single" w:sz="8" w:color="00000A"/>
            </w:tcBorders>
          </w:tcPr>
          <w:p>
            <w:pPr>
              <w:spacing w:after="0"/>
              <w:rPr>
                <w:sz w:val="4"/>
                <w:szCs w:val="4"/>
                <w:color w:val="auto"/>
              </w:rPr>
            </w:pPr>
          </w:p>
        </w:tc>
        <w:tc>
          <w:tcPr>
            <w:tcW w:w="340" w:type="dxa"/>
            <w:vAlign w:val="bottom"/>
            <w:tcBorders>
              <w:top w:val="single" w:sz="8" w:color="0000EE"/>
              <w:bottom w:val="single" w:sz="8" w:color="00000A"/>
            </w:tcBorders>
          </w:tcPr>
          <w:p>
            <w:pPr>
              <w:spacing w:after="0"/>
              <w:rPr>
                <w:sz w:val="4"/>
                <w:szCs w:val="4"/>
                <w:color w:val="auto"/>
              </w:rPr>
            </w:pPr>
          </w:p>
        </w:tc>
        <w:tc>
          <w:tcPr>
            <w:tcW w:w="640" w:type="dxa"/>
            <w:vAlign w:val="bottom"/>
            <w:tcBorders>
              <w:bottom w:val="single" w:sz="8" w:color="00000A"/>
            </w:tcBorders>
          </w:tcPr>
          <w:p>
            <w:pPr>
              <w:spacing w:after="0"/>
              <w:rPr>
                <w:sz w:val="4"/>
                <w:szCs w:val="4"/>
                <w:color w:val="auto"/>
              </w:rPr>
            </w:pPr>
          </w:p>
        </w:tc>
        <w:tc>
          <w:tcPr>
            <w:tcW w:w="20" w:type="dxa"/>
            <w:vAlign w:val="bottom"/>
            <w:tcBorders>
              <w:bottom w:val="single" w:sz="8" w:color="00000A"/>
            </w:tcBorders>
          </w:tcPr>
          <w:p>
            <w:pPr>
              <w:spacing w:after="0"/>
              <w:rPr>
                <w:sz w:val="4"/>
                <w:szCs w:val="4"/>
                <w:color w:val="auto"/>
              </w:rPr>
            </w:pPr>
          </w:p>
        </w:tc>
        <w:tc>
          <w:tcPr>
            <w:tcW w:w="1000" w:type="dxa"/>
            <w:vAlign w:val="bottom"/>
            <w:tcBorders>
              <w:bottom w:val="single" w:sz="8" w:color="00000A"/>
              <w:right w:val="single" w:sz="8" w:color="00000A"/>
            </w:tcBorders>
          </w:tcPr>
          <w:p>
            <w:pPr>
              <w:spacing w:after="0"/>
              <w:rPr>
                <w:sz w:val="4"/>
                <w:szCs w:val="4"/>
                <w:color w:val="auto"/>
              </w:rPr>
            </w:pPr>
          </w:p>
        </w:tc>
        <w:tc>
          <w:tcPr>
            <w:tcW w:w="5480" w:type="dxa"/>
            <w:vAlign w:val="bottom"/>
            <w:tcBorders>
              <w:bottom w:val="single" w:sz="8" w:color="00000A"/>
            </w:tcBorders>
          </w:tcPr>
          <w:p>
            <w:pPr>
              <w:spacing w:after="0"/>
              <w:rPr>
                <w:sz w:val="4"/>
                <w:szCs w:val="4"/>
                <w:color w:val="auto"/>
              </w:rPr>
            </w:pPr>
          </w:p>
        </w:tc>
        <w:tc>
          <w:tcPr>
            <w:tcW w:w="80" w:type="dxa"/>
            <w:vAlign w:val="bottom"/>
            <w:tcBorders>
              <w:top w:val="single" w:sz="8" w:color="0000EE"/>
              <w:bottom w:val="single" w:sz="8" w:color="00000A"/>
            </w:tcBorders>
          </w:tcPr>
          <w:p>
            <w:pPr>
              <w:spacing w:after="0"/>
              <w:rPr>
                <w:sz w:val="4"/>
                <w:szCs w:val="4"/>
                <w:color w:val="auto"/>
              </w:rPr>
            </w:pPr>
          </w:p>
        </w:tc>
        <w:tc>
          <w:tcPr>
            <w:tcW w:w="100" w:type="dxa"/>
            <w:vAlign w:val="bottom"/>
            <w:tcBorders>
              <w:top w:val="single" w:sz="8" w:color="0000EE"/>
              <w:bottom w:val="single" w:sz="8" w:color="00000A"/>
            </w:tcBorders>
          </w:tcPr>
          <w:p>
            <w:pPr>
              <w:spacing w:after="0"/>
              <w:rPr>
                <w:sz w:val="4"/>
                <w:szCs w:val="4"/>
                <w:color w:val="auto"/>
              </w:rPr>
            </w:pPr>
          </w:p>
        </w:tc>
        <w:tc>
          <w:tcPr>
            <w:tcW w:w="40" w:type="dxa"/>
            <w:vAlign w:val="bottom"/>
            <w:tcBorders>
              <w:bottom w:val="single" w:sz="8" w:color="00000A"/>
              <w:right w:val="single" w:sz="8" w:color="00000A"/>
            </w:tcBorders>
          </w:tcPr>
          <w:p>
            <w:pPr>
              <w:spacing w:after="0"/>
              <w:rPr>
                <w:sz w:val="4"/>
                <w:szCs w:val="4"/>
                <w:color w:val="auto"/>
              </w:rPr>
            </w:pPr>
          </w:p>
        </w:tc>
      </w:tr>
      <w:tr>
        <w:trPr>
          <w:trHeight w:val="196"/>
        </w:trPr>
        <w:tc>
          <w:tcPr>
            <w:tcW w:w="40" w:type="dxa"/>
            <w:vAlign w:val="bottom"/>
            <w:tcBorders>
              <w:left w:val="single" w:sz="8" w:color="00000A"/>
            </w:tcBorders>
          </w:tcPr>
          <w:p>
            <w:pPr>
              <w:spacing w:after="0"/>
              <w:rPr>
                <w:sz w:val="17"/>
                <w:szCs w:val="17"/>
                <w:color w:val="auto"/>
              </w:rPr>
            </w:pPr>
          </w:p>
        </w:tc>
        <w:tc>
          <w:tcPr>
            <w:tcW w:w="4700" w:type="dxa"/>
            <w:vAlign w:val="bottom"/>
            <w:gridSpan w:val="19"/>
          </w:tcPr>
          <w:p>
            <w:pPr>
              <w:spacing w:after="0" w:line="196" w:lineRule="exact"/>
              <w:rPr>
                <w:rFonts w:ascii="Arial" w:cs="Arial" w:eastAsia="Arial" w:hAnsi="Arial"/>
                <w:sz w:val="18"/>
                <w:szCs w:val="18"/>
                <w:b w:val="1"/>
                <w:bCs w:val="1"/>
                <w:color w:val="0000EE"/>
              </w:rPr>
            </w:pPr>
            <w:hyperlink w:anchor="page18">
              <w:r>
                <w:rPr>
                  <w:rFonts w:ascii="Arial" w:cs="Arial" w:eastAsia="Arial" w:hAnsi="Arial"/>
                  <w:sz w:val="18"/>
                  <w:szCs w:val="18"/>
                  <w:b w:val="1"/>
                  <w:bCs w:val="1"/>
                  <w:color w:val="0000EE"/>
                </w:rPr>
                <w:t>INCORPORATION OF INFORMATION BY REFERENCE</w:t>
              </w:r>
            </w:hyperlink>
          </w:p>
        </w:tc>
        <w:tc>
          <w:tcPr>
            <w:tcW w:w="1000" w:type="dxa"/>
            <w:vAlign w:val="bottom"/>
            <w:tcBorders>
              <w:right w:val="single" w:sz="8" w:color="00000A"/>
            </w:tcBorders>
          </w:tcPr>
          <w:p>
            <w:pPr>
              <w:spacing w:after="0"/>
              <w:rPr>
                <w:sz w:val="17"/>
                <w:szCs w:val="17"/>
                <w:color w:val="auto"/>
              </w:rPr>
            </w:pPr>
          </w:p>
        </w:tc>
        <w:tc>
          <w:tcPr>
            <w:tcW w:w="5700" w:type="dxa"/>
            <w:vAlign w:val="bottom"/>
            <w:tcBorders>
              <w:right w:val="single" w:sz="8" w:color="00000A"/>
            </w:tcBorders>
            <w:gridSpan w:val="4"/>
          </w:tcPr>
          <w:p>
            <w:pPr>
              <w:jc w:val="right"/>
              <w:ind w:right="40"/>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15</w:t>
              </w:r>
            </w:hyperlink>
          </w:p>
        </w:tc>
      </w:tr>
      <w:tr>
        <w:trPr>
          <w:trHeight w:val="48"/>
        </w:trPr>
        <w:tc>
          <w:tcPr>
            <w:tcW w:w="40" w:type="dxa"/>
            <w:vAlign w:val="bottom"/>
            <w:tcBorders>
              <w:left w:val="single" w:sz="8" w:color="00000A"/>
              <w:bottom w:val="single" w:sz="8" w:color="00000A"/>
            </w:tcBorders>
          </w:tcPr>
          <w:p>
            <w:pPr>
              <w:spacing w:after="0"/>
              <w:rPr>
                <w:sz w:val="4"/>
                <w:szCs w:val="4"/>
                <w:color w:val="auto"/>
              </w:rPr>
            </w:pPr>
          </w:p>
        </w:tc>
        <w:tc>
          <w:tcPr>
            <w:tcW w:w="840" w:type="dxa"/>
            <w:vAlign w:val="bottom"/>
            <w:tcBorders>
              <w:top w:val="single" w:sz="8" w:color="0000EE"/>
              <w:bottom w:val="single" w:sz="8" w:color="00000A"/>
            </w:tcBorders>
          </w:tcPr>
          <w:p>
            <w:pPr>
              <w:spacing w:after="0"/>
              <w:rPr>
                <w:sz w:val="4"/>
                <w:szCs w:val="4"/>
                <w:color w:val="auto"/>
              </w:rPr>
            </w:pPr>
          </w:p>
        </w:tc>
        <w:tc>
          <w:tcPr>
            <w:tcW w:w="500" w:type="dxa"/>
            <w:vAlign w:val="bottom"/>
            <w:tcBorders>
              <w:top w:val="single" w:sz="8" w:color="0000EE"/>
              <w:bottom w:val="single" w:sz="8" w:color="00000A"/>
            </w:tcBorders>
          </w:tcPr>
          <w:p>
            <w:pPr>
              <w:spacing w:after="0"/>
              <w:rPr>
                <w:sz w:val="4"/>
                <w:szCs w:val="4"/>
                <w:color w:val="auto"/>
              </w:rPr>
            </w:pPr>
          </w:p>
        </w:tc>
        <w:tc>
          <w:tcPr>
            <w:tcW w:w="220" w:type="dxa"/>
            <w:vAlign w:val="bottom"/>
            <w:tcBorders>
              <w:top w:val="single" w:sz="8" w:color="0000EE"/>
              <w:bottom w:val="single" w:sz="8" w:color="00000A"/>
            </w:tcBorders>
          </w:tcPr>
          <w:p>
            <w:pPr>
              <w:spacing w:after="0"/>
              <w:rPr>
                <w:sz w:val="4"/>
                <w:szCs w:val="4"/>
                <w:color w:val="auto"/>
              </w:rPr>
            </w:pPr>
          </w:p>
        </w:tc>
        <w:tc>
          <w:tcPr>
            <w:tcW w:w="120" w:type="dxa"/>
            <w:vAlign w:val="bottom"/>
            <w:tcBorders>
              <w:top w:val="single" w:sz="8" w:color="0000EE"/>
              <w:bottom w:val="single" w:sz="8" w:color="00000A"/>
            </w:tcBorders>
          </w:tcPr>
          <w:p>
            <w:pPr>
              <w:spacing w:after="0"/>
              <w:rPr>
                <w:sz w:val="4"/>
                <w:szCs w:val="4"/>
                <w:color w:val="auto"/>
              </w:rPr>
            </w:pPr>
          </w:p>
        </w:tc>
        <w:tc>
          <w:tcPr>
            <w:tcW w:w="460" w:type="dxa"/>
            <w:vAlign w:val="bottom"/>
            <w:tcBorders>
              <w:top w:val="single" w:sz="8" w:color="0000EE"/>
              <w:bottom w:val="single" w:sz="8" w:color="00000A"/>
            </w:tcBorders>
          </w:tcPr>
          <w:p>
            <w:pPr>
              <w:spacing w:after="0"/>
              <w:rPr>
                <w:sz w:val="4"/>
                <w:szCs w:val="4"/>
                <w:color w:val="auto"/>
              </w:rPr>
            </w:pPr>
          </w:p>
        </w:tc>
        <w:tc>
          <w:tcPr>
            <w:tcW w:w="20" w:type="dxa"/>
            <w:vAlign w:val="bottom"/>
            <w:tcBorders>
              <w:top w:val="single" w:sz="8" w:color="0000EE"/>
              <w:bottom w:val="single" w:sz="8" w:color="00000A"/>
            </w:tcBorders>
          </w:tcPr>
          <w:p>
            <w:pPr>
              <w:spacing w:after="0"/>
              <w:rPr>
                <w:sz w:val="4"/>
                <w:szCs w:val="4"/>
                <w:color w:val="auto"/>
              </w:rPr>
            </w:pPr>
          </w:p>
        </w:tc>
        <w:tc>
          <w:tcPr>
            <w:tcW w:w="40" w:type="dxa"/>
            <w:vAlign w:val="bottom"/>
            <w:tcBorders>
              <w:top w:val="single" w:sz="8" w:color="0000EE"/>
              <w:bottom w:val="single" w:sz="8" w:color="00000A"/>
            </w:tcBorders>
          </w:tcPr>
          <w:p>
            <w:pPr>
              <w:spacing w:after="0"/>
              <w:rPr>
                <w:sz w:val="4"/>
                <w:szCs w:val="4"/>
                <w:color w:val="auto"/>
              </w:rPr>
            </w:pPr>
          </w:p>
        </w:tc>
        <w:tc>
          <w:tcPr>
            <w:tcW w:w="160" w:type="dxa"/>
            <w:vAlign w:val="bottom"/>
            <w:tcBorders>
              <w:top w:val="single" w:sz="8" w:color="0000EE"/>
              <w:bottom w:val="single" w:sz="8" w:color="00000A"/>
            </w:tcBorders>
          </w:tcPr>
          <w:p>
            <w:pPr>
              <w:spacing w:after="0"/>
              <w:rPr>
                <w:sz w:val="4"/>
                <w:szCs w:val="4"/>
                <w:color w:val="auto"/>
              </w:rPr>
            </w:pPr>
          </w:p>
        </w:tc>
        <w:tc>
          <w:tcPr>
            <w:tcW w:w="200" w:type="dxa"/>
            <w:vAlign w:val="bottom"/>
            <w:tcBorders>
              <w:top w:val="single" w:sz="8" w:color="0000EE"/>
              <w:bottom w:val="single" w:sz="8" w:color="00000A"/>
            </w:tcBorders>
          </w:tcPr>
          <w:p>
            <w:pPr>
              <w:spacing w:after="0"/>
              <w:rPr>
                <w:sz w:val="4"/>
                <w:szCs w:val="4"/>
                <w:color w:val="auto"/>
              </w:rPr>
            </w:pPr>
          </w:p>
        </w:tc>
        <w:tc>
          <w:tcPr>
            <w:tcW w:w="60" w:type="dxa"/>
            <w:vAlign w:val="bottom"/>
            <w:tcBorders>
              <w:top w:val="single" w:sz="8" w:color="0000EE"/>
              <w:bottom w:val="single" w:sz="8" w:color="00000A"/>
            </w:tcBorders>
          </w:tcPr>
          <w:p>
            <w:pPr>
              <w:spacing w:after="0"/>
              <w:rPr>
                <w:sz w:val="4"/>
                <w:szCs w:val="4"/>
                <w:color w:val="auto"/>
              </w:rPr>
            </w:pPr>
          </w:p>
        </w:tc>
        <w:tc>
          <w:tcPr>
            <w:tcW w:w="40" w:type="dxa"/>
            <w:vAlign w:val="bottom"/>
            <w:tcBorders>
              <w:top w:val="single" w:sz="8" w:color="0000EE"/>
              <w:bottom w:val="single" w:sz="8" w:color="00000A"/>
            </w:tcBorders>
          </w:tcPr>
          <w:p>
            <w:pPr>
              <w:spacing w:after="0"/>
              <w:rPr>
                <w:sz w:val="4"/>
                <w:szCs w:val="4"/>
                <w:color w:val="auto"/>
              </w:rPr>
            </w:pPr>
          </w:p>
        </w:tc>
        <w:tc>
          <w:tcPr>
            <w:tcW w:w="460" w:type="dxa"/>
            <w:vAlign w:val="bottom"/>
            <w:tcBorders>
              <w:top w:val="single" w:sz="8" w:color="0000EE"/>
              <w:bottom w:val="single" w:sz="8" w:color="00000A"/>
            </w:tcBorders>
          </w:tcPr>
          <w:p>
            <w:pPr>
              <w:spacing w:after="0"/>
              <w:rPr>
                <w:sz w:val="4"/>
                <w:szCs w:val="4"/>
                <w:color w:val="auto"/>
              </w:rPr>
            </w:pPr>
          </w:p>
        </w:tc>
        <w:tc>
          <w:tcPr>
            <w:tcW w:w="40" w:type="dxa"/>
            <w:vAlign w:val="bottom"/>
            <w:tcBorders>
              <w:top w:val="single" w:sz="8" w:color="0000EE"/>
              <w:bottom w:val="single" w:sz="8" w:color="00000A"/>
            </w:tcBorders>
          </w:tcPr>
          <w:p>
            <w:pPr>
              <w:spacing w:after="0"/>
              <w:rPr>
                <w:sz w:val="4"/>
                <w:szCs w:val="4"/>
                <w:color w:val="auto"/>
              </w:rPr>
            </w:pPr>
          </w:p>
        </w:tc>
        <w:tc>
          <w:tcPr>
            <w:tcW w:w="60" w:type="dxa"/>
            <w:vAlign w:val="bottom"/>
            <w:tcBorders>
              <w:top w:val="single" w:sz="8" w:color="0000EE"/>
              <w:bottom w:val="single" w:sz="8" w:color="00000A"/>
            </w:tcBorders>
          </w:tcPr>
          <w:p>
            <w:pPr>
              <w:spacing w:after="0"/>
              <w:rPr>
                <w:sz w:val="4"/>
                <w:szCs w:val="4"/>
                <w:color w:val="auto"/>
              </w:rPr>
            </w:pPr>
          </w:p>
        </w:tc>
        <w:tc>
          <w:tcPr>
            <w:tcW w:w="160" w:type="dxa"/>
            <w:vAlign w:val="bottom"/>
            <w:tcBorders>
              <w:top w:val="single" w:sz="8" w:color="0000EE"/>
              <w:bottom w:val="single" w:sz="8" w:color="00000A"/>
            </w:tcBorders>
          </w:tcPr>
          <w:p>
            <w:pPr>
              <w:spacing w:after="0"/>
              <w:rPr>
                <w:sz w:val="4"/>
                <w:szCs w:val="4"/>
                <w:color w:val="auto"/>
              </w:rPr>
            </w:pPr>
          </w:p>
        </w:tc>
        <w:tc>
          <w:tcPr>
            <w:tcW w:w="320" w:type="dxa"/>
            <w:vAlign w:val="bottom"/>
            <w:tcBorders>
              <w:top w:val="single" w:sz="8" w:color="0000EE"/>
              <w:bottom w:val="single" w:sz="8" w:color="00000A"/>
            </w:tcBorders>
          </w:tcPr>
          <w:p>
            <w:pPr>
              <w:spacing w:after="0"/>
              <w:rPr>
                <w:sz w:val="4"/>
                <w:szCs w:val="4"/>
                <w:color w:val="auto"/>
              </w:rPr>
            </w:pPr>
          </w:p>
        </w:tc>
        <w:tc>
          <w:tcPr>
            <w:tcW w:w="340" w:type="dxa"/>
            <w:vAlign w:val="bottom"/>
            <w:tcBorders>
              <w:top w:val="single" w:sz="8" w:color="0000EE"/>
              <w:bottom w:val="single" w:sz="8" w:color="00000A"/>
            </w:tcBorders>
          </w:tcPr>
          <w:p>
            <w:pPr>
              <w:spacing w:after="0"/>
              <w:rPr>
                <w:sz w:val="4"/>
                <w:szCs w:val="4"/>
                <w:color w:val="auto"/>
              </w:rPr>
            </w:pPr>
          </w:p>
        </w:tc>
        <w:tc>
          <w:tcPr>
            <w:tcW w:w="640" w:type="dxa"/>
            <w:vAlign w:val="bottom"/>
            <w:tcBorders>
              <w:top w:val="single" w:sz="8" w:color="0000EE"/>
              <w:bottom w:val="single" w:sz="8" w:color="00000A"/>
            </w:tcBorders>
          </w:tcPr>
          <w:p>
            <w:pPr>
              <w:spacing w:after="0"/>
              <w:rPr>
                <w:sz w:val="4"/>
                <w:szCs w:val="4"/>
                <w:color w:val="auto"/>
              </w:rPr>
            </w:pPr>
          </w:p>
        </w:tc>
        <w:tc>
          <w:tcPr>
            <w:tcW w:w="20" w:type="dxa"/>
            <w:vAlign w:val="bottom"/>
            <w:tcBorders>
              <w:bottom w:val="single" w:sz="8" w:color="00000A"/>
            </w:tcBorders>
          </w:tcPr>
          <w:p>
            <w:pPr>
              <w:spacing w:after="0"/>
              <w:rPr>
                <w:sz w:val="4"/>
                <w:szCs w:val="4"/>
                <w:color w:val="auto"/>
              </w:rPr>
            </w:pPr>
          </w:p>
        </w:tc>
        <w:tc>
          <w:tcPr>
            <w:tcW w:w="1000" w:type="dxa"/>
            <w:vAlign w:val="bottom"/>
            <w:tcBorders>
              <w:bottom w:val="single" w:sz="8" w:color="00000A"/>
              <w:right w:val="single" w:sz="8" w:color="00000A"/>
            </w:tcBorders>
          </w:tcPr>
          <w:p>
            <w:pPr>
              <w:spacing w:after="0"/>
              <w:rPr>
                <w:sz w:val="4"/>
                <w:szCs w:val="4"/>
                <w:color w:val="auto"/>
              </w:rPr>
            </w:pPr>
          </w:p>
        </w:tc>
        <w:tc>
          <w:tcPr>
            <w:tcW w:w="5480" w:type="dxa"/>
            <w:vAlign w:val="bottom"/>
            <w:tcBorders>
              <w:bottom w:val="single" w:sz="8" w:color="00000A"/>
            </w:tcBorders>
          </w:tcPr>
          <w:p>
            <w:pPr>
              <w:spacing w:after="0"/>
              <w:rPr>
                <w:sz w:val="4"/>
                <w:szCs w:val="4"/>
                <w:color w:val="auto"/>
              </w:rPr>
            </w:pPr>
          </w:p>
        </w:tc>
        <w:tc>
          <w:tcPr>
            <w:tcW w:w="80" w:type="dxa"/>
            <w:vAlign w:val="bottom"/>
            <w:tcBorders>
              <w:top w:val="single" w:sz="8" w:color="0000EE"/>
              <w:bottom w:val="single" w:sz="8" w:color="00000A"/>
            </w:tcBorders>
          </w:tcPr>
          <w:p>
            <w:pPr>
              <w:spacing w:after="0"/>
              <w:rPr>
                <w:sz w:val="4"/>
                <w:szCs w:val="4"/>
                <w:color w:val="auto"/>
              </w:rPr>
            </w:pPr>
          </w:p>
        </w:tc>
        <w:tc>
          <w:tcPr>
            <w:tcW w:w="100" w:type="dxa"/>
            <w:vAlign w:val="bottom"/>
            <w:tcBorders>
              <w:top w:val="single" w:sz="8" w:color="0000EE"/>
              <w:bottom w:val="single" w:sz="8" w:color="00000A"/>
            </w:tcBorders>
          </w:tcPr>
          <w:p>
            <w:pPr>
              <w:spacing w:after="0"/>
              <w:rPr>
                <w:sz w:val="4"/>
                <w:szCs w:val="4"/>
                <w:color w:val="auto"/>
              </w:rPr>
            </w:pPr>
          </w:p>
        </w:tc>
        <w:tc>
          <w:tcPr>
            <w:tcW w:w="40" w:type="dxa"/>
            <w:vAlign w:val="bottom"/>
            <w:tcBorders>
              <w:bottom w:val="single" w:sz="8" w:color="00000A"/>
              <w:right w:val="single" w:sz="8" w:color="00000A"/>
            </w:tcBorders>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40"/>
          </w:cols>
          <w:pgMar w:left="240" w:top="756" w:right="21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27"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This prospectus is part of an automatic registration statement on Form S-3 that we filed with the Securities and Exchange Commission, or SEC, using a “shelf” registration, or continuous offering, process under the Securities Act of 1933, as amended, or the Securities Act. Under this shelf registration process, we may, from time to time, offer and sell separately or together in any combination the securities described in this prospectus in one or more offerings, and selling securityholders may sell our common stock from time to time in one or more offerings.</w:t>
      </w:r>
    </w:p>
    <w:p>
      <w:pPr>
        <w:spacing w:after="0" w:line="69"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This prospectus provides you with a general description of the securities we or the selling securityholders may offer. Each time we or the selling securityholders sell securities, we will provide one or more prospectus supplements that will contain specific information about the terms of the offering. We may also authorize one or more free writing prospectuses to be provided to you in connection with these offerings. Any prospectus supplement and any free writing prospectus may also add, update or change information contained in this prospectus. You should read this prospectus, the information incorporated, or deemed to be incorporated, by reference in this prospectus, the accompanying prospectus supplement and any free writing prospectus, together with the additional information described under the heading “Where You Can Find More Information,” before making your investment decision.</w:t>
      </w:r>
    </w:p>
    <w:p>
      <w:pPr>
        <w:spacing w:after="0" w:line="16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You should rely only on the information contained in or incorporated by reference in this prospectus, any accompanying prospectus supplement or in any related free writing prospectus filed by us with the SEC. We and the selling securityholders have not authorized anyone to provide you with different information. This prospectus and the accompanying prospectus supplement do not constitute an offer to sell or the solicitation of an offer to buy any securities other than the securities described in the accompanying prospectus supplement or an offer to sell or the solicitation of an offer to buy such securities in any circumstances in which such offer or solicitation is unlawful. You should assume that the information appearing in this prospectus, any prospectus supplement, the documents incorporated by reference and any related free writing prospectus is accurate only as of their respective dates. Our business, financial condition, operating results and prospects may have changed materially since those dates.</w:t>
      </w:r>
    </w:p>
    <w:p>
      <w:pPr>
        <w:spacing w:after="0" w:line="137"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This prospectus contains summaries of certain provisions contained in some of the documents described herein, but reference is made to the actual documents for complete information. Copies of some of the documents referred to herein have been filed, will be filed or will be incorporated by reference as exhibits to the registration statement of which this prospectus is a part, and you may obtain copies of those documents as described below under the heading “Where You Can Find More Information.”</w:t>
      </w:r>
    </w:p>
    <w:p>
      <w:pPr>
        <w:spacing w:after="0" w:line="79"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Unless the context otherwise requires, references in this prospectus and the accompanying prospectus supplement to “Veracyte,” the “company,” “we,” “us” and “our” refer to Veracyte, Inc.</w:t>
      </w:r>
    </w:p>
    <w:p>
      <w:pPr>
        <w:spacing w:after="0" w:line="6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Veracyte, Afirma, Percepta, Envisia, Know by Design, the Veracyte logo and the Afirma logo are our trademarks. This prospectus and the documents incorporated by reference into this prospectus may also contain trademarks and trade names that are the property of their respective owners. We do not intend our use or display of other companies’ trade names, trademarks or service marks to imply relationships with, or endorsements or sponsorship of us by, these other companies.</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PROSPECTUS SUMMARY</w:t>
      </w:r>
    </w:p>
    <w:p>
      <w:pPr>
        <w:spacing w:after="0" w:line="12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This summary does not contain all of the information that you should consider before investing in our securities. You should carefully read this entire prospectus and the information incorporated by reference in this prospectus, including “Risk Factors” and the financial data and related notes and other information incorporated by reference, before making an investment decision.</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2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a leading genomic diagnostics company that is creating value through innovation. We were founded in 2008 with a mission to improve diagnostic accuracy. Today, through our innovative scientific platform which utilizes ribonucleic acid, or RNA, whole-transcriptome sequencing combined with machine learning, we are serving this critical medical need and expanding our offerings further along the clinical continuum of care so that we can advance early detection of disease and inform treatment decisions at the same time as diagnosis.</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have commercialized five leading, first-to-market tests that we believe are transforming care in large, untapped clinical areas - thyroid cancer, lung cancer and idiopathic pulmonary fibrosis, or IPF. We develop tests that answer specific clinical questions, providing patients and physicians with a clear path forward without the need for risky or costly procedures that are often unnecessary. Our RNA whole-transcriptome sequencing platform enables us to maximize the amount of genomic content that we extract from each nonsurgical patient sample. We use our machine learning expertise to develop genomic classifiers that provide actionable information at the time of diagnosis. At the same time, our approach enables us to provide information that can guide treatment decisions such as surgery strategy and therapy selection.</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position our tests in each clinical indication at the point where they improve diagnostic clarity for cancer and other diseases. In its 2015 report, “Improving Diagnostic Errors in Medicine,” the Institute of Medicine concluded that most people will experience at</w:t>
      </w:r>
    </w:p>
    <w:p>
      <w:pPr>
        <w:spacing w:after="0" w:line="197"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0" w:right="239" w:bottom="1440" w:gutter="0" w:footer="0" w:header="0"/>
        </w:sectPr>
      </w:pPr>
    </w:p>
    <w:bookmarkStart w:id="5" w:name="page6"/>
    <w:bookmarkEnd w:id="5"/>
    <w:p>
      <w:pPr>
        <w:spacing w:after="0" w:line="277" w:lineRule="auto"/>
        <w:rPr>
          <w:sz w:val="20"/>
          <w:szCs w:val="20"/>
          <w:color w:val="auto"/>
        </w:rPr>
      </w:pPr>
      <w:r>
        <w:rPr>
          <w:rFonts w:ascii="Arial" w:cs="Arial" w:eastAsia="Arial" w:hAnsi="Arial"/>
          <w:sz w:val="18"/>
          <w:szCs w:val="18"/>
          <w:color w:val="auto"/>
        </w:rPr>
        <w:t>least one diagnostic error in their lifetime, sometimes with devastating consequences. Annually, of the hundreds of thousands of patients who are evaluated for suspected disease in our thyroid and lung cancer indications, diagnosis can be ambiguous in 15% to 70% of cases.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date, we have commercialized five genomic tests that we believe are are changing disease diagnosis:</w:t>
      </w:r>
    </w:p>
    <w:p>
      <w:pPr>
        <w:spacing w:after="0" w:line="90"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Afirma Genomic Sequencing Classifier, or GSC, for thyroid cancer;</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Afirma Gene Expression Classifier, which was the Afirma GSC’s predecessor;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Percepta Bronchial Genomic Classifier for lung cancer;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Envisia Genomic Classifier for IPF; and</w:t>
      </w:r>
    </w:p>
    <w:p>
      <w:pPr>
        <w:spacing w:after="0" w:line="9" w:lineRule="exact"/>
        <w:rPr>
          <w:rFonts w:ascii="Arial" w:cs="Arial" w:eastAsia="Arial" w:hAnsi="Arial"/>
          <w:sz w:val="18"/>
          <w:szCs w:val="18"/>
          <w:color w:val="auto"/>
        </w:rPr>
      </w:pPr>
    </w:p>
    <w:p>
      <w:pPr>
        <w:ind w:left="660" w:right="640" w:hanging="328"/>
        <w:spacing w:after="0" w:line="261"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Afirma Xpression Atlas, which provides information on the most common and emerging gene alterations associated with thyroid cancer, enabling physicians to confidently tailor surgical and treatment decisions at time of diagnosis.</w:t>
      </w:r>
    </w:p>
    <w:p>
      <w:pPr>
        <w:spacing w:after="0" w:line="18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Collectively, we believe the four tests we are currently offering address a $2 billion global market opportunity.</w:t>
      </w:r>
    </w:p>
    <w:p>
      <w:pPr>
        <w:spacing w:after="0" w:line="9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published evidence supporting our tests demonstrates the robustness of our science and clinical studies, and we believe is key to driving adoption and reimbursement. Patients and physicians can access our full list of publications on our website. Over 38 clinical studies covering our products have been published, including two landmark clinical validation papers published in The New England Journal of Medicine for the Afirma and Percepta classifiers. We continue to build upon our extensive library of clinical evidence.</w:t>
      </w:r>
    </w:p>
    <w:p>
      <w:pPr>
        <w:spacing w:after="0" w:line="18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believe our focus on developing clinically useful tests that change patient care is enabling us to set new standards in genomic test reimbursement. Our Afirma genomic classifier is now covered by every major health plan in the United States, which collectively insure more than 275 million people, for use in thyroid cancer diagnosis. We are now contracted as an in-network service provider to health plans representing over 215 million people in the United States Our second commercial product, the Percepta classifier, is the first genomic test to gain Medicare coverage for improved lung cancer screening and diagnosis, making it a covered benefit for nearly 60 million people.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Information</w:t>
      </w:r>
    </w:p>
    <w:p>
      <w:pPr>
        <w:spacing w:after="0" w:line="121"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We were incorporated in Delaware as Calderome, Inc. in August 2006. Calderome operated as an incubator until early 2008. We changed our name to Veracyte, Inc. in March 2008. Our principal executive offices are located at 6000 Shoreline Court, Suite 300, South San Francisco, California 94080 and our telephone number is (650) 243-6300. Our website address is www.veracyte.com. We do not incorporate the information on, or accessible through, our website into this prospectus, and you should not consider any information on, or accessible through, our website as part of this prospectus.</w:t>
      </w:r>
    </w:p>
    <w:p>
      <w:pPr>
        <w:spacing w:after="0" w:line="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7"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Investing in our securities involves risk. The prospectus supplement relating to a particular offering will contain a discussion of risks applicable to an investment in the securities offered. Prior to making a decision about investing in our securities, you should carefully consider the specific factors discussed under the heading “Risk Factors” in the applicable prospectus supplement together with all of the other information contained in the prospectus supplement or appearing or incorporated by reference in this prospectus. You should also consider the risks, uncertainties and assumptions discussed under Part II, Item 1A, “Risk Factors,” in our Quarterly Report on Form 10-Q for the quarterly period ended March 31, 2019, which is incorporated herein by reference, and may be amended, supplemented or superseded from time to time by other reports we file with the SEC in the future. The risks and uncertainties we have described are not the only ones we face. Additional risks and uncertainties not presently known to us or that we currently deem immaterial may also affect our operations.</w:t>
      </w:r>
    </w:p>
    <w:p>
      <w:pPr>
        <w:spacing w:after="0" w:line="5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7" w:lineRule="exact"/>
        <w:rPr>
          <w:sz w:val="20"/>
          <w:szCs w:val="20"/>
          <w:color w:val="auto"/>
        </w:rPr>
      </w:pPr>
    </w:p>
    <w:p>
      <w:pPr>
        <w:ind w:right="220" w:firstLine="648"/>
        <w:spacing w:after="0" w:line="288" w:lineRule="auto"/>
        <w:rPr>
          <w:sz w:val="20"/>
          <w:szCs w:val="20"/>
          <w:color w:val="auto"/>
        </w:rPr>
      </w:pPr>
      <w:r>
        <w:rPr>
          <w:rFonts w:ascii="Arial" w:cs="Arial" w:eastAsia="Arial" w:hAnsi="Arial"/>
          <w:sz w:val="16"/>
          <w:szCs w:val="16"/>
          <w:color w:val="auto"/>
        </w:rPr>
        <w:t>When used in this prospectus and documents incorporated herein by reference, the words “expects,” “believes,” “anticipates,” “estimates,” “may,” “could,” “intends,” and similar expressions are intended to identify forward-looking statements. These statements are subject to known and unknown risks and uncertainties that could cause actual results to differ materially from those projected or otherwise implied by the forward-looking statements. These forward-looking statements speak only as of the date of this prospectus. Given these risks and uncertainties, you should not place undue reliance on these forward-looking statements. We will discuss many of these risks and uncertainties in greater detail in any prospectus supplement under the heading “Risk Factors.” Additional cautionary statements or discussions of risks and uncertainties that could affect our results or the achievement of the expectations described in forward-looking statements may also be contained in the documents we incorporate by reference into this prospectus.</w:t>
      </w:r>
    </w:p>
    <w:p>
      <w:pPr>
        <w:spacing w:after="0" w:line="61" w:lineRule="exact"/>
        <w:rPr>
          <w:sz w:val="20"/>
          <w:szCs w:val="20"/>
          <w:color w:val="auto"/>
        </w:rPr>
      </w:pPr>
    </w:p>
    <w:p>
      <w:pPr>
        <w:ind w:right="340" w:firstLine="648"/>
        <w:spacing w:after="0" w:line="257" w:lineRule="auto"/>
        <w:rPr>
          <w:sz w:val="20"/>
          <w:szCs w:val="20"/>
          <w:color w:val="auto"/>
        </w:rPr>
      </w:pPr>
      <w:r>
        <w:rPr>
          <w:rFonts w:ascii="Arial" w:cs="Arial" w:eastAsia="Arial" w:hAnsi="Arial"/>
          <w:sz w:val="18"/>
          <w:szCs w:val="18"/>
          <w:color w:val="auto"/>
        </w:rPr>
        <w:t>These forward-looking statements are based on the current beliefs and expectations of our management and speak only as of the date of this prospectus. We expressly disclaim any obligation or undertaking to release publicly any updates or revisions to any forward-looking statements contained herein to reflect any change in our expectations with regard thereto or any change in events, conditions or circumstances on which any such statement is based. You should, however, review additional disclosures we make in our Annual Report on Form 10-K, Quarterly Reports on Form 10-Q, and Current Reports on Form 8-K filed with the SEC.</w:t>
      </w:r>
    </w:p>
    <w:p>
      <w:pPr>
        <w:spacing w:after="0" w:line="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56"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68" w:right="239" w:bottom="1440" w:gutter="0" w:footer="0" w:header="0"/>
        </w:sectPr>
      </w:pPr>
    </w:p>
    <w:bookmarkStart w:id="6" w:name="page7"/>
    <w:bookmarkEnd w:id="6"/>
    <w:p>
      <w:pPr>
        <w:ind w:right="100" w:firstLine="648"/>
        <w:spacing w:after="0" w:line="297" w:lineRule="auto"/>
        <w:rPr>
          <w:sz w:val="20"/>
          <w:szCs w:val="20"/>
          <w:color w:val="auto"/>
        </w:rPr>
      </w:pPr>
      <w:r>
        <w:rPr>
          <w:rFonts w:ascii="Arial" w:cs="Arial" w:eastAsia="Arial" w:hAnsi="Arial"/>
          <w:sz w:val="16"/>
          <w:szCs w:val="16"/>
          <w:color w:val="auto"/>
        </w:rPr>
        <w:t>Unless we state otherwise in the applicable prospectus supplement, we intend to use the net proceeds from the sale of the securities offered by us pursuant to this prospectus for general corporate purposes. General corporate purposes may include additions to working capital, financing of capital expenditures, repayment or redemption of existing indebtedness, and future acquisitions and strategic investment opportunities. Unless we state otherwise in the applicable prospectus supplement, pending the application of net proceeds, we expect to invest the net proceeds in short- and intermediate-term, interest-bearing obligations, investment-grade instruments, certificates of deposit or direct or guaranteed obligations of the U.S. government.</w:t>
      </w:r>
    </w:p>
    <w:p>
      <w:pPr>
        <w:spacing w:after="0" w:line="50"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Unless otherwise indicated in the prospectus supplement, we will not receive any of the proceeds from any sale of our common stock by selling securityholders.</w:t>
      </w:r>
    </w:p>
    <w:p>
      <w:pPr>
        <w:spacing w:after="0" w:line="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WE MAY OFFER</w:t>
      </w:r>
    </w:p>
    <w:p>
      <w:pPr>
        <w:spacing w:after="0" w:line="27"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We may offer common stock, preferred stock, debt securities, warrants, subscription rights, and/or units consisting of some or all of these securities, in any combination, together or separately, in one or more offerings. Selling securityholders may also offer shares of our common stock in one or more offerings This prospectus provides you with a general description of the securities we or the selling securityholders may offer. A prospectus supplement, which we will provide each time we offer securities, will describe the specific amounts, prices and terms of these securities.</w:t>
      </w:r>
    </w:p>
    <w:p>
      <w:pPr>
        <w:spacing w:after="0" w:line="177"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We or selling securityholders may sell the securities to or through underwriters, dealers or agents or directly to purchasers or as otherwise set forth below under “Plan of Distribution.” We, as well as any agents acting on our behalf, reserve the sole right to accept and to reject in whole or in part any proposed purchase of securities. Each prospectus supplement will set forth the names of any underwriters, dealers, agents or other entities involved in the sale of securities described in that prospectus supplement and any applicable fee, commission or discount arrangements with them.</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COMMON STOCK</w:t>
      </w:r>
    </w:p>
    <w:p>
      <w:pPr>
        <w:spacing w:after="0" w:line="27" w:lineRule="exact"/>
        <w:rPr>
          <w:sz w:val="20"/>
          <w:szCs w:val="20"/>
          <w:color w:val="auto"/>
        </w:rPr>
      </w:pPr>
    </w:p>
    <w:p>
      <w:pPr>
        <w:ind w:right="140" w:firstLine="648"/>
        <w:spacing w:after="0" w:line="253" w:lineRule="auto"/>
        <w:rPr>
          <w:sz w:val="20"/>
          <w:szCs w:val="20"/>
          <w:color w:val="auto"/>
        </w:rPr>
      </w:pPr>
      <w:r>
        <w:rPr>
          <w:rFonts w:ascii="Arial" w:cs="Arial" w:eastAsia="Arial" w:hAnsi="Arial"/>
          <w:sz w:val="18"/>
          <w:szCs w:val="18"/>
          <w:color w:val="auto"/>
        </w:rPr>
        <w:t>This section describes the general terms and provisions of the shares of our common stock, par value $0.001 per share. This description is only a summary and is qualified in its entirety by reference to the description of our common stock incorporated by reference in this prospectus. Our restated certificate of incorporation and our bylaws have been filed as exhibits to our periodic reports filed with the SEC, which are incorporated by reference in this prospectus. You should read our restated certificate of incorporation and our bylaws for additional information before you buy any of our common stock or other securities. See “Where You Can Find More Information.”</w:t>
      </w:r>
    </w:p>
    <w:p>
      <w:pPr>
        <w:spacing w:after="0" w:line="83"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We have 125,000,000 shares of authorized common stock. As of March 31, 2019, there were 41,509,240 shares of common stock issued and outstanding. Each holder of common stock is entitled to one vote for each share of common stock held on all matters submitted to a vote of stockholders. We have not provided for cumulative voting for the election of directors in our restated certificate of incorporation. This means that the holders of a majority of the shares voted can elect all of the directors then standing for election. Subject to preferences that may apply to shares of preferred stock outstanding at the time, the holders of outstanding shares of our common stock are entitled to receive dividends out of assets legally available at the times and in the amounts that our board of directors may determine from time to time. Upon our liquidation, dissolution or winding-up, the holders of common stock are entitled to share ratably in all assets remaining after payment of all liabilities and the liquidation preferences of any outstanding preferred stock. Holders of common stock have no preemptive or conversion rights or other subscription rights. There are no redemption or sinking fund provisions applicable to the common stock. All outstanding shares of common stock are fully paid and nonassessable.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Delaware Law and Our Restated Certificate of Incorporation and Bylaws</w:t>
      </w:r>
    </w:p>
    <w:p>
      <w:pPr>
        <w:spacing w:after="0" w:line="12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Certain provisions of Delaware law, our restated certificate of incorporation and our amended and restated bylaws could have the effect of delaying, deferring or discouraging another party from acquiring control of us. These provisions, which are summarized below, are expected to discourage certain types of coercive takeover practices and inadequate takeover bids. These provisions are also designed, in part, to encourage persons seeking to acquire control of us to first negotiate with our board of directors.</w:t>
      </w:r>
    </w:p>
    <w:p>
      <w:pPr>
        <w:spacing w:after="0" w:line="79"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Certificate of Incorporation and Bylaws</w:t>
      </w:r>
      <w:r>
        <w:rPr>
          <w:rFonts w:ascii="Arial" w:cs="Arial" w:eastAsia="Arial" w:hAnsi="Arial"/>
          <w:sz w:val="18"/>
          <w:szCs w:val="18"/>
          <w:color w:val="auto"/>
        </w:rPr>
        <w:t>. Our restated certificate of incorporation and amended and restated bylaws include provisions that:</w:t>
      </w:r>
    </w:p>
    <w:p>
      <w:pPr>
        <w:spacing w:after="0" w:line="117" w:lineRule="exact"/>
        <w:rPr>
          <w:sz w:val="20"/>
          <w:szCs w:val="20"/>
          <w:color w:val="auto"/>
        </w:rPr>
      </w:pPr>
    </w:p>
    <w:p>
      <w:pPr>
        <w:ind w:left="980" w:hanging="324"/>
        <w:spacing w:after="0"/>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authorize our board of directors to issue, without further action by the stockholders, up to 5,000,000 shares of undesignated preferred stock;</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color w:val="auto"/>
        </w:rPr>
        <w:t>require that any action to be taken by our stockholders be effected at a duly called annual or special meeting and not by written consent;</w:t>
      </w:r>
    </w:p>
    <w:p>
      <w:pPr>
        <w:spacing w:after="0" w:line="236" w:lineRule="exact"/>
        <w:rPr>
          <w:rFonts w:ascii="Arial" w:cs="Arial" w:eastAsia="Arial" w:hAnsi="Arial"/>
          <w:sz w:val="17"/>
          <w:szCs w:val="17"/>
          <w:color w:val="auto"/>
        </w:rPr>
      </w:pPr>
    </w:p>
    <w:p>
      <w:pPr>
        <w:ind w:left="980" w:right="8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our chairman of the board, or our chief executive officer;</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197"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368" w:right="279" w:bottom="1440" w:gutter="0" w:footer="0" w:header="0"/>
        </w:sectPr>
      </w:pPr>
    </w:p>
    <w:bookmarkStart w:id="7" w:name="page8"/>
    <w:bookmarkEnd w:id="7"/>
    <w:p>
      <w:pPr>
        <w:ind w:left="980" w:hanging="324"/>
        <w:spacing w:after="0"/>
        <w:tabs>
          <w:tab w:leader="none" w:pos="980" w:val="left"/>
        </w:tabs>
        <w:numPr>
          <w:ilvl w:val="0"/>
          <w:numId w:val="4"/>
        </w:numPr>
        <w:rPr>
          <w:rFonts w:ascii="Arial" w:cs="Arial" w:eastAsia="Arial" w:hAnsi="Arial"/>
          <w:sz w:val="17"/>
          <w:szCs w:val="17"/>
          <w:color w:val="auto"/>
        </w:rPr>
      </w:pPr>
      <w:r>
        <w:rPr>
          <w:rFonts w:ascii="Arial" w:cs="Arial" w:eastAsia="Arial" w:hAnsi="Arial"/>
          <w:sz w:val="17"/>
          <w:szCs w:val="17"/>
          <w:color w:val="auto"/>
        </w:rPr>
        <w:t>establish that our board of directors is divided into three classes, Class I, Class II and Class III, with each class serving staggered terms;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provide that our directors may be removed only for cause;</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provide that vacancies on our board of directors may, except as otherwise required by law, be filled only by a majority of directors then in office, even if less than a quorum;</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specify that no stockholder is permitted to cumulate votes at any election of directors;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require a super-majority of votes to amend certain of the above-mentioned provisions.</w:t>
      </w:r>
    </w:p>
    <w:p>
      <w:pPr>
        <w:spacing w:after="0" w:line="225" w:lineRule="exact"/>
        <w:rPr>
          <w:sz w:val="20"/>
          <w:szCs w:val="20"/>
          <w:color w:val="auto"/>
        </w:rPr>
      </w:pPr>
    </w:p>
    <w:p>
      <w:pPr>
        <w:ind w:right="580" w:firstLine="648"/>
        <w:spacing w:after="0" w:line="286" w:lineRule="auto"/>
        <w:rPr>
          <w:sz w:val="20"/>
          <w:szCs w:val="20"/>
          <w:color w:val="auto"/>
        </w:rPr>
      </w:pPr>
      <w:r>
        <w:rPr>
          <w:rFonts w:ascii="Arial" w:cs="Arial" w:eastAsia="Arial" w:hAnsi="Arial"/>
          <w:sz w:val="17"/>
          <w:szCs w:val="17"/>
          <w:i w:val="1"/>
          <w:iCs w:val="1"/>
          <w:color w:val="auto"/>
        </w:rPr>
        <w:t>Delaware Law</w:t>
      </w:r>
      <w:r>
        <w:rPr>
          <w:rFonts w:ascii="Arial" w:cs="Arial" w:eastAsia="Arial" w:hAnsi="Arial"/>
          <w:sz w:val="17"/>
          <w:szCs w:val="17"/>
          <w:color w:val="auto"/>
        </w:rPr>
        <w:t>. We are subject to the provisions of Section 203 of the General Corporation Law of the State of Delaware regulating corporate</w:t>
      </w:r>
      <w:r>
        <w:rPr>
          <w:rFonts w:ascii="Arial" w:cs="Arial" w:eastAsia="Arial" w:hAnsi="Arial"/>
          <w:sz w:val="17"/>
          <w:szCs w:val="17"/>
          <w:i w:val="1"/>
          <w:iCs w:val="1"/>
          <w:color w:val="auto"/>
        </w:rPr>
        <w:t xml:space="preserve"> </w:t>
      </w:r>
      <w:r>
        <w:rPr>
          <w:rFonts w:ascii="Arial" w:cs="Arial" w:eastAsia="Arial" w:hAnsi="Arial"/>
          <w:sz w:val="17"/>
          <w:szCs w:val="17"/>
          <w:color w:val="auto"/>
        </w:rPr>
        <w:t>takeovers. In general, those provisions prohibit a publicly-held Delaware corporation from engaging in any business combination with any interested stockholder for a period of three years following the date that the stockholder became an interested stockholder, unless:</w:t>
      </w:r>
    </w:p>
    <w:p>
      <w:pPr>
        <w:spacing w:after="0" w:line="57"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transaction is approved by the board of directors of the corporation before the date the interested stockholder attained that status;</w:t>
      </w:r>
    </w:p>
    <w:p>
      <w:pPr>
        <w:spacing w:after="0" w:line="236" w:lineRule="exact"/>
        <w:rPr>
          <w:rFonts w:ascii="Arial" w:cs="Arial" w:eastAsia="Arial" w:hAnsi="Arial"/>
          <w:sz w:val="17"/>
          <w:szCs w:val="17"/>
          <w:color w:val="auto"/>
        </w:rPr>
      </w:pPr>
    </w:p>
    <w:p>
      <w:pPr>
        <w:ind w:left="980" w:right="60" w:hanging="324"/>
        <w:spacing w:after="0" w:line="25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upon completion of the transaction that resulted in the stockholder becoming an interested stockholder, the interested stockholder owned at least 85% of the voting stock of the corporation outstanding at the time the transaction commenced, excluding for purposes of determining the voting stock outstanding (1) shares owned by persons who are directors and also officers and (2) shares owned by employee stock plans in which employee participants do not have the right to determine confidentially whether shares held subject to the plan will be tendered in a tender or exchange offer; or</w:t>
      </w:r>
    </w:p>
    <w:p>
      <w:pPr>
        <w:spacing w:after="0" w:line="188"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 or after the date the business combination is approved by the board of directors of the corporation and authorized at a meeting of stockholders by at least 66-2/3% of the outstanding voting stock that is not owned by the interested stockholder.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Section 203 defines “business combination” to include the following:</w:t>
      </w:r>
    </w:p>
    <w:p>
      <w:pPr>
        <w:spacing w:after="0" w:line="117"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sale, transfer, pledge or other disposition of 10% or more of the assets of the corporation involving the interested stockholder;</w:t>
      </w:r>
    </w:p>
    <w:p>
      <w:pPr>
        <w:spacing w:after="0" w:line="225" w:lineRule="exact"/>
        <w:rPr>
          <w:rFonts w:ascii="Arial" w:cs="Arial" w:eastAsia="Arial" w:hAnsi="Arial"/>
          <w:sz w:val="18"/>
          <w:szCs w:val="18"/>
          <w:color w:val="auto"/>
        </w:rPr>
      </w:pPr>
    </w:p>
    <w:p>
      <w:pPr>
        <w:ind w:left="980" w:right="420" w:hanging="324"/>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subject to certain exceptions, any transaction that results in the issuance or transfer by the corporation of any stock of the corporation to the interested stockholder;</w:t>
      </w:r>
    </w:p>
    <w:p>
      <w:pPr>
        <w:spacing w:after="0" w:line="170" w:lineRule="exact"/>
        <w:rPr>
          <w:rFonts w:ascii="Arial" w:cs="Arial" w:eastAsia="Arial" w:hAnsi="Arial"/>
          <w:sz w:val="18"/>
          <w:szCs w:val="18"/>
          <w:color w:val="auto"/>
        </w:rPr>
      </w:pPr>
    </w:p>
    <w:p>
      <w:pPr>
        <w:ind w:left="980" w:right="580" w:hanging="324"/>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transaction involving the corporation that has the effect of increasing the proportionate share of the stock of any class or series of the corporation beneficially owned by the interested stockholder; or</w:t>
      </w:r>
    </w:p>
    <w:p>
      <w:pPr>
        <w:spacing w:after="0" w:line="170" w:lineRule="exact"/>
        <w:rPr>
          <w:rFonts w:ascii="Arial" w:cs="Arial" w:eastAsia="Arial" w:hAnsi="Arial"/>
          <w:sz w:val="18"/>
          <w:szCs w:val="18"/>
          <w:color w:val="auto"/>
        </w:rPr>
      </w:pPr>
    </w:p>
    <w:p>
      <w:pPr>
        <w:ind w:left="980" w:right="380" w:hanging="324"/>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provided by or through the corporation.</w:t>
      </w:r>
    </w:p>
    <w:p>
      <w:pPr>
        <w:spacing w:after="0" w:line="279" w:lineRule="exact"/>
        <w:rPr>
          <w:sz w:val="20"/>
          <w:szCs w:val="20"/>
          <w:color w:val="auto"/>
        </w:rPr>
      </w:pPr>
    </w:p>
    <w:p>
      <w:pPr>
        <w:jc w:val="both"/>
        <w:ind w:right="80" w:firstLine="648"/>
        <w:spacing w:after="0" w:line="277" w:lineRule="auto"/>
        <w:rPr>
          <w:sz w:val="20"/>
          <w:szCs w:val="20"/>
          <w:color w:val="auto"/>
        </w:rPr>
      </w:pPr>
      <w:r>
        <w:rPr>
          <w:rFonts w:ascii="Arial" w:cs="Arial" w:eastAsia="Arial" w:hAnsi="Arial"/>
          <w:sz w:val="18"/>
          <w:szCs w:val="18"/>
          <w:color w:val="auto"/>
        </w:rPr>
        <w:t>In general, Section 203 defines an interested stockholder as any entity or person beneficially owning 15% or more of the outstanding voting stock of the corporation and any entity or person affiliated with or controlling or controlled by any of these entities or persons.</w:t>
      </w:r>
    </w:p>
    <w:p>
      <w:pPr>
        <w:spacing w:after="0" w:line="62"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A Delaware corporation may opt out of these provisions either with an express provision in its original certificate of incorporation or in an amendment to its certificate of incorporation or bylaws approved by its stockholders. However, we have not opted out, and do not currently intend to opt out of, these provisions. The statute could prohibit or delay mergers or other takeover or change in control attempts and, accordingly, may discourage attempts to acquire us.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transfer agent and registrar for our common stock is Broadridge Corporate Issuer Solutions, Inc.</w:t>
      </w:r>
    </w:p>
    <w:p>
      <w:pPr>
        <w:spacing w:after="0" w:line="113"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DESCRIPTION OF PREFERRED STOCK</w:t>
      </w:r>
    </w:p>
    <w:p>
      <w:pPr>
        <w:spacing w:after="0" w:line="2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of March 31, 2019, our authorized preferred stock, par value $0.001 per share, was 5,000,000 shares, none of which were issued and outstanding. We may issue preferred stock, in series, with such designations, powers, preferences and other rights and qualifications, limitations or restrictions as our board of directors may authorize, without further action by our stockholders, including:</w:t>
      </w:r>
    </w:p>
    <w:p>
      <w:pPr>
        <w:spacing w:after="0" w:line="82" w:lineRule="exact"/>
        <w:rPr>
          <w:sz w:val="20"/>
          <w:szCs w:val="20"/>
          <w:color w:val="auto"/>
        </w:rPr>
      </w:pPr>
    </w:p>
    <w:p>
      <w:pPr>
        <w:ind w:left="1160" w:hanging="504"/>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distinctive designation of each series and the number of shares that will constitute the series;</w:t>
      </w:r>
    </w:p>
    <w:p>
      <w:pPr>
        <w:spacing w:after="0" w:line="225" w:lineRule="exact"/>
        <w:rPr>
          <w:rFonts w:ascii="Arial" w:cs="Arial" w:eastAsia="Arial" w:hAnsi="Arial"/>
          <w:sz w:val="18"/>
          <w:szCs w:val="18"/>
          <w:color w:val="auto"/>
        </w:rPr>
      </w:pPr>
    </w:p>
    <w:p>
      <w:pPr>
        <w:ind w:left="1160" w:hanging="504"/>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voting rights, if any, of shares of the series and the terms and conditions of the voting rights;</w:t>
      </w:r>
    </w:p>
    <w:p>
      <w:pPr>
        <w:sectPr>
          <w:pgSz w:w="11900" w:h="16838" w:orient="portrait"/>
          <w:cols w:equalWidth="0" w:num="1">
            <w:col w:w="11420"/>
          </w:cols>
          <w:pgMar w:left="240" w:top="584"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ind w:left="4220"/>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584" w:right="239" w:bottom="1440" w:gutter="0" w:footer="0" w:header="0"/>
          <w:type w:val="continuous"/>
        </w:sectPr>
      </w:pPr>
    </w:p>
    <w:bookmarkStart w:id="8" w:name="page9"/>
    <w:bookmarkEnd w:id="8"/>
    <w:p>
      <w:pPr>
        <w:ind w:left="980" w:right="100" w:hanging="324"/>
        <w:spacing w:after="0" w:line="308" w:lineRule="auto"/>
        <w:tabs>
          <w:tab w:leader="none" w:pos="98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dividend rate on the shares of the series, the dates on which dividends are payable, any restriction, limitation or condition upon the payment of dividends, whether dividends will be cumulative, and the dates from and after which dividends shall accumulate;</w:t>
      </w:r>
    </w:p>
    <w:p>
      <w:pPr>
        <w:spacing w:after="0" w:line="146" w:lineRule="exact"/>
        <w:rPr>
          <w:rFonts w:ascii="Arial" w:cs="Arial" w:eastAsia="Arial" w:hAnsi="Arial"/>
          <w:sz w:val="17"/>
          <w:szCs w:val="17"/>
          <w:color w:val="auto"/>
        </w:rPr>
      </w:pPr>
    </w:p>
    <w:p>
      <w:pPr>
        <w:ind w:left="980" w:hanging="324"/>
        <w:spacing w:after="0"/>
        <w:tabs>
          <w:tab w:leader="none" w:pos="98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prices at which, and the terms and conditions on which, the shares of the series may be redeemed, if the shares are redeemable;</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terms and conditions of a sinking or purchase fund for the purchase or redemption of shares of the series, if such a fund is provided;</w:t>
      </w:r>
    </w:p>
    <w:p>
      <w:pPr>
        <w:spacing w:after="0" w:line="236"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preferential amount payable upon shares of the series in the event of the liquidation, dissolution or winding up of, or upon the distribution of any of our assets; and</w:t>
      </w:r>
    </w:p>
    <w:p>
      <w:pPr>
        <w:spacing w:after="0" w:line="170" w:lineRule="exact"/>
        <w:rPr>
          <w:rFonts w:ascii="Arial" w:cs="Arial" w:eastAsia="Arial" w:hAnsi="Arial"/>
          <w:sz w:val="18"/>
          <w:szCs w:val="18"/>
          <w:color w:val="auto"/>
        </w:rPr>
      </w:pPr>
    </w:p>
    <w:p>
      <w:pPr>
        <w:ind w:left="980" w:right="42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prices or rates of conversion or exchange at which, and the terms and conditions on which, the shares of the series may be converted or exchanged into other securities, if the shares are convertible or exchangeable.</w:t>
      </w:r>
    </w:p>
    <w:p>
      <w:pPr>
        <w:spacing w:after="0" w:line="2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particular terms of any series of preferred stock, and the transfer agent and registrar for that series, will be described in a prospectus supplement. Any material United States federal income tax consequences and other special considerations with respect to any preferred stock offered under this prospectus will also be described in the applicable prospectus supplement.</w:t>
      </w:r>
    </w:p>
    <w:p>
      <w:pPr>
        <w:spacing w:after="0" w:line="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DEBT SECURITIES</w:t>
      </w:r>
    </w:p>
    <w:p>
      <w:pPr>
        <w:spacing w:after="0" w:line="17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The following is a summary of the general terms of the debt securities we may offer. We will file a prospectus supplement that may contain additional terms when we issue debt securities. The terms presented here, together with the terms in the applicable prospectus supplement, together with any free writing prospectus or term sheet, will be a description of the material terms of the debt securities. The terms of the debt securities will include those stated in the indenture and those made part of the indenture by reference to the Trust Indenture Act of 1939, as in effect on the date of the indenture. We have filed a copy of the form of indenture as an exhibit to the registration statement in which this prospectus is included. The indenture will be subject to and governed by the terms of the Trust Indenture Act of 1939.</w:t>
      </w:r>
    </w:p>
    <w:p>
      <w:pPr>
        <w:spacing w:after="0" w:line="85"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We may issue, from time to time, debt securities, in one or more series. These debt securities that we may issue include senior debt securities, senior subordinated debt securities, subordinated debt securities, convertible debt securities and exchangeable debt securities. The following is a summary of the material provisions of the form of indenture filed as an exhibit to the registration statement of which this prospectus is a part. For each series of debt securities, the applicable prospectus supplement for the series may change and supplement the summary below.</w:t>
      </w:r>
    </w:p>
    <w:p>
      <w:pPr>
        <w:spacing w:after="0" w:line="63" w:lineRule="exact"/>
        <w:rPr>
          <w:sz w:val="20"/>
          <w:szCs w:val="20"/>
          <w:color w:val="auto"/>
        </w:rPr>
      </w:pPr>
    </w:p>
    <w:p>
      <w:pPr>
        <w:ind w:right="1360" w:firstLine="648"/>
        <w:spacing w:after="0" w:line="375" w:lineRule="auto"/>
        <w:rPr>
          <w:sz w:val="20"/>
          <w:szCs w:val="20"/>
          <w:color w:val="auto"/>
        </w:rPr>
      </w:pPr>
      <w:r>
        <w:rPr>
          <w:rFonts w:ascii="Arial" w:cs="Arial" w:eastAsia="Arial" w:hAnsi="Arial"/>
          <w:sz w:val="18"/>
          <w:szCs w:val="18"/>
          <w:color w:val="auto"/>
        </w:rPr>
        <w:t xml:space="preserve">As used in this section only, “we,” “us” and “our” refer to Veracyte, Inc., unless expressly stated or the context otherwise requires. </w:t>
      </w:r>
      <w:r>
        <w:rPr>
          <w:rFonts w:ascii="Arial" w:cs="Arial" w:eastAsia="Arial" w:hAnsi="Arial"/>
          <w:sz w:val="18"/>
          <w:szCs w:val="18"/>
          <w:b w:val="1"/>
          <w:bCs w:val="1"/>
          <w:color w:val="auto"/>
        </w:rPr>
        <w:t>General Terms of the Indenture</w:t>
      </w:r>
    </w:p>
    <w:p>
      <w:pPr>
        <w:spacing w:after="0" w:line="1"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The indenture does not limit the amount of debt securities that we may issue. It provides that we may issue debt securities for any series of debt securities up to the principal amount that we may authorize. Except for the limitations on consolidation, merger and sale of all or substantially all of our assets contained in the indenture, the terms of the indenture do not contain any covenants or other provisions designed to give holders of any debt securities protection against changes in our operations, financial condition or transactions involving us. For each series of debt securities, any restrictive covenants for those debt securities will be described in the applicable prospectus supplement for those debt securities.</w:t>
      </w:r>
    </w:p>
    <w:p>
      <w:pPr>
        <w:spacing w:after="0" w:line="64"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You should refer to the prospectus supplement relating to a particular series of debt securities for a description of the following terms of the debt securities offered by that prospectus supplement and by this prospectus:</w:t>
      </w:r>
    </w:p>
    <w:p>
      <w:pPr>
        <w:spacing w:after="0" w:line="62"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title of the series;</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aggregate principal amount, and, if a series, the total amount authorized and the total amount outstanding;</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date or dates on which principal and premium, if any, of the debt securities of that series is payable;</w:t>
      </w:r>
    </w:p>
    <w:p>
      <w:pPr>
        <w:spacing w:after="0" w:line="184"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interest rates, and the dates from which interest, if any, on the debt securities of that series will accrue, and the dates when interest is payable and the maturity;</w:t>
      </w:r>
    </w:p>
    <w:p>
      <w:pPr>
        <w:spacing w:after="0" w:line="129"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right, if any, to extend the interest payment periods and the duration of the extensions;</w:t>
      </w:r>
    </w:p>
    <w:p>
      <w:pPr>
        <w:spacing w:after="0" w:line="200" w:lineRule="exact"/>
        <w:rPr>
          <w:sz w:val="20"/>
          <w:szCs w:val="20"/>
          <w:color w:val="auto"/>
        </w:rPr>
      </w:pPr>
    </w:p>
    <w:p>
      <w:pPr>
        <w:spacing w:after="0" w:line="228"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368" w:right="259" w:bottom="1440" w:gutter="0" w:footer="0" w:header="0"/>
        </w:sectPr>
      </w:pPr>
    </w:p>
    <w:bookmarkStart w:id="9" w:name="page10"/>
    <w:bookmarkEnd w:id="9"/>
    <w:p>
      <w:pPr>
        <w:ind w:left="980" w:right="180" w:hanging="324"/>
        <w:spacing w:after="0" w:line="264"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the amount of payments of principal or interest is to be determined by reference to an index or formula, or based on a coin or currency other than that in which the debt securities are stated to be payable, the manner in which these amounts are determined and the calculation agent, if any, with respect thereto;</w:t>
      </w:r>
    </w:p>
    <w:p>
      <w:pPr>
        <w:spacing w:after="0" w:line="140" w:lineRule="exact"/>
        <w:rPr>
          <w:rFonts w:ascii="Arial" w:cs="Arial" w:eastAsia="Arial" w:hAnsi="Arial"/>
          <w:sz w:val="18"/>
          <w:szCs w:val="18"/>
          <w:color w:val="auto"/>
        </w:rPr>
      </w:pPr>
    </w:p>
    <w:p>
      <w:pPr>
        <w:ind w:left="980" w:right="120" w:hanging="324"/>
        <w:spacing w:after="0" w:line="342" w:lineRule="auto"/>
        <w:tabs>
          <w:tab w:leader="none" w:pos="9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place or places where and the manner in which principal of, premium, if any, and interest, if any, on the debt securities of that series will be payable and the place or places where those debt securities may be presented for transfer and, if applicable, conversion or exchange;</w:t>
      </w:r>
    </w:p>
    <w:p>
      <w:pPr>
        <w:spacing w:after="0" w:line="83" w:lineRule="exact"/>
        <w:rPr>
          <w:rFonts w:ascii="Arial" w:cs="Arial" w:eastAsia="Arial" w:hAnsi="Arial"/>
          <w:sz w:val="16"/>
          <w:szCs w:val="16"/>
          <w:color w:val="auto"/>
        </w:rPr>
      </w:pPr>
    </w:p>
    <w:p>
      <w:pPr>
        <w:ind w:left="980" w:right="620" w:hanging="324"/>
        <w:spacing w:after="0" w:line="342" w:lineRule="auto"/>
        <w:tabs>
          <w:tab w:leader="none" w:pos="9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period or periods within which, the price or prices at which, and other terms and conditions upon which those debt securities may be redeemed, in whole or in part, at our option or the option of a holder of those securities, if we or a holder is to have that option;</w:t>
      </w:r>
    </w:p>
    <w:p>
      <w:pPr>
        <w:spacing w:after="0" w:line="83" w:lineRule="exact"/>
        <w:rPr>
          <w:rFonts w:ascii="Arial" w:cs="Arial" w:eastAsia="Arial" w:hAnsi="Arial"/>
          <w:sz w:val="16"/>
          <w:szCs w:val="16"/>
          <w:color w:val="auto"/>
        </w:rPr>
      </w:pPr>
    </w:p>
    <w:p>
      <w:pPr>
        <w:ind w:left="980" w:right="220" w:hanging="324"/>
        <w:spacing w:after="0" w:line="264"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obligation or right, if any, to redeem, repay or purchase those debt securities pursuant to any sinking fund or analogous provision or at the option of a holder of those securities, and the terms and conditions upon which the debt securities will be redeemed, repaid or purchased, in whole or in part, pursuant to that obligation;</w:t>
      </w:r>
    </w:p>
    <w:p>
      <w:pPr>
        <w:spacing w:after="0" w:line="140"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terms, if any, on which the debt securities of that series will be subordinate in right and priority of payment to our other debt;</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denominations in which those debt securities will be issuable, if other than denominations of $1,000 or any integral multiple of that number;</w:t>
      </w:r>
    </w:p>
    <w:p>
      <w:pPr>
        <w:spacing w:after="0" w:line="207" w:lineRule="exact"/>
        <w:rPr>
          <w:rFonts w:ascii="Arial" w:cs="Arial" w:eastAsia="Arial" w:hAnsi="Arial"/>
          <w:sz w:val="16"/>
          <w:szCs w:val="16"/>
          <w:color w:val="auto"/>
        </w:rPr>
      </w:pPr>
    </w:p>
    <w:p>
      <w:pPr>
        <w:ind w:left="980" w:right="36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other than the entire principal amount of the debt securities when issued, the portion of the principal amount payable upon acceleration of maturity as a result of a default on our obligations;</w:t>
      </w:r>
    </w:p>
    <w:p>
      <w:pPr>
        <w:spacing w:after="0" w:line="129" w:lineRule="exact"/>
        <w:rPr>
          <w:rFonts w:ascii="Arial" w:cs="Arial" w:eastAsia="Arial" w:hAnsi="Arial"/>
          <w:sz w:val="18"/>
          <w:szCs w:val="18"/>
          <w:color w:val="auto"/>
        </w:rPr>
      </w:pPr>
    </w:p>
    <w:p>
      <w:pPr>
        <w:ind w:left="980" w:right="10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whether any securities of that series are to be issued in whole or in part in the form of one or more global securities and the depositary for those global securities;</w:t>
      </w:r>
    </w:p>
    <w:p>
      <w:pPr>
        <w:spacing w:after="0" w:line="129" w:lineRule="exact"/>
        <w:rPr>
          <w:rFonts w:ascii="Arial" w:cs="Arial" w:eastAsia="Arial" w:hAnsi="Arial"/>
          <w:sz w:val="18"/>
          <w:szCs w:val="18"/>
          <w:color w:val="auto"/>
        </w:rPr>
      </w:pPr>
    </w:p>
    <w:p>
      <w:pPr>
        <w:ind w:left="980" w:right="40" w:hanging="324"/>
        <w:spacing w:after="0" w:line="312" w:lineRule="auto"/>
        <w:tabs>
          <w:tab w:leader="none" w:pos="9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if the principal of or any premium or interest on the debt securities of that series is to be payable, or is to be payable at our election or the election of a holder of those securities, in securities or other property, the type and amount of those securities or other property, or the manner of determining that amount, and the period or periods within which, and the terms and conditions upon which, any such election may be made;</w:t>
      </w:r>
    </w:p>
    <w:p>
      <w:pPr>
        <w:spacing w:after="0" w:line="106" w:lineRule="exact"/>
        <w:rPr>
          <w:rFonts w:ascii="Arial" w:cs="Arial" w:eastAsia="Arial" w:hAnsi="Arial"/>
          <w:sz w:val="16"/>
          <w:szCs w:val="16"/>
          <w:color w:val="auto"/>
        </w:rPr>
      </w:pPr>
    </w:p>
    <w:p>
      <w:pPr>
        <w:ind w:left="980" w:hanging="324"/>
        <w:spacing w:after="0"/>
        <w:tabs>
          <w:tab w:leader="none" w:pos="9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events of default and covenants relating to the debt securities that are in addition to, modify or delete those described in this prospectus;</w:t>
      </w:r>
    </w:p>
    <w:p>
      <w:pPr>
        <w:spacing w:after="0" w:line="207" w:lineRule="exact"/>
        <w:rPr>
          <w:rFonts w:ascii="Arial" w:cs="Arial" w:eastAsia="Arial" w:hAnsi="Arial"/>
          <w:sz w:val="16"/>
          <w:szCs w:val="16"/>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conversion or exchange provisions, if any, including conversion or exchange prices or rates and adjustments thereto;</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whether and upon what terms the debt securities may be defeased, if different from the provisions set forth in the indenture;</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nature and terms of any security for any secured debt securities;</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terms applicable to any debt securities issued at a discount from their stated principal amount</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addition to or change in the covenants and/or the acceleration provisions described in this prospectus or in the indenture; and</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other specific terms of any debt securities.</w:t>
      </w:r>
    </w:p>
    <w:p>
      <w:pPr>
        <w:spacing w:after="0" w:line="185"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We may issue the debt securities issued under the indenture as “discount securities,” which means they may be sold at a discount below their stated principal amount. These debt securities, as well as other debt securities that are not issued at a discount, may, for United States federal income tax purposes, be treated as if they were issued with “original issue discount” because of interest payment and other characteristics. Special United States federal income tax considerations applicable to debt securities issued with original issue discount will be described in more detail in any applicable prospectus supplement.</w:t>
      </w:r>
    </w:p>
    <w:p>
      <w:pPr>
        <w:spacing w:after="0" w:line="4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applicable prospectus supplement will present material United States federal income tax considerations for holders of any debt securities and the securities exchange or quotation system on which any debt securities are to be listed or quoted.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200" w:lineRule="exact"/>
        <w:rPr>
          <w:sz w:val="20"/>
          <w:szCs w:val="20"/>
          <w:color w:val="auto"/>
        </w:rPr>
      </w:pPr>
    </w:p>
    <w:p>
      <w:pPr>
        <w:spacing w:after="0" w:line="232"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368" w:right="259" w:bottom="1440" w:gutter="0" w:footer="0" w:header="0"/>
        </w:sectPr>
      </w:pPr>
    </w:p>
    <w:bookmarkStart w:id="10" w:name="page11"/>
    <w:bookmarkEnd w:id="10"/>
    <w:p>
      <w:pPr>
        <w:ind w:right="120" w:firstLine="648"/>
        <w:spacing w:after="0" w:line="264" w:lineRule="auto"/>
        <w:rPr>
          <w:sz w:val="20"/>
          <w:szCs w:val="20"/>
          <w:color w:val="auto"/>
        </w:rPr>
      </w:pPr>
      <w:r>
        <w:rPr>
          <w:rFonts w:ascii="Arial" w:cs="Arial" w:eastAsia="Arial" w:hAnsi="Arial"/>
          <w:sz w:val="18"/>
          <w:szCs w:val="18"/>
          <w:color w:val="auto"/>
        </w:rPr>
        <w:t>Unless otherwise indicated in this prospectus or the applicable prospectus supplement, our debt securities will not have the benefit of any covenants that limit or restrict our business or operations, the pledging of our assets or the incurrence by us of indebtedness. We will describe in the applicable prospectus supplement any material covenants in respect of a series of debt securities.</w:t>
      </w: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Protection in the Event of Change of Control</w:t>
      </w:r>
    </w:p>
    <w:p>
      <w:pPr>
        <w:spacing w:after="0" w:line="200" w:lineRule="exact"/>
        <w:rPr>
          <w:sz w:val="20"/>
          <w:szCs w:val="20"/>
          <w:color w:val="auto"/>
        </w:rPr>
      </w:pPr>
    </w:p>
    <w:p>
      <w:pPr>
        <w:spacing w:after="0" w:line="20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indenture does not have any covenants or other provisions providing for a put or increased interest or otherwise that would afford holders of our debt securities additional protection in the event of a recapitalization transaction, a change of control or a highly leveraged transaction. If we offer any covenants or provisions of this type with respect to any debt securities covered by this prospectus, we will describe them in the applicable prospectus supplement.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or Exchange Rights</w:t>
      </w:r>
    </w:p>
    <w:p>
      <w:pPr>
        <w:spacing w:after="0" w:line="189" w:lineRule="exact"/>
        <w:rPr>
          <w:sz w:val="20"/>
          <w:szCs w:val="20"/>
          <w:color w:val="auto"/>
        </w:rPr>
      </w:pPr>
    </w:p>
    <w:p>
      <w:pPr>
        <w:ind w:right="820" w:firstLine="648"/>
        <w:spacing w:after="0" w:line="342" w:lineRule="auto"/>
        <w:rPr>
          <w:sz w:val="20"/>
          <w:szCs w:val="20"/>
          <w:color w:val="auto"/>
        </w:rPr>
      </w:pPr>
      <w:r>
        <w:rPr>
          <w:rFonts w:ascii="Arial" w:cs="Arial" w:eastAsia="Arial" w:hAnsi="Arial"/>
          <w:sz w:val="16"/>
          <w:szCs w:val="16"/>
          <w:color w:val="auto"/>
        </w:rPr>
        <w:t>Debt securities may be convertible into or exchangeable for shares of our equity securities or other securities. The terms and conditions of conversion or exchange will be stated in the applicable prospectus supplement. The terms will include, among others, the following:</w:t>
      </w:r>
    </w:p>
    <w:p>
      <w:pPr>
        <w:spacing w:after="0" w:line="16"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conversion or exchange price;</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conversion or exchange period;</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provisions regarding our ability or the ability of any holder to convert or exchange the debt securities;</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events requiring adjustment to the conversion or exchange price;</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provisions affecting conversion or exchange in the event of our redemption of the debt securities; and</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anti-dilution provisions, if applicable.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or Sale</w:t>
      </w:r>
    </w:p>
    <w:p>
      <w:pPr>
        <w:spacing w:after="0" w:line="189"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We cannot consolidate with or merge with or into, or transfer or lease all or substantially all of our assets to, any person, unless we are the surviving corporation or the successor person is a corporation organized under the laws of the United States, any state of the United States or the District of Columbia and expressly assumes our obligations under the debt securities and the indenture. In addition, we cannot complete such a transaction unless immediately after completing the transaction, no event of default under the indenture, and no event that, after notice or lapse of time or both, would become an event of default under the indenture, has occurred and is continuing. When the successor person has assumed our obligations under the debt securities and the indenture, we will be discharged from all our obligations under the debt securities and the indenture except in limited circumstances.</w:t>
      </w:r>
    </w:p>
    <w:p>
      <w:pPr>
        <w:spacing w:after="0" w:line="57" w:lineRule="exact"/>
        <w:rPr>
          <w:sz w:val="20"/>
          <w:szCs w:val="20"/>
          <w:color w:val="auto"/>
        </w:rPr>
      </w:pPr>
    </w:p>
    <w:p>
      <w:pPr>
        <w:ind w:right="480" w:firstLine="648"/>
        <w:spacing w:after="0" w:line="342" w:lineRule="auto"/>
        <w:rPr>
          <w:sz w:val="20"/>
          <w:szCs w:val="20"/>
          <w:color w:val="auto"/>
        </w:rPr>
      </w:pPr>
      <w:r>
        <w:rPr>
          <w:rFonts w:ascii="Arial" w:cs="Arial" w:eastAsia="Arial" w:hAnsi="Arial"/>
          <w:sz w:val="16"/>
          <w:szCs w:val="16"/>
          <w:color w:val="auto"/>
        </w:rPr>
        <w:t>This covenant would not apply to any recapitalization transaction, a change of control affecting us or a highly leveraged transaction, unless the transaction or change of control were structured to include a merger or consolidation or transfer or lease of all or substantially all of our assets.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Unless otherwise specified in the applicable prospectus supplement, the following will be “events of default” under the indenture with respect to any series of debt securities:</w:t>
      </w:r>
    </w:p>
    <w:p>
      <w:pPr>
        <w:spacing w:after="0" w:line="62"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failure to pay interest for 30 days after the date payment is due and payable;</w:t>
      </w:r>
    </w:p>
    <w:p>
      <w:pPr>
        <w:spacing w:after="0" w:line="184" w:lineRule="exact"/>
        <w:rPr>
          <w:rFonts w:ascii="Arial" w:cs="Arial" w:eastAsia="Arial" w:hAnsi="Arial"/>
          <w:sz w:val="18"/>
          <w:szCs w:val="18"/>
          <w:color w:val="auto"/>
        </w:rPr>
      </w:pPr>
    </w:p>
    <w:p>
      <w:pPr>
        <w:ind w:left="980" w:right="140" w:hanging="324"/>
        <w:spacing w:after="0" w:line="342" w:lineRule="auto"/>
        <w:tabs>
          <w:tab w:leader="none" w:pos="9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failure to pay principal or premium, if any, on any debt security when due, either at maturity, upon any redemption, by declaration or otherwise and, in the case of technical or administrative difficulties, only if such default persists for a period of more than three business days;</w:t>
      </w:r>
    </w:p>
    <w:p>
      <w:pPr>
        <w:spacing w:after="0" w:line="83" w:lineRule="exact"/>
        <w:rPr>
          <w:rFonts w:ascii="Arial" w:cs="Arial" w:eastAsia="Arial" w:hAnsi="Arial"/>
          <w:sz w:val="16"/>
          <w:szCs w:val="16"/>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failure to make sinking fund payments when due and continuance of such default for a period of 30 days;</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failure to perform other covenants for 60 days after notice that performance was required;</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events in bankruptcy, insolvency or reorganization relating to us; or</w:t>
      </w:r>
    </w:p>
    <w:p>
      <w:pPr>
        <w:spacing w:after="0" w:line="184"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other event of default provided in the applicable officer’s certificate, resolution of our board of directors or the supplemental indenture under which we issue a series of debt securities.</w:t>
      </w:r>
    </w:p>
    <w:p>
      <w:pPr>
        <w:spacing w:after="0" w:line="373"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36" w:right="239" w:bottom="1440" w:gutter="0" w:footer="0" w:header="0"/>
        </w:sectPr>
      </w:pPr>
    </w:p>
    <w:bookmarkStart w:id="11" w:name="page12"/>
    <w:bookmarkEnd w:id="11"/>
    <w:p>
      <w:pPr>
        <w:jc w:val="both"/>
        <w:ind w:right="180" w:firstLine="648"/>
        <w:spacing w:after="0" w:line="264" w:lineRule="auto"/>
        <w:rPr>
          <w:sz w:val="20"/>
          <w:szCs w:val="20"/>
          <w:color w:val="auto"/>
        </w:rPr>
      </w:pPr>
      <w:r>
        <w:rPr>
          <w:rFonts w:ascii="Arial" w:cs="Arial" w:eastAsia="Arial" w:hAnsi="Arial"/>
          <w:sz w:val="18"/>
          <w:szCs w:val="18"/>
          <w:color w:val="auto"/>
        </w:rPr>
        <w:t>An event of default for a particular series of debt securities does not necessarily constitute an event of default for any other series of debt securities issued under the indenture. For each series of debt securities, any modifications to the above events of default will be described in the applicable prospectus supplement for those debt securities.</w:t>
      </w:r>
    </w:p>
    <w:p>
      <w:pPr>
        <w:spacing w:after="0" w:line="73"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The indenture provides that if an event of default specified in the first, second, third, fourth or sixth bullets above occurs and is continuing, either the trustee or the holders of at least 25% in aggregate principal amount of the outstanding debt securities of that series may declare the principal amount of all those debt securities (or, in the case of discount securities or indexed securities, that portion of the principal amount as may be specified in the terms of that series) to be due and payable immediately. If an event of default specified in the fifth bullet above occurs and is continuing, then the principal amount of all those debt securities (or, in the case of discount securities or indexed securities, that portion of the principal amount as may be specified in the terms of that series) will be due and payable immediately, without any declaration or other act on the part of the trustee or any holder. In certain cases, holders of a majority in principal amount of the outstanding debt securities of any series may, on behalf of holders of all those debt securities, rescind and annul a declaration of acceleration.</w:t>
      </w:r>
    </w:p>
    <w:p>
      <w:pPr>
        <w:spacing w:after="0" w:line="84"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indenture imposes limitations on suits brought by holders of debt securities against us. Except for actions for payment of overdue principal or interest, no holder of debt securities of any series may institute any action against us under the indenture unless:</w:t>
      </w:r>
    </w:p>
    <w:p>
      <w:pPr>
        <w:spacing w:after="0" w:line="62"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holder has previously given to the trustee written notice of default and continuance of such default;</w:t>
      </w:r>
    </w:p>
    <w:p>
      <w:pPr>
        <w:spacing w:after="0" w:line="184" w:lineRule="exact"/>
        <w:rPr>
          <w:rFonts w:ascii="Arial" w:cs="Arial" w:eastAsia="Arial" w:hAnsi="Arial"/>
          <w:sz w:val="18"/>
          <w:szCs w:val="18"/>
          <w:color w:val="auto"/>
        </w:rPr>
      </w:pPr>
    </w:p>
    <w:p>
      <w:pPr>
        <w:ind w:left="980" w:right="24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holders of at least 25% in principal amount of the outstanding debt securities of the affected series have requested that the trustee institute the action;</w:t>
      </w:r>
    </w:p>
    <w:p>
      <w:pPr>
        <w:spacing w:after="0" w:line="129"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requesting holders have offered the trustee indemnity for the reasonable expenses and liabilities that may be incurred by bringing the action;</w:t>
      </w:r>
    </w:p>
    <w:p>
      <w:pPr>
        <w:spacing w:after="0" w:line="207" w:lineRule="exact"/>
        <w:rPr>
          <w:rFonts w:ascii="Arial" w:cs="Arial" w:eastAsia="Arial" w:hAnsi="Arial"/>
          <w:sz w:val="16"/>
          <w:szCs w:val="16"/>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trustee has not instituted the action within 60 days of the request and offer of indemnity; and</w:t>
      </w:r>
    </w:p>
    <w:p>
      <w:pPr>
        <w:spacing w:after="0" w:line="184" w:lineRule="exact"/>
        <w:rPr>
          <w:rFonts w:ascii="Arial" w:cs="Arial" w:eastAsia="Arial" w:hAnsi="Arial"/>
          <w:sz w:val="18"/>
          <w:szCs w:val="18"/>
          <w:color w:val="auto"/>
        </w:rPr>
      </w:pPr>
    </w:p>
    <w:p>
      <w:pPr>
        <w:ind w:left="980" w:right="50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trustee has not received inconsistent direction by the holders of a majority in principal amount of the outstanding debt securities of the affected series.</w:t>
      </w:r>
    </w:p>
    <w:p>
      <w:pPr>
        <w:spacing w:after="0" w:line="130"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We will be required to file annually with the trustee a certificate, signed by one of our officers, stating whether or not the officer knows of any default by us in the performance, observance or fulfillment of any condition or covenant of the indenture.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Discharge, Defeasance and Covenant Defeasance</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can discharge or decrease our obligations under the indenture as stated below.</w:t>
      </w:r>
    </w:p>
    <w:p>
      <w:pPr>
        <w:spacing w:after="0" w:line="117"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We may discharge obligations to holders of any series of debt securities that have not already been delivered to the trustee for cancellation and that have either become due and payable or are by their terms to become due and payable, or are scheduled for redemption, within one year. We may effect a discharge by irrevocably depositing with the trustee cash or government obligations, as trust funds, in an amount certified to be enough to pay when due, whether at maturity, upon redemption or otherwise, the principal of, and any premium and interest on, the debt securities and any mandatory sinking fund payments.</w:t>
      </w:r>
    </w:p>
    <w:p>
      <w:pPr>
        <w:spacing w:after="0" w:line="80"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Unless otherwise provided in the applicable prospectus supplement, we may also discharge any and all of our obligations to holders of any series of debt securities at any time, which we refer to as defeasance. We may also be released from the obligations imposed by any covenants of any outstanding series of debt securities and provisions of the indenture, and we may omit to comply with those covenants without creating an event of default under the trust declaration, which we refer to as covenant defeasance. We may effect defeasance and covenant defeasance only if, among other things:</w:t>
      </w:r>
    </w:p>
    <w:p>
      <w:pPr>
        <w:spacing w:after="0" w:line="46" w:lineRule="exact"/>
        <w:rPr>
          <w:sz w:val="20"/>
          <w:szCs w:val="20"/>
          <w:color w:val="auto"/>
        </w:rPr>
      </w:pPr>
    </w:p>
    <w:p>
      <w:pPr>
        <w:ind w:left="980" w:right="180" w:hanging="324"/>
        <w:spacing w:after="0" w:line="264"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irrevocably deposit with the trustee cash or government obligations denominated in the currency of the debt securities, as trust funds, in an amount certified to be enough to pay at maturity, or upon redemption, the principal (including any mandatory sinking fund payments) of, and any premium and interest on, all outstanding debt securities of the series; and</w:t>
      </w:r>
    </w:p>
    <w:p>
      <w:pPr>
        <w:spacing w:after="0" w:line="140" w:lineRule="exact"/>
        <w:rPr>
          <w:rFonts w:ascii="Arial" w:cs="Arial" w:eastAsia="Arial" w:hAnsi="Arial"/>
          <w:sz w:val="18"/>
          <w:szCs w:val="18"/>
          <w:color w:val="auto"/>
        </w:rPr>
      </w:pPr>
    </w:p>
    <w:p>
      <w:pPr>
        <w:ind w:left="980" w:right="60" w:hanging="324"/>
        <w:spacing w:after="0" w:line="259"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deliver to the trustee an opinion of counsel from a nationally recognized law firm to the effect that the holders of the series of debt securities will not recognize income, gain or loss for U.S. federal income tax purposes as a result of the defeasance or covenant defeasance and that defeasance or covenant defeasance will not otherwise alter the holders’ U.S. federal income tax treatment of principal, and any premium and interest payments on, the series of debt securities.</w:t>
      </w:r>
    </w:p>
    <w:p>
      <w:pPr>
        <w:spacing w:after="0" w:line="146"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In the case of a defeasance by us, the opinion we deliver must be based on a ruling of the Internal Revenue Service issued, or a change in U.S. federal income tax law occurring, after the date of the indenture, since such a result would not occur under the U.S. federal income tax laws in effect on that date.</w:t>
      </w:r>
    </w:p>
    <w:p>
      <w:pPr>
        <w:spacing w:after="0" w:line="73"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Although we may discharge or decrease our obligations under the indenture as described in the two preceding paragraphs, we may not avoid, among other things, our duty to register the transfer or exchange of any series of debt securities, to replace any</w:t>
      </w:r>
    </w:p>
    <w:p>
      <w:pPr>
        <w:spacing w:after="0" w:line="306"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368" w:right="259" w:bottom="1440" w:gutter="0" w:footer="0" w:header="0"/>
        </w:sectPr>
      </w:pPr>
    </w:p>
    <w:bookmarkStart w:id="12" w:name="page13"/>
    <w:bookmarkEnd w:id="12"/>
    <w:p>
      <w:pPr>
        <w:ind w:right="860"/>
        <w:spacing w:after="0" w:line="375" w:lineRule="auto"/>
        <w:rPr>
          <w:sz w:val="20"/>
          <w:szCs w:val="20"/>
          <w:color w:val="auto"/>
        </w:rPr>
      </w:pPr>
      <w:r>
        <w:rPr>
          <w:rFonts w:ascii="Arial" w:cs="Arial" w:eastAsia="Arial" w:hAnsi="Arial"/>
          <w:sz w:val="18"/>
          <w:szCs w:val="18"/>
          <w:color w:val="auto"/>
        </w:rPr>
        <w:t xml:space="preserve">temporary, mutilated, destroyed, lost or stolen series of debt securities or to maintain an office or agency in respect of any series of debt securities. </w:t>
      </w:r>
      <w:r>
        <w:rPr>
          <w:rFonts w:ascii="Arial" w:cs="Arial" w:eastAsia="Arial" w:hAnsi="Arial"/>
          <w:sz w:val="18"/>
          <w:szCs w:val="18"/>
          <w:b w:val="1"/>
          <w:bCs w:val="1"/>
          <w:color w:val="auto"/>
        </w:rPr>
        <w:t>Modification of the Indenture</w:t>
      </w:r>
    </w:p>
    <w:p>
      <w:pPr>
        <w:spacing w:after="0" w:line="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indenture provides that we and the trustee may enter into supplemental indentures without the consent of the holders of debt securities to, among other things:</w:t>
      </w:r>
    </w:p>
    <w:p>
      <w:pPr>
        <w:spacing w:after="0" w:line="62" w:lineRule="exact"/>
        <w:rPr>
          <w:sz w:val="20"/>
          <w:szCs w:val="20"/>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evidence the assumption by a successor entity of our obligations;</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add to our covenants for the benefit of the holders of debt securities, or to surrender any rights or power conferred upon us;</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add any additional events of default;</w:t>
      </w:r>
    </w:p>
    <w:p>
      <w:pPr>
        <w:spacing w:after="0" w:line="184" w:lineRule="exact"/>
        <w:rPr>
          <w:rFonts w:ascii="Arial" w:cs="Arial" w:eastAsia="Arial" w:hAnsi="Arial"/>
          <w:sz w:val="18"/>
          <w:szCs w:val="18"/>
          <w:color w:val="auto"/>
        </w:rPr>
      </w:pPr>
    </w:p>
    <w:p>
      <w:pPr>
        <w:ind w:left="980" w:right="80" w:hanging="324"/>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add to, change or eliminate any of the provisions of the indenture in a manner that will become effective only when there is no outstanding debt security which is entitled to the benefit of the provision as to which the modification would apply;</w:t>
      </w:r>
    </w:p>
    <w:p>
      <w:pPr>
        <w:spacing w:after="0" w:line="129"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add guarantees with respect to or secure any debt securities;</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 the forms or terms of debt securities of any series;</w:t>
      </w:r>
    </w:p>
    <w:p>
      <w:pPr>
        <w:spacing w:after="0" w:line="184" w:lineRule="exact"/>
        <w:rPr>
          <w:rFonts w:ascii="Arial" w:cs="Arial" w:eastAsia="Arial" w:hAnsi="Arial"/>
          <w:sz w:val="18"/>
          <w:szCs w:val="18"/>
          <w:color w:val="auto"/>
        </w:rPr>
      </w:pPr>
    </w:p>
    <w:p>
      <w:pPr>
        <w:ind w:left="980" w:right="120" w:hanging="324"/>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evidence and provide for the acceptance of appointment by a successor trustee and add to or change any of the provisions of the indenture as is necessary for the administration of the trusts by more than one trustee;</w:t>
      </w:r>
    </w:p>
    <w:p>
      <w:pPr>
        <w:spacing w:after="0" w:line="129"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cure any ambiguity or correct any inconsistency or defect in the indenture;</w:t>
      </w:r>
    </w:p>
    <w:p>
      <w:pPr>
        <w:spacing w:after="0" w:line="184" w:lineRule="exact"/>
        <w:rPr>
          <w:rFonts w:ascii="Arial" w:cs="Arial" w:eastAsia="Arial" w:hAnsi="Arial"/>
          <w:sz w:val="18"/>
          <w:szCs w:val="18"/>
          <w:color w:val="auto"/>
        </w:rPr>
      </w:pPr>
    </w:p>
    <w:p>
      <w:pPr>
        <w:ind w:left="980" w:right="220" w:hanging="324"/>
        <w:spacing w:after="0" w:line="264"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modify, eliminate or add to the provisions of the indenture as shall be necessary to effect the qualification of the indenture under the Trust Indenture Act of 1939 or under any similar federal statute later enacted, and to add to the indenture such other provisions as may be expressly required by the Trust Indenture Act; and</w:t>
      </w:r>
    </w:p>
    <w:p>
      <w:pPr>
        <w:spacing w:after="0" w:line="140" w:lineRule="exact"/>
        <w:rPr>
          <w:rFonts w:ascii="Arial" w:cs="Arial" w:eastAsia="Arial" w:hAnsi="Arial"/>
          <w:sz w:val="18"/>
          <w:szCs w:val="18"/>
          <w:color w:val="auto"/>
        </w:rPr>
      </w:pPr>
    </w:p>
    <w:p>
      <w:pPr>
        <w:ind w:left="980" w:right="40" w:hanging="324"/>
        <w:spacing w:after="0" w:line="264"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make any other provisions with respect to matters or questions arising under the indenture that will not be inconsistent with any provision of the indenture as long as the new provisions do not adversely affect the interests of the holders of any outstanding debt securities of any series created prior to the modification.</w:t>
      </w:r>
    </w:p>
    <w:p>
      <w:pPr>
        <w:spacing w:after="0" w:line="141"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The indenture also provides that we and the trustee may, with the consent of the holders of not less than a majority in aggregate principal amount of debt securities of each series of debt securities affected by such supplemental indenture then outstanding, add any provisions to, or change in any manner, eliminate or modify in any way the provisions of, the indenture or any supplemental indenture or modify in any manner the rights of the holders of the debt securities. We and the trustee may not, however, without the consent of the holder of each outstanding debt security affected thereby:</w:t>
      </w:r>
    </w:p>
    <w:p>
      <w:pPr>
        <w:spacing w:after="0" w:line="46"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extend the final maturity of any debt security;</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reduce the principal amount or premium, if any;</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reduce the rate or extend the time of payment of interest;</w:t>
      </w:r>
    </w:p>
    <w:p>
      <w:pPr>
        <w:spacing w:after="0" w:line="184" w:lineRule="exact"/>
        <w:rPr>
          <w:rFonts w:ascii="Arial" w:cs="Arial" w:eastAsia="Arial" w:hAnsi="Arial"/>
          <w:sz w:val="18"/>
          <w:szCs w:val="18"/>
          <w:color w:val="auto"/>
        </w:rPr>
      </w:pPr>
    </w:p>
    <w:p>
      <w:pPr>
        <w:ind w:left="1160" w:hanging="504"/>
        <w:spacing w:after="0"/>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reduce the amount of the principal of any debt security issued with an original issue discount that is payable upon acceleration;</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 the currency in which the principal, and any premium or interest, is payable;</w:t>
      </w:r>
    </w:p>
    <w:p>
      <w:pPr>
        <w:spacing w:after="0" w:line="184" w:lineRule="exact"/>
        <w:rPr>
          <w:rFonts w:ascii="Arial" w:cs="Arial" w:eastAsia="Arial" w:hAnsi="Arial"/>
          <w:sz w:val="18"/>
          <w:szCs w:val="18"/>
          <w:color w:val="auto"/>
        </w:rPr>
      </w:pPr>
    </w:p>
    <w:p>
      <w:pPr>
        <w:ind w:left="1160" w:hanging="504"/>
        <w:spacing w:after="0"/>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payment on any debt security when due;</w:t>
      </w:r>
    </w:p>
    <w:p>
      <w:pPr>
        <w:spacing w:after="0" w:line="184" w:lineRule="exact"/>
        <w:rPr>
          <w:rFonts w:ascii="Arial" w:cs="Arial" w:eastAsia="Arial" w:hAnsi="Arial"/>
          <w:sz w:val="18"/>
          <w:szCs w:val="18"/>
          <w:color w:val="auto"/>
        </w:rPr>
      </w:pPr>
    </w:p>
    <w:p>
      <w:pPr>
        <w:ind w:left="1160" w:hanging="504"/>
        <w:spacing w:after="0"/>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applicable, adversely affect the right of a holder to convert or exchange a debt security; or</w:t>
      </w:r>
    </w:p>
    <w:p>
      <w:pPr>
        <w:spacing w:after="0" w:line="184" w:lineRule="exact"/>
        <w:rPr>
          <w:rFonts w:ascii="Arial" w:cs="Arial" w:eastAsia="Arial" w:hAnsi="Arial"/>
          <w:sz w:val="18"/>
          <w:szCs w:val="18"/>
          <w:color w:val="auto"/>
        </w:rPr>
      </w:pPr>
    </w:p>
    <w:p>
      <w:pPr>
        <w:ind w:left="980" w:hanging="324"/>
        <w:spacing w:after="0" w:line="277" w:lineRule="auto"/>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of any series whose consent is required for any modification of the indenture or for waivers of compliance with or defaults under the indenture with respect to debt securities of that series.</w:t>
      </w:r>
    </w:p>
    <w:p>
      <w:pPr>
        <w:spacing w:after="0" w:line="130"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The indenture provides that the holders of not less than a majority in aggregate principal amount of the then outstanding debt securities of any series, by notice to the relevant trustee, may on behalf of the holders of the debt securities of that series waive any default and its consequences under the indenture except:</w:t>
      </w:r>
    </w:p>
    <w:p>
      <w:pPr>
        <w:spacing w:after="0" w:line="73" w:lineRule="exact"/>
        <w:rPr>
          <w:sz w:val="20"/>
          <w:szCs w:val="20"/>
          <w:color w:val="auto"/>
        </w:rPr>
      </w:pPr>
    </w:p>
    <w:p>
      <w:pPr>
        <w:ind w:left="4220" w:right="480" w:hanging="3564"/>
        <w:spacing w:after="0" w:line="763" w:lineRule="auto"/>
        <w:tabs>
          <w:tab w:leader="none" w:pos="1159"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default in the payment of, any premium and any interest on, or principal of, any such debt security held by a nonconsenting holder; or 10</w:t>
      </w:r>
    </w:p>
    <w:p>
      <w:pPr>
        <w:sectPr>
          <w:pgSz w:w="11900" w:h="16838" w:orient="portrait"/>
          <w:cols w:equalWidth="0" w:num="1">
            <w:col w:w="11400"/>
          </w:cols>
          <w:pgMar w:left="240" w:top="368" w:right="259" w:bottom="1440" w:gutter="0" w:footer="0" w:header="0"/>
        </w:sectPr>
      </w:pPr>
    </w:p>
    <w:bookmarkStart w:id="13" w:name="page14"/>
    <w:bookmarkEnd w:id="13"/>
    <w:p>
      <w:pPr>
        <w:ind w:left="980" w:right="120" w:hanging="324"/>
        <w:spacing w:after="0" w:line="277" w:lineRule="auto"/>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default in respect of a covenant or provision of the indenture that cannot be modified or amended without the consent of the holder of each outstanding debt security of each series affected.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Registered Global Securities and Book Entry System</w:t>
      </w:r>
    </w:p>
    <w:p>
      <w:pPr>
        <w:spacing w:after="0" w:line="121"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The debt securities of a series may be issued in whole or in part in book-entry form and will be represented by one or more fully registered global securities. We will deposit any registered global securities with a depositary or with a nominee for a depositary identified in the applicable prospectus supplement and registered in the name of such depositary or nominee. In such case, we will issue one or more registered global securities denominated in an amount equal to the aggregate principal amount of all of the debt securities of the series to be issued and represented by such registered global security or securities. This means that we will not issue certificates to each holder.</w:t>
      </w:r>
    </w:p>
    <w:p>
      <w:pPr>
        <w:spacing w:after="0" w:line="80" w:lineRule="exact"/>
        <w:rPr>
          <w:sz w:val="20"/>
          <w:szCs w:val="20"/>
          <w:color w:val="auto"/>
        </w:rPr>
      </w:pPr>
    </w:p>
    <w:p>
      <w:pPr>
        <w:ind w:right="800" w:firstLine="648"/>
        <w:spacing w:after="0" w:line="277" w:lineRule="auto"/>
        <w:rPr>
          <w:sz w:val="20"/>
          <w:szCs w:val="20"/>
          <w:color w:val="auto"/>
        </w:rPr>
      </w:pPr>
      <w:r>
        <w:rPr>
          <w:rFonts w:ascii="Arial" w:cs="Arial" w:eastAsia="Arial" w:hAnsi="Arial"/>
          <w:sz w:val="18"/>
          <w:szCs w:val="18"/>
          <w:color w:val="auto"/>
        </w:rPr>
        <w:t>Unless and until it is exchanged in whole or in part for debt securities in definitive registered form, a registered global security may not be transferred except as a whole:</w:t>
      </w:r>
    </w:p>
    <w:p>
      <w:pPr>
        <w:spacing w:after="0" w:line="62" w:lineRule="exact"/>
        <w:rPr>
          <w:sz w:val="20"/>
          <w:szCs w:val="20"/>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by the depositary for the registered global security to its nominee;</w:t>
      </w:r>
    </w:p>
    <w:p>
      <w:pPr>
        <w:spacing w:after="0" w:line="184" w:lineRule="exact"/>
        <w:rPr>
          <w:rFonts w:ascii="Arial" w:cs="Arial" w:eastAsia="Arial" w:hAnsi="Arial"/>
          <w:sz w:val="18"/>
          <w:szCs w:val="18"/>
          <w:color w:val="auto"/>
        </w:rPr>
      </w:pPr>
    </w:p>
    <w:p>
      <w:pPr>
        <w:ind w:left="1160" w:hanging="504"/>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by a nominee of the depositary to the depositary or another nominee of the depositary; or</w:t>
      </w:r>
    </w:p>
    <w:p>
      <w:pPr>
        <w:spacing w:after="0" w:line="184" w:lineRule="exact"/>
        <w:rPr>
          <w:rFonts w:ascii="Arial" w:cs="Arial" w:eastAsia="Arial" w:hAnsi="Arial"/>
          <w:sz w:val="18"/>
          <w:szCs w:val="18"/>
          <w:color w:val="auto"/>
        </w:rPr>
      </w:pPr>
    </w:p>
    <w:p>
      <w:pPr>
        <w:ind w:left="1160" w:hanging="504"/>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by the depositary or its nominee to a successor of the depositary or a nominee of the successor.</w:t>
      </w:r>
    </w:p>
    <w:p>
      <w:pPr>
        <w:spacing w:after="0" w:line="18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prospectus supplement relating to a series of debt securities will describe the specific terms of the depositary arrangement involving any portion of the series represented by a registered global security. We anticipate that the following provisions will apply to all depositary arrangements for debt securities:</w:t>
      </w:r>
    </w:p>
    <w:p>
      <w:pPr>
        <w:spacing w:after="0" w:line="73" w:lineRule="exact"/>
        <w:rPr>
          <w:sz w:val="20"/>
          <w:szCs w:val="20"/>
          <w:color w:val="auto"/>
        </w:rPr>
      </w:pPr>
    </w:p>
    <w:p>
      <w:pPr>
        <w:ind w:left="980" w:right="420" w:hanging="324"/>
        <w:spacing w:after="0" w:line="342" w:lineRule="auto"/>
        <w:tabs>
          <w:tab w:leader="none" w:pos="11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ownership of beneficial interests in a registered global security will be limited to persons that have accounts with the depositary for such registered global security, these persons being referred to as “participants,” or persons that may hold interests through participants;</w:t>
      </w:r>
    </w:p>
    <w:p>
      <w:pPr>
        <w:spacing w:after="0" w:line="83" w:lineRule="exact"/>
        <w:rPr>
          <w:rFonts w:ascii="Arial" w:cs="Arial" w:eastAsia="Arial" w:hAnsi="Arial"/>
          <w:sz w:val="16"/>
          <w:szCs w:val="16"/>
          <w:color w:val="auto"/>
        </w:rPr>
      </w:pPr>
    </w:p>
    <w:p>
      <w:pPr>
        <w:ind w:left="980" w:right="20" w:hanging="324"/>
        <w:spacing w:after="0" w:line="264" w:lineRule="auto"/>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upon the issuance of a registered global security, the depositary for the registered global security will credit, on its book-entry registration and transfer system, the participants’ accounts with the respective principal amounts of the debt securities represented by the registered global security beneficially owned by the participants;</w:t>
      </w:r>
    </w:p>
    <w:p>
      <w:pPr>
        <w:spacing w:after="0" w:line="140" w:lineRule="exact"/>
        <w:rPr>
          <w:rFonts w:ascii="Arial" w:cs="Arial" w:eastAsia="Arial" w:hAnsi="Arial"/>
          <w:sz w:val="18"/>
          <w:szCs w:val="18"/>
          <w:color w:val="auto"/>
        </w:rPr>
      </w:pPr>
    </w:p>
    <w:p>
      <w:pPr>
        <w:ind w:left="1160" w:hanging="504"/>
        <w:spacing w:after="0"/>
        <w:tabs>
          <w:tab w:leader="none" w:pos="11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any dealers, underwriters, or agents participating in the distribution of the debt securities will designate the accounts to be credited; and</w:t>
      </w:r>
    </w:p>
    <w:p>
      <w:pPr>
        <w:spacing w:after="0" w:line="196" w:lineRule="exact"/>
        <w:rPr>
          <w:rFonts w:ascii="Arial" w:cs="Arial" w:eastAsia="Arial" w:hAnsi="Arial"/>
          <w:sz w:val="17"/>
          <w:szCs w:val="17"/>
          <w:color w:val="auto"/>
        </w:rPr>
      </w:pPr>
    </w:p>
    <w:p>
      <w:pPr>
        <w:ind w:left="980" w:right="180" w:hanging="324"/>
        <w:spacing w:after="0" w:line="264" w:lineRule="auto"/>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ownership of beneficial interest in the registered global security will be shown on, and the transfer of the ownership interest will be effected only through, records maintained by the depositary for the registered global security for interests of participants, and on the records of participants for interests of persons holding through participants.</w:t>
      </w:r>
    </w:p>
    <w:p>
      <w:pPr>
        <w:spacing w:after="0" w:line="14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laws of some states may require that specified purchasers of securities take physical delivery of the securities in definitive form. These laws may limit the ability of those persons to own, transfer or pledge beneficial interests in registered global securities.</w:t>
      </w:r>
    </w:p>
    <w:p>
      <w:pPr>
        <w:spacing w:after="0" w:line="62" w:lineRule="exact"/>
        <w:rPr>
          <w:sz w:val="20"/>
          <w:szCs w:val="20"/>
          <w:color w:val="auto"/>
        </w:rPr>
      </w:pPr>
    </w:p>
    <w:p>
      <w:pPr>
        <w:ind w:right="240" w:firstLine="648"/>
        <w:spacing w:after="0" w:line="286" w:lineRule="auto"/>
        <w:rPr>
          <w:sz w:val="20"/>
          <w:szCs w:val="20"/>
          <w:color w:val="auto"/>
        </w:rPr>
      </w:pPr>
      <w:r>
        <w:rPr>
          <w:rFonts w:ascii="Arial" w:cs="Arial" w:eastAsia="Arial" w:hAnsi="Arial"/>
          <w:sz w:val="17"/>
          <w:szCs w:val="17"/>
          <w:color w:val="auto"/>
        </w:rPr>
        <w:t>So long as the depositary for a registered global security, or its nominee, is the registered owner of the registered global security, the depositary or such nominee, as the case may be, will be considered the sole owner or holder of the debt securities represented by the registered global security for all purposes under the indenture. Except as stated below, owners of beneficial interests in a registered global security:</w:t>
      </w:r>
    </w:p>
    <w:p>
      <w:pPr>
        <w:spacing w:after="0" w:line="57" w:lineRule="exact"/>
        <w:rPr>
          <w:sz w:val="20"/>
          <w:szCs w:val="20"/>
          <w:color w:val="auto"/>
        </w:rPr>
      </w:pPr>
    </w:p>
    <w:p>
      <w:pPr>
        <w:ind w:left="1160" w:hanging="504"/>
        <w:spacing w:after="0"/>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will not be entitled to have the debt securities represented by a registered global security registered in their names;</w:t>
      </w:r>
    </w:p>
    <w:p>
      <w:pPr>
        <w:spacing w:after="0" w:line="184" w:lineRule="exact"/>
        <w:rPr>
          <w:rFonts w:ascii="Arial" w:cs="Arial" w:eastAsia="Arial" w:hAnsi="Arial"/>
          <w:sz w:val="18"/>
          <w:szCs w:val="18"/>
          <w:color w:val="auto"/>
        </w:rPr>
      </w:pPr>
    </w:p>
    <w:p>
      <w:pPr>
        <w:ind w:left="1160" w:hanging="504"/>
        <w:spacing w:after="0"/>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will not receive or be entitled to receive physical delivery of the debt securities in the definitive form; and</w:t>
      </w:r>
    </w:p>
    <w:p>
      <w:pPr>
        <w:spacing w:after="0" w:line="184" w:lineRule="exact"/>
        <w:rPr>
          <w:rFonts w:ascii="Arial" w:cs="Arial" w:eastAsia="Arial" w:hAnsi="Arial"/>
          <w:sz w:val="18"/>
          <w:szCs w:val="18"/>
          <w:color w:val="auto"/>
        </w:rPr>
      </w:pPr>
    </w:p>
    <w:p>
      <w:pPr>
        <w:ind w:left="1160" w:hanging="504"/>
        <w:spacing w:after="0"/>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will not be considered the owners or holders of the debt securities under the relevant indenture.</w:t>
      </w:r>
    </w:p>
    <w:p>
      <w:pPr>
        <w:spacing w:after="0" w:line="185"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Accordingly, each person owning a beneficial interest in a registered global security must rely on the procedures of the depositary for the registered global security and, if the person is not a participant, on the procedures of a participant through which the person owns its interest, to exercise any rights of a holder under the indenture.</w:t>
      </w:r>
    </w:p>
    <w:p>
      <w:pPr>
        <w:spacing w:after="0" w:line="73"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We understand that under existing industry practices, if we request any action of holders or if an owner of a beneficial interest in a registered global security desires to give or take any action that a holder is entitled to give or take under the indenture, the depositary for the registered global security would authorize the participants holding the relevant beneficial interests to give or take the action, and the participants would authorize beneficial owners owning through the participants to give or take the action or would otherwise act upon the instructions of beneficial owners holding through them.</w:t>
      </w:r>
    </w:p>
    <w:p>
      <w:pPr>
        <w:spacing w:after="0" w:line="289"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368" w:right="259" w:bottom="1440" w:gutter="0" w:footer="0" w:header="0"/>
        </w:sectPr>
      </w:pPr>
    </w:p>
    <w:bookmarkStart w:id="14" w:name="page15"/>
    <w:bookmarkEnd w:id="14"/>
    <w:p>
      <w:pPr>
        <w:ind w:right="40" w:firstLine="648"/>
        <w:spacing w:after="0" w:line="257" w:lineRule="auto"/>
        <w:rPr>
          <w:sz w:val="20"/>
          <w:szCs w:val="20"/>
          <w:color w:val="auto"/>
        </w:rPr>
      </w:pPr>
      <w:r>
        <w:rPr>
          <w:rFonts w:ascii="Arial" w:cs="Arial" w:eastAsia="Arial" w:hAnsi="Arial"/>
          <w:sz w:val="18"/>
          <w:szCs w:val="18"/>
          <w:color w:val="auto"/>
        </w:rPr>
        <w:t>We will make payments of principal and premium, if any, and interest, if any, on debt securities represented by a registered global security registered in the name of a depositary or its nominee to the depositary or its nominee, as the case may be, as the registered owners of the registered global security. Neither we nor the trustee, or any other agent of ours or the trustee will be responsible or liable for any aspect of the records relating to, or payments made on account of, beneficial ownership interests in the registered global security or for maintaining, supervising or reviewing any records relating to the beneficial ownership interests.</w:t>
      </w:r>
    </w:p>
    <w:p>
      <w:pPr>
        <w:spacing w:after="0" w:line="80"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expect that the depositary for any debt securities represented by a registered global security, upon receipt of any payments of principal and premium, if any, and interest, if any, in respect of the registered global security, will immediately credit participants’ accounts with payments in amounts proportionate to their respective beneficial interests in the registered global security as shown on the records of the depositary. We also expect that standing customer instructions and customary practices will govern payments by participants to owners of beneficial interests in the registered global security held through the participants, as is now the case with the securities held for the accounts of customers in bearer form or registered in “street name.” We also expect that any of these payments will be the responsibility of the participants.</w:t>
      </w:r>
    </w:p>
    <w:p>
      <w:pPr>
        <w:spacing w:after="0" w:line="8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If the depositary for any debt securities represented by a registered global security is at any time unwilling or unable to continue as depositary or stops being a clearing agency registered under the Securities Exchange Act of 1934, as amended, or the Exchange Act, we will appoint an eligible successor depositary. If we fail to appoint an eligible successor depositary within 90 days, we will issue the debt securities in definitive form in exchange for the registered global security. In addition, we may at any time and in our sole discretion decide not to have any of the debt securities of a series represented by one or more registered global securities. In that event, we will issue debt securities of the series in a definitive form in exchange for all of the registered global securities representing the debt securities. The trustee will register any debt securities issued in definitive form in exchange for a registered global security in the name or names as the depositary, based upon instructions from its participants, shall instruct the trustee.</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Concerning the Trustee</w:t>
      </w:r>
    </w:p>
    <w:p>
      <w:pPr>
        <w:spacing w:after="0" w:line="121"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indenture provides that there may be more than one trustee under the indenture, each for one or more series of debt securities. If there are different trustees for different series of debt securities, each trustee will be a trustee of a trust under the indenture separate and apart from the trust administered by any other trustee under that indenture. Except as otherwise indicated in this prospectus or any prospectus supplement, any action permitted to be taken by a trustee may be taken by such trustee only on the one or more series of debt securities for which it is the trustee under the indenture. Any trustee under the indenture may resign or be removed from one or more series of debt securities. All payments of principal of, and any premium and interest on, and all registration, transfer, exchange, authentication and delivery of, the debt securities of a series will be effected by the trustee for that series at an office designated by the trustee in New York, New York.</w:t>
      </w:r>
    </w:p>
    <w:p>
      <w:pPr>
        <w:spacing w:after="0" w:line="81"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The indenture provides that, except during the continuance of an event of default, the trustee will perform only such duties as are specifically set forth in the indenture. During the existence of an event of default, the trustee will exercise those rights and powers vested in it under the indenture and use the same degree of care and skill in its exercise as a prudent person would exercise under the circumstances in the conduct of such person’s own affairs.</w:t>
      </w:r>
    </w:p>
    <w:p>
      <w:pPr>
        <w:spacing w:after="0" w:line="39" w:lineRule="exact"/>
        <w:rPr>
          <w:sz w:val="20"/>
          <w:szCs w:val="20"/>
          <w:color w:val="auto"/>
        </w:rPr>
      </w:pPr>
    </w:p>
    <w:p>
      <w:pPr>
        <w:ind w:right="300" w:firstLine="648"/>
        <w:spacing w:after="0" w:line="286" w:lineRule="auto"/>
        <w:rPr>
          <w:sz w:val="20"/>
          <w:szCs w:val="20"/>
          <w:color w:val="auto"/>
        </w:rPr>
      </w:pPr>
      <w:r>
        <w:rPr>
          <w:rFonts w:ascii="Arial" w:cs="Arial" w:eastAsia="Arial" w:hAnsi="Arial"/>
          <w:sz w:val="17"/>
          <w:szCs w:val="17"/>
          <w:color w:val="auto"/>
        </w:rPr>
        <w:t>If the trustee becomes a creditor of ours, the indenture places limitations on the right of the trustee to obtain payment of claims or to realize on property received in respect of any such claim as security or otherwise. The trustee may engage in other transactions. If it acquires any conflicting interest relating to any duties concerning the debt securities, however, it must eliminate the conflict or resign as trustee.</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Individual Liability of Incorporators, Stockholders, Officers or Directors</w:t>
      </w:r>
    </w:p>
    <w:p>
      <w:pPr>
        <w:spacing w:after="0" w:line="121"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The indenture provides that no past, present or future director, officer, stockholder or employee of ours, any of our affiliates, or any successor corporation, in their capacity as such, shall have any individual liability for any of our obligations, covenants or agreements under the debt securities or the indenture.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indenture and the debt securities will be governed by, and construed in accordance with, the laws of the State of New York.</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WARRANTS</w:t>
      </w:r>
    </w:p>
    <w:p>
      <w:pPr>
        <w:spacing w:after="0" w:line="27" w:lineRule="exact"/>
        <w:rPr>
          <w:sz w:val="20"/>
          <w:szCs w:val="20"/>
          <w:color w:val="auto"/>
        </w:rPr>
      </w:pPr>
    </w:p>
    <w:p>
      <w:pPr>
        <w:ind w:right="20" w:firstLine="648"/>
        <w:spacing w:after="0" w:line="292" w:lineRule="auto"/>
        <w:rPr>
          <w:sz w:val="20"/>
          <w:szCs w:val="20"/>
          <w:color w:val="auto"/>
        </w:rPr>
      </w:pPr>
      <w:r>
        <w:rPr>
          <w:rFonts w:ascii="Arial" w:cs="Arial" w:eastAsia="Arial" w:hAnsi="Arial"/>
          <w:sz w:val="16"/>
          <w:szCs w:val="16"/>
          <w:color w:val="auto"/>
        </w:rPr>
        <w:t>We may issue warrants for the purchase of common stock, preferred stock, debt securities, or any combination thereof. We may issue warrants independently or together with any other securities offered by any prospectus supplement and may be attached to or separate from the other offered securities. Each series of warrants may be issued under a separate warrant agreement to be entered into by us with a warrant agent. The applicable warrant agent will act solely as our agent in connection with the warrants and will not assume any obligation or relationship of agency or trust for or with any holders or beneficial owners of warrants. Further terms of the warrants and the applicable warrant agreements will be set forth in the applicable prospectus supplement.</w:t>
      </w:r>
    </w:p>
    <w:p>
      <w:pPr>
        <w:spacing w:after="0" w:line="5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applicable prospectus supplement relating to any particular issue of warrants will describe the terms of the warrants, including, as applicable, the following:</w:t>
      </w:r>
    </w:p>
    <w:p>
      <w:pPr>
        <w:spacing w:after="0" w:line="306"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368" w:right="259" w:bottom="1440" w:gutter="0" w:footer="0" w:header="0"/>
        </w:sectPr>
      </w:pPr>
    </w:p>
    <w:bookmarkStart w:id="15" w:name="page16"/>
    <w:bookmarkEnd w:id="15"/>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title of the warrants;</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aggregate number of the warrants;</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price or prices at which the warrants will be issued;</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designation, terms and number of shares of common stock, preferred stock or debt securities purchasable upon exercise of the warrants;</w:t>
      </w:r>
    </w:p>
    <w:p>
      <w:pPr>
        <w:spacing w:after="0" w:line="207" w:lineRule="exact"/>
        <w:rPr>
          <w:rFonts w:ascii="Arial" w:cs="Arial" w:eastAsia="Arial" w:hAnsi="Arial"/>
          <w:sz w:val="16"/>
          <w:szCs w:val="16"/>
          <w:color w:val="auto"/>
        </w:rPr>
      </w:pPr>
    </w:p>
    <w:p>
      <w:pPr>
        <w:ind w:left="980" w:right="140" w:hanging="324"/>
        <w:spacing w:after="0" w:line="277"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designation and terms of the offered securities, if any, with which the warrants are issued and the number of the warrants issued with each offered security;</w:t>
      </w:r>
    </w:p>
    <w:p>
      <w:pPr>
        <w:spacing w:after="0" w:line="129"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date, if any, on and after which the warrants and the related common stock, preferred stock or debt securities will be separately transferable;</w:t>
      </w:r>
    </w:p>
    <w:p>
      <w:pPr>
        <w:spacing w:after="0" w:line="207" w:lineRule="exact"/>
        <w:rPr>
          <w:rFonts w:ascii="Arial" w:cs="Arial" w:eastAsia="Arial" w:hAnsi="Arial"/>
          <w:sz w:val="16"/>
          <w:szCs w:val="16"/>
          <w:color w:val="auto"/>
        </w:rPr>
      </w:pPr>
    </w:p>
    <w:p>
      <w:pPr>
        <w:ind w:left="980" w:hanging="324"/>
        <w:spacing w:after="0"/>
        <w:tabs>
          <w:tab w:leader="none" w:pos="9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price at which each share of common stock, preferred stock or debt securities purchasable upon exercise of the warrants may be purchased;</w:t>
      </w:r>
    </w:p>
    <w:p>
      <w:pPr>
        <w:spacing w:after="0" w:line="207" w:lineRule="exact"/>
        <w:rPr>
          <w:rFonts w:ascii="Arial" w:cs="Arial" w:eastAsia="Arial" w:hAnsi="Arial"/>
          <w:sz w:val="16"/>
          <w:szCs w:val="16"/>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date on which the right to exercise the warrants shall commence and the date on which that right shall expire;</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minimum or maximum amount of the warrants which may be exercised at any one time;</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discussion of certain federal income tax considerations; and</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other terms of the warrants, including terms, procedures and limitations relating to the exchange and exercise of the warrants.</w:t>
      </w:r>
    </w:p>
    <w:p>
      <w:pPr>
        <w:spacing w:after="0" w:line="18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We and the applicable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SUBSCRIPTION RIGHTS</w:t>
      </w:r>
    </w:p>
    <w:p>
      <w:pPr>
        <w:spacing w:after="0" w:line="27"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We may issue subscription rights to purchase common stock or preferred stock. This prospectus and any accompanying prospectus supplement will contain the material terms and conditions for each subscription right. The accompanying prospectus supplement may add, update or change the terms and conditions of the subscription rights as described in this prospectus.</w:t>
      </w:r>
    </w:p>
    <w:p>
      <w:pPr>
        <w:spacing w:after="0" w:line="82"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We will describe in the applicable prospectus supplement the terms and conditions of the issue of subscription rights being offered, the subscription rights agreement relating to the subscription rights and the subscription rights certificates representing the subscription rights, including, as applicable:</w:t>
      </w:r>
    </w:p>
    <w:p>
      <w:pPr>
        <w:spacing w:after="0" w:line="16" w:lineRule="exact"/>
        <w:rPr>
          <w:sz w:val="20"/>
          <w:szCs w:val="20"/>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title of the subscription rights;</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date of determining the stockholders entitled to the subscription rights distribution;</w:t>
      </w:r>
    </w:p>
    <w:p>
      <w:pPr>
        <w:spacing w:after="0" w:line="184" w:lineRule="exact"/>
        <w:rPr>
          <w:rFonts w:ascii="Arial" w:cs="Arial" w:eastAsia="Arial" w:hAnsi="Arial"/>
          <w:sz w:val="18"/>
          <w:szCs w:val="18"/>
          <w:color w:val="auto"/>
        </w:rPr>
      </w:pPr>
    </w:p>
    <w:p>
      <w:pPr>
        <w:ind w:left="1160" w:hanging="504"/>
        <w:spacing w:after="0"/>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title, aggregate number of shares of common stock or preferred stock purchasable upon exercise of the subscription rights;</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exercise price;</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aggregate number of subscription rights issued;</w:t>
      </w:r>
    </w:p>
    <w:p>
      <w:pPr>
        <w:spacing w:after="0" w:line="184" w:lineRule="exact"/>
        <w:rPr>
          <w:rFonts w:ascii="Arial" w:cs="Arial" w:eastAsia="Arial" w:hAnsi="Arial"/>
          <w:sz w:val="18"/>
          <w:szCs w:val="18"/>
          <w:color w:val="auto"/>
        </w:rPr>
      </w:pPr>
    </w:p>
    <w:p>
      <w:pPr>
        <w:ind w:left="1160" w:hanging="504"/>
        <w:spacing w:after="0"/>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date, if any, on and after which the subscription rights will be separately transferable;</w:t>
      </w:r>
    </w:p>
    <w:p>
      <w:pPr>
        <w:spacing w:after="0" w:line="184" w:lineRule="exact"/>
        <w:rPr>
          <w:rFonts w:ascii="Arial" w:cs="Arial" w:eastAsia="Arial" w:hAnsi="Arial"/>
          <w:sz w:val="18"/>
          <w:szCs w:val="18"/>
          <w:color w:val="auto"/>
        </w:rPr>
      </w:pPr>
    </w:p>
    <w:p>
      <w:pPr>
        <w:ind w:left="980" w:right="180" w:hanging="324"/>
        <w:spacing w:after="0" w:line="277" w:lineRule="auto"/>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date on which the subscription right to exercise the subscription rights will commence and the date on which the subscription right will expire; and</w:t>
      </w:r>
    </w:p>
    <w:p>
      <w:pPr>
        <w:spacing w:after="0" w:line="129" w:lineRule="exact"/>
        <w:rPr>
          <w:rFonts w:ascii="Arial" w:cs="Arial" w:eastAsia="Arial" w:hAnsi="Arial"/>
          <w:sz w:val="18"/>
          <w:szCs w:val="18"/>
          <w:color w:val="auto"/>
        </w:rPr>
      </w:pPr>
    </w:p>
    <w:p>
      <w:pPr>
        <w:ind w:left="980" w:right="160" w:hanging="324"/>
        <w:spacing w:after="0" w:line="277" w:lineRule="auto"/>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other terms of the subscription rights, including terms, procedures and limitations relating to the distribution, exchange and exercise of the subscription rights.</w:t>
      </w:r>
    </w:p>
    <w:p>
      <w:pPr>
        <w:spacing w:after="0" w:line="373"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20"/>
          </w:cols>
          <w:pgMar w:left="240" w:top="368" w:right="339" w:bottom="1440" w:gutter="0" w:footer="0" w:header="0"/>
        </w:sectPr>
      </w:pPr>
    </w:p>
    <w:bookmarkStart w:id="16" w:name="page17"/>
    <w:bookmarkEnd w:id="16"/>
    <w:p>
      <w:pPr>
        <w:ind w:right="20" w:firstLine="648"/>
        <w:spacing w:after="0" w:line="259" w:lineRule="auto"/>
        <w:rPr>
          <w:sz w:val="20"/>
          <w:szCs w:val="20"/>
          <w:color w:val="auto"/>
        </w:rPr>
      </w:pPr>
      <w:r>
        <w:rPr>
          <w:rFonts w:ascii="Arial" w:cs="Arial" w:eastAsia="Arial" w:hAnsi="Arial"/>
          <w:sz w:val="18"/>
          <w:szCs w:val="18"/>
          <w:color w:val="auto"/>
        </w:rPr>
        <w:t>Each subscription right will entitle the holder of subscription rights to purchase for cash the principal amount of shares of common stock or preferred stock at the exercise price provided in the applicable prospectus supplement. Subscription rights may be exercised at any time up to the close of business on the expiration date for the subscription rights provided in the applicable prospectus supplement. After the close of business on the expiration date, all unexercised subscription rights will be void.</w:t>
      </w:r>
    </w:p>
    <w:p>
      <w:pPr>
        <w:spacing w:after="0" w:line="79"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Holders may exercise subscription rights as described in the applicable prospectus supplement. Upon receipt of payment and the subscription rights certificate properly completed and duly executed at the corporate trust office of the subscription rights agent or any other office indicated in the prospectus supplement, we will, as soon as practicable, forward the shares of common stock or preferred stock purchasable upon exercise of the subscription rights. If less than all of the subscription rights issued in any subscription rights offering are exercised, we may offer any unsubscribed securities directly to persons other than stockholders, to or through agents, underwriters or dealers or through a combination of such methods, including pursuant to standby underwriting arrangements, as described in the applicable prospectus supplement.</w:t>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UNITS</w:t>
      </w:r>
    </w:p>
    <w:p>
      <w:pPr>
        <w:spacing w:after="0" w:line="27"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may issue units consisting of some or all of the securities described above, in any combination, including common stock, preferred stock, warrants and/or debt securities. The terms of these units will be set forth in a prospectus supplement. The description of the terms of these units in the related prospectus supplement will not be complete. You should refer to the applicable form of unit and unit agreement for complete information with respect to these units.</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SELLING SECURITYHOLDERS</w:t>
      </w:r>
    </w:p>
    <w:p>
      <w:pPr>
        <w:spacing w:after="0" w:line="27" w:lineRule="exact"/>
        <w:rPr>
          <w:sz w:val="20"/>
          <w:szCs w:val="20"/>
          <w:color w:val="auto"/>
        </w:rPr>
      </w:pPr>
    </w:p>
    <w:p>
      <w:pPr>
        <w:ind w:right="420" w:firstLine="648"/>
        <w:spacing w:after="0" w:line="254" w:lineRule="auto"/>
        <w:rPr>
          <w:sz w:val="20"/>
          <w:szCs w:val="20"/>
          <w:color w:val="auto"/>
        </w:rPr>
      </w:pPr>
      <w:r>
        <w:rPr>
          <w:rFonts w:ascii="Arial" w:cs="Arial" w:eastAsia="Arial" w:hAnsi="Arial"/>
          <w:sz w:val="18"/>
          <w:szCs w:val="18"/>
          <w:color w:val="auto"/>
        </w:rPr>
        <w:t>Selling securityholders are persons or entities that, directly or indirectly, have acquired, or will from time to time acquire from us, our common stock. If the registration statement of which this prospectus forms a part is used by selling securityholders for the resale of any securities registered thereunder, information about such selling securityholders, their beneficial ownership of our securities and their relationship with us will be set forth in a prospectus supplement.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27" w:lineRule="exact"/>
        <w:rPr>
          <w:sz w:val="20"/>
          <w:szCs w:val="20"/>
          <w:color w:val="auto"/>
        </w:rPr>
      </w:pPr>
    </w:p>
    <w:p>
      <w:pPr>
        <w:ind w:right="80" w:firstLine="648"/>
        <w:spacing w:after="0" w:line="277" w:lineRule="auto"/>
        <w:rPr>
          <w:sz w:val="20"/>
          <w:szCs w:val="20"/>
          <w:color w:val="auto"/>
        </w:rPr>
      </w:pPr>
      <w:r>
        <w:rPr>
          <w:rFonts w:ascii="Arial" w:cs="Arial" w:eastAsia="Arial" w:hAnsi="Arial"/>
          <w:sz w:val="17"/>
          <w:szCs w:val="17"/>
          <w:color w:val="auto"/>
        </w:rPr>
        <w:t>We or selling securityholders may sell the securities offered by this prospectus to one or more underwriters or dealers for public offering and sale by them or to investors directly or through agents. The accompanying prospectus supplement will set forth the terms of the offering and the method of distribution and will identify any firms acting as underwriters, dealers or agents in connection with the offering, including:</w:t>
      </w:r>
    </w:p>
    <w:p>
      <w:pPr>
        <w:spacing w:after="0" w:line="65" w:lineRule="exact"/>
        <w:rPr>
          <w:sz w:val="20"/>
          <w:szCs w:val="20"/>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name or names of any underwriters, dealers or agents;</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applicable, the names of any selling securityholders;</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purchase price of the securities and the proceeds to us or the selling securityholders from the sale;</w:t>
      </w:r>
    </w:p>
    <w:p>
      <w:pPr>
        <w:spacing w:after="0" w:line="184" w:lineRule="exact"/>
        <w:rPr>
          <w:rFonts w:ascii="Arial" w:cs="Arial" w:eastAsia="Arial" w:hAnsi="Arial"/>
          <w:sz w:val="18"/>
          <w:szCs w:val="18"/>
          <w:color w:val="auto"/>
        </w:rPr>
      </w:pPr>
    </w:p>
    <w:p>
      <w:pPr>
        <w:ind w:left="1160" w:hanging="504"/>
        <w:spacing w:after="0"/>
        <w:tabs>
          <w:tab w:leader="none" w:pos="11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underwriting discounts and other items constituting compensation to underwriters, dealers or agents;</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public offering price;</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to dealers; and</w:t>
      </w:r>
    </w:p>
    <w:p>
      <w:pPr>
        <w:spacing w:after="0" w:line="184" w:lineRule="exact"/>
        <w:rPr>
          <w:rFonts w:ascii="Arial" w:cs="Arial" w:eastAsia="Arial" w:hAnsi="Arial"/>
          <w:sz w:val="18"/>
          <w:szCs w:val="18"/>
          <w:color w:val="auto"/>
        </w:rPr>
      </w:pPr>
    </w:p>
    <w:p>
      <w:pPr>
        <w:ind w:left="1160" w:hanging="504"/>
        <w:spacing w:after="0"/>
        <w:tabs>
          <w:tab w:leader="none" w:pos="11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securities exchange or market on which the securities offered in the prospectus supplement may be listed.</w:t>
      </w:r>
    </w:p>
    <w:p>
      <w:pPr>
        <w:spacing w:after="0" w:line="185"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Only those underwriters identified in such prospectus supplement are deemed to be underwriters in connection with the securities offered in the prospectus supplement. We or selling securityholders may directly solicit offers to purchase the securities being offered by this prospectus. We or selling securityholders may also designate agents to solicit offers to purchase the securities from time to time. We or selling securityholders will name in a prospectus supplement any agent involved in the offer or sale of our securities. Unless otherwise indicated in a prospectus supplement, an agent will be acting on a best efforts basis, and a dealer will purchase securities as a principal for resale at varying prices to be determined by the dealer.</w:t>
      </w:r>
    </w:p>
    <w:p>
      <w:pPr>
        <w:spacing w:after="0" w:line="64"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The distribution of the securities may be effected from time to time in one or more transactions at a fixed price or prices, which may be changed, or at prices determined as the applicable prospectus supplement specifies. The securities may be sold through an at-the-market offering, a subscription rights offering, forward contracts or similar arrangements. In addition, we or selling securityholders may enter into derivative transactions with third parties, or sell securities not covered by this prospectus to third parties in privately negotiated transactions. If the applicable prospectus supplement so indicates, in connection with those derivatives, the third parties may sell securities covered by this prospectus and the applicable prospectus supplement, including in short sale transactions. If so, the third party may use securities pledged by us or selling securityholders or borrowed from us or selling securityholders or others to settle those sales or to close out any related open borrowings of stock, and may use securities received</w:t>
      </w:r>
    </w:p>
    <w:p>
      <w:pPr>
        <w:spacing w:after="0" w:line="302"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368" w:right="239" w:bottom="1440" w:gutter="0" w:footer="0" w:header="0"/>
        </w:sectPr>
      </w:pPr>
    </w:p>
    <w:bookmarkStart w:id="17" w:name="page18"/>
    <w:bookmarkEnd w:id="17"/>
    <w:p>
      <w:pPr>
        <w:ind w:right="40"/>
        <w:spacing w:after="0" w:line="257" w:lineRule="auto"/>
        <w:rPr>
          <w:sz w:val="20"/>
          <w:szCs w:val="20"/>
          <w:color w:val="auto"/>
        </w:rPr>
      </w:pPr>
      <w:r>
        <w:rPr>
          <w:rFonts w:ascii="Arial" w:cs="Arial" w:eastAsia="Arial" w:hAnsi="Arial"/>
          <w:sz w:val="18"/>
          <w:szCs w:val="18"/>
          <w:color w:val="auto"/>
        </w:rPr>
        <w:t>from us in settlement of those derivatives to close out any related open borrowings of stock. The third party in such sale transactions will be an underwriter and, if not identified in this prospectus, will be named in the applicable prospectus supplement (or a post-effective amendment). In addition, we or selling securityholders may otherwise loan or pledge securities to a financial institution or other third party that in turn may sell the securities short using this prospectus and an applicable prospectus supplement. Such financial institution or other third party may transfer its economic short position to investors in our securities or in connection with a concurrent offering of other securities.</w:t>
      </w:r>
    </w:p>
    <w:p>
      <w:pPr>
        <w:spacing w:after="0" w:line="8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connection with the sale of the securities, underwriters, dealers or agents may be deemed to have received compensation from us or selling securityholders in the form of underwriting discounts or commissions and also may receive commissions from securities purchasers for whom they may act as agent. Underwriters may sell the securities to or through dealers, and the dealers may receive compensation in the form of discounts, concessions or commissions from the underwriters or commissions from the purchasers for whom they may act as agent.</w:t>
      </w:r>
    </w:p>
    <w:p>
      <w:pPr>
        <w:spacing w:after="0" w:line="79" w:lineRule="exact"/>
        <w:rPr>
          <w:sz w:val="20"/>
          <w:szCs w:val="20"/>
          <w:color w:val="auto"/>
        </w:rPr>
      </w:pPr>
    </w:p>
    <w:p>
      <w:pPr>
        <w:ind w:right="280" w:firstLine="648"/>
        <w:spacing w:after="0" w:line="271" w:lineRule="auto"/>
        <w:rPr>
          <w:sz w:val="20"/>
          <w:szCs w:val="20"/>
          <w:color w:val="auto"/>
        </w:rPr>
      </w:pPr>
      <w:r>
        <w:rPr>
          <w:rFonts w:ascii="Arial" w:cs="Arial" w:eastAsia="Arial" w:hAnsi="Arial"/>
          <w:sz w:val="17"/>
          <w:szCs w:val="17"/>
          <w:color w:val="auto"/>
        </w:rPr>
        <w:t>We or selling securityholders will provide in the applicable prospectus supplement information regarding any underwriting discounts or other compensation that we or selling securityholders pay to underwriters or agents in connection with the securities offering, and any discounts, concessions or commissions that underwriters allow to dealers. Underwriters, dealers, agents and selling securityholders participating in the securities distribution may be deemed to be underwriters, and any discounts, commissions or concessions they receive and any profit they realize on the resale of the securities may be deemed to be underwriting discounts and commissions under the Securities Act. Underwriters and their controlling persons, dealers and agents may be entitled, under agreements entered into with us or selling securityholders, to indemnification against and contribution toward specific civil liabilities, including liabilities under the Securities Act. Some of the underwriters, dealers or agents who participate in the securities distribution may engage in other transactions with, and perform other services for, us in the ordinary course of business.</w:t>
      </w:r>
    </w:p>
    <w:p>
      <w:pPr>
        <w:spacing w:after="0" w:line="71"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Our common stock is currently listed on The Nasdaq Global Market, but any other securities may or may not be listed on a national securities exchange. To facilitate the offering of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were sold to them. In these circumstances, these persons would cover such over-allotments or short positions by making purchases in the open market or by exercising their over-allotment option, if any. In addition, these persons may stabilize or maintain the price of the securities by bidding for or purchasing securities in the open market or by imposing penalty bids, whereby selling concessions allowed to dealers participating in the offering may be reclaimed if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7" w:lineRule="exact"/>
        <w:rPr>
          <w:sz w:val="20"/>
          <w:szCs w:val="20"/>
          <w:color w:val="auto"/>
        </w:rPr>
      </w:pPr>
    </w:p>
    <w:p>
      <w:pPr>
        <w:ind w:right="400" w:firstLine="648"/>
        <w:spacing w:after="0" w:line="290" w:lineRule="auto"/>
        <w:rPr>
          <w:sz w:val="20"/>
          <w:szCs w:val="20"/>
          <w:color w:val="auto"/>
        </w:rPr>
      </w:pPr>
      <w:r>
        <w:rPr>
          <w:rFonts w:ascii="Arial" w:cs="Arial" w:eastAsia="Arial" w:hAnsi="Arial"/>
          <w:sz w:val="17"/>
          <w:szCs w:val="17"/>
          <w:color w:val="auto"/>
        </w:rPr>
        <w:t>The validity of any securities offered by this prospectus will be passed upon for us by Fenwick &amp; West LLP, San Francisco and Mountain View, California. Counsel representing any underwriters, dealers or agents will be named in the applicable prospectus supplement.</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Ernst &amp; Young LLP, independent registered public accounting firm, has audited our financial statements included in our Annual Report on Form 10-K for the year ended December 31, 2018, and the effectiveness of our internal control over financial reporting as of December 31, 2018, as set forth in their reports, which are incorporated by reference in this prospectus and elsewhere in the registration statement. Our financial statements are incorporated by reference in reliance on Ernst &amp; Young LLP's reports, given on their authority as experts in accounting and auditing.</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7"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We have filed with the SEC a registration statement on Form S-3 under the Securities Act with respect to the securities offered hereby. This prospectus, which constitutes a part of the registration statement, does not contain all of the information set forth in the registration statement, the exhibits filed therewith or the documents incorporated by reference therein. For further information about us and the securities offered hereby, reference is made to the registration statement, the exhibits filed therewith and the documents incorporated by reference therein. Statements contained in this prospectus regarding the contents of any contract or any other document that is filed as an exhibit to the registration statement are not necessarily complete, and in each instance we refer you to the copy of such contract or other document filed as an exhibit to the registration statement. The SEC maintains a website that contains reports, proxy and information statements and other information regarding registrants that file electronically with the SEC. The address of the website is www.sec.gov.</w:t>
      </w:r>
    </w:p>
    <w:p>
      <w:pPr>
        <w:spacing w:after="0" w:line="84" w:lineRule="exact"/>
        <w:rPr>
          <w:sz w:val="20"/>
          <w:szCs w:val="20"/>
          <w:color w:val="auto"/>
        </w:rPr>
      </w:pPr>
    </w:p>
    <w:p>
      <w:pPr>
        <w:ind w:right="200" w:firstLine="648"/>
        <w:spacing w:after="0" w:line="276" w:lineRule="auto"/>
        <w:rPr>
          <w:sz w:val="20"/>
          <w:szCs w:val="20"/>
          <w:color w:val="auto"/>
        </w:rPr>
      </w:pPr>
      <w:r>
        <w:rPr>
          <w:rFonts w:ascii="Arial" w:cs="Arial" w:eastAsia="Arial" w:hAnsi="Arial"/>
          <w:sz w:val="17"/>
          <w:szCs w:val="17"/>
          <w:color w:val="auto"/>
        </w:rPr>
        <w:t>We are subject to the information and reporting requirements of the Exchange Act, and, in accordance with this law, file periodic reports and other information with the SEC. These periodic reports and other information are available for inspection and copying at the SEC’s public reference facilities and the website of the SEC referred to above. We also maintain a website at www.veracyte.com. You may access these materials free of charge as soon as reasonably practicable after they are electronically filed with, or furnished to, the SEC. Information contained on our website is not a part of this prospectus and the inclusion of our website address in this prospectus is an inactive textual reference only.</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INCORPORATION OF INFORMATION BY REFERENCE</w:t>
      </w:r>
    </w:p>
    <w:p>
      <w:pPr>
        <w:spacing w:after="0" w:line="27" w:lineRule="exact"/>
        <w:rPr>
          <w:sz w:val="20"/>
          <w:szCs w:val="20"/>
          <w:color w:val="auto"/>
        </w:rPr>
      </w:pPr>
    </w:p>
    <w:p>
      <w:pPr>
        <w:ind w:right="180" w:firstLine="648"/>
        <w:spacing w:after="0" w:line="252" w:lineRule="auto"/>
        <w:rPr>
          <w:sz w:val="20"/>
          <w:szCs w:val="20"/>
          <w:color w:val="auto"/>
        </w:rPr>
      </w:pPr>
      <w:r>
        <w:rPr>
          <w:rFonts w:ascii="Arial" w:cs="Arial" w:eastAsia="Arial" w:hAnsi="Arial"/>
          <w:sz w:val="18"/>
          <w:szCs w:val="18"/>
          <w:color w:val="auto"/>
        </w:rPr>
        <w:t>The SEC permits us to “incorporate by reference” the information contained in documents we file with the SEC, which means that we can disclose important information to you by referring you to those documents rather than by including them in this prospectus. Information that is incorporated by reference is considered to be part of this prospectus and you should read it with the same care that you read this prospectus. Later information that we file with the SEC will automatically update and supersede the information that is either contained, or incorporated by reference, in this prospectus, and will be considered to be a part of this prospectus from the date those documents are filed. We have filed with the SEC, and incorporate by reference in this prospectus:</w:t>
      </w:r>
    </w:p>
    <w:p>
      <w:pPr>
        <w:spacing w:after="0" w:line="86" w:lineRule="exact"/>
        <w:rPr>
          <w:sz w:val="20"/>
          <w:szCs w:val="20"/>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Annual Report on Form 10-K for the year ended December 31, 2018, filed with the SEC on February 25, 2019;</w:t>
      </w:r>
    </w:p>
    <w:p>
      <w:pPr>
        <w:spacing w:after="0" w:line="225" w:lineRule="exact"/>
        <w:rPr>
          <w:rFonts w:ascii="Arial" w:cs="Arial" w:eastAsia="Arial" w:hAnsi="Arial"/>
          <w:sz w:val="18"/>
          <w:szCs w:val="18"/>
          <w:color w:val="auto"/>
        </w:rPr>
      </w:pPr>
    </w:p>
    <w:p>
      <w:pPr>
        <w:ind w:left="980" w:right="280" w:hanging="324"/>
        <w:spacing w:after="0" w:line="277"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information specifically incorporated by reference into our Annual Report on Form 10-K for the year ended December 31, 2018 from our definitive proxy statement on Schedule 14A, which was filed with the SEC on April 24, 2019;</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Quarterly Report on Form 10-Q for the quarter ended March 31, 2019, filed with the SEC on April 30, 2019;</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Current Reports on Form 8-K filed with the SEC on January 3, 2019, February 26, 2019 and April 26, 2019; and</w:t>
      </w:r>
    </w:p>
    <w:p>
      <w:pPr>
        <w:spacing w:after="0" w:line="225" w:lineRule="exact"/>
        <w:rPr>
          <w:rFonts w:ascii="Arial" w:cs="Arial" w:eastAsia="Arial" w:hAnsi="Arial"/>
          <w:sz w:val="18"/>
          <w:szCs w:val="18"/>
          <w:color w:val="auto"/>
        </w:rPr>
      </w:pPr>
    </w:p>
    <w:p>
      <w:pPr>
        <w:ind w:left="980" w:right="40" w:hanging="324"/>
        <w:spacing w:after="0" w:line="277"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description of our common stock contained in our Registration Statement on Form 8-A filed on October 28, 2013, including any amendment or report filed for the purpose of updating such description.</w:t>
      </w:r>
    </w:p>
    <w:p>
      <w:pPr>
        <w:sectPr>
          <w:pgSz w:w="11900" w:h="16838" w:orient="portrait"/>
          <w:cols w:equalWidth="0" w:num="1">
            <w:col w:w="11420"/>
          </w:cols>
          <w:pgMar w:left="240" w:top="368" w:right="239" w:bottom="0" w:gutter="0" w:footer="0" w:header="0"/>
        </w:sectPr>
      </w:pPr>
    </w:p>
    <w:bookmarkStart w:id="18" w:name="page19"/>
    <w:bookmarkEnd w:id="18"/>
    <w:p>
      <w:pPr>
        <w:ind w:firstLine="648"/>
        <w:spacing w:after="0" w:line="264" w:lineRule="auto"/>
        <w:rPr>
          <w:sz w:val="20"/>
          <w:szCs w:val="20"/>
          <w:color w:val="auto"/>
        </w:rPr>
      </w:pPr>
      <w:r>
        <w:rPr>
          <w:rFonts w:ascii="Arial" w:cs="Arial" w:eastAsia="Arial" w:hAnsi="Arial"/>
          <w:sz w:val="18"/>
          <w:szCs w:val="18"/>
          <w:color w:val="auto"/>
        </w:rPr>
        <w:t>We also incorporate by reference all additional documents that we file with the SEC under the terms of Section 13(a), 13(c), 14 or 15(d) of the Exchange Act after the date of this prospectus and prior to the termination of the offering of the securities hereunder. We are not, however, incorporating, in each case, any documents or information that we are deemed to furnish and not file in accordance with SEC rules.</w:t>
      </w:r>
    </w:p>
    <w:p>
      <w:pPr>
        <w:spacing w:after="0" w:line="141"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You may request a copy of any or all of the documents incorporated by reference but not delivered with this prospectus, at no cost, by writing or telephoning us at the following address and number: Investor Relations, Veracyte, Inc., 6000 Shoreline Court, Suite 300, South San Francisco, California 94080, telephone (650) 243-6300. We will not, however, send exhibits to those documents, unless the exhibits are specifically incorporated by reference in those documents.</w:t>
      </w:r>
    </w:p>
    <w:p>
      <w:pPr>
        <w:spacing w:after="0" w:line="214"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20"/>
          </w:cols>
          <w:pgMar w:left="240" w:top="517" w:right="439" w:bottom="1440" w:gutter="0" w:footer="0" w:header="0"/>
        </w:sectPr>
      </w:pPr>
    </w:p>
    <w:bookmarkStart w:id="19" w:name="page20"/>
    <w:bookmarkEnd w:id="19"/>
    <w:p>
      <w:pPr>
        <w:ind w:left="5380"/>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Other Expenses of Issuance and Distribution.</w:t>
      </w:r>
    </w:p>
    <w:p>
      <w:pPr>
        <w:spacing w:after="0" w:line="103"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The following is a statement of estimated expenses in connection with the issuance and distribution of the securities being registered, other than underwriting discounts and commissions.</w:t>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780" w:type="dxa"/>
            <w:vAlign w:val="bottom"/>
          </w:tcPr>
          <w:p>
            <w:pPr>
              <w:spacing w:after="0"/>
              <w:rPr>
                <w:sz w:val="20"/>
                <w:szCs w:val="20"/>
                <w:color w:val="auto"/>
              </w:rPr>
            </w:pPr>
            <w:r>
              <w:rPr>
                <w:rFonts w:ascii="Arial" w:cs="Arial" w:eastAsia="Arial" w:hAnsi="Arial"/>
                <w:sz w:val="18"/>
                <w:szCs w:val="18"/>
                <w:color w:val="auto"/>
              </w:rPr>
              <w:t>SEC Registration Fee</w:t>
            </w:r>
          </w:p>
        </w:tc>
        <w:tc>
          <w:tcPr>
            <w:tcW w:w="1620" w:type="dxa"/>
            <w:vAlign w:val="bottom"/>
          </w:tcPr>
          <w:p>
            <w:pPr>
              <w:jc w:val="right"/>
              <w:ind w:right="1230"/>
              <w:spacing w:after="0"/>
              <w:rPr>
                <w:sz w:val="20"/>
                <w:szCs w:val="20"/>
                <w:color w:val="auto"/>
              </w:rPr>
            </w:pPr>
            <w:r>
              <w:rPr>
                <w:rFonts w:ascii="Arial" w:cs="Arial" w:eastAsia="Arial" w:hAnsi="Arial"/>
                <w:sz w:val="18"/>
                <w:szCs w:val="18"/>
                <w:color w:val="auto"/>
              </w:rPr>
              <w:t>$</w:t>
            </w:r>
          </w:p>
        </w:tc>
        <w:tc>
          <w:tcPr>
            <w:tcW w:w="2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780" w:type="dxa"/>
            <w:vAlign w:val="bottom"/>
          </w:tcPr>
          <w:p>
            <w:pPr>
              <w:spacing w:after="0"/>
              <w:rPr>
                <w:sz w:val="20"/>
                <w:szCs w:val="20"/>
                <w:color w:val="auto"/>
              </w:rPr>
            </w:pPr>
            <w:r>
              <w:rPr>
                <w:rFonts w:ascii="Arial" w:cs="Arial" w:eastAsia="Arial" w:hAnsi="Arial"/>
                <w:sz w:val="18"/>
                <w:szCs w:val="18"/>
                <w:color w:val="auto"/>
              </w:rPr>
              <w:t>FINRA Filing Fee</w:t>
            </w:r>
          </w:p>
        </w:tc>
        <w:tc>
          <w:tcPr>
            <w:tcW w:w="1620" w:type="dxa"/>
            <w:vAlign w:val="bottom"/>
          </w:tcPr>
          <w:p>
            <w:pPr>
              <w:spacing w:after="0"/>
              <w:rPr>
                <w:sz w:val="23"/>
                <w:szCs w:val="23"/>
                <w:color w:val="auto"/>
              </w:rPr>
            </w:pPr>
          </w:p>
        </w:tc>
        <w:tc>
          <w:tcPr>
            <w:tcW w:w="2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780" w:type="dxa"/>
            <w:vAlign w:val="bottom"/>
          </w:tcPr>
          <w:p>
            <w:pPr>
              <w:spacing w:after="0"/>
              <w:rPr>
                <w:sz w:val="20"/>
                <w:szCs w:val="20"/>
                <w:color w:val="auto"/>
              </w:rPr>
            </w:pPr>
            <w:r>
              <w:rPr>
                <w:rFonts w:ascii="Arial" w:cs="Arial" w:eastAsia="Arial" w:hAnsi="Arial"/>
                <w:sz w:val="18"/>
                <w:szCs w:val="18"/>
                <w:color w:val="auto"/>
              </w:rPr>
              <w:t>Transfer Agent and Registrar and Trustee Fees</w:t>
            </w:r>
          </w:p>
        </w:tc>
        <w:tc>
          <w:tcPr>
            <w:tcW w:w="1620" w:type="dxa"/>
            <w:vAlign w:val="bottom"/>
          </w:tcPr>
          <w:p>
            <w:pPr>
              <w:spacing w:after="0"/>
              <w:rPr>
                <w:sz w:val="23"/>
                <w:szCs w:val="23"/>
                <w:color w:val="auto"/>
              </w:rPr>
            </w:pPr>
          </w:p>
        </w:tc>
        <w:tc>
          <w:tcPr>
            <w:tcW w:w="2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780" w:type="dxa"/>
            <w:vAlign w:val="bottom"/>
          </w:tcPr>
          <w:p>
            <w:pPr>
              <w:spacing w:after="0"/>
              <w:rPr>
                <w:sz w:val="20"/>
                <w:szCs w:val="20"/>
                <w:color w:val="auto"/>
              </w:rPr>
            </w:pPr>
            <w:r>
              <w:rPr>
                <w:rFonts w:ascii="Arial" w:cs="Arial" w:eastAsia="Arial" w:hAnsi="Arial"/>
                <w:sz w:val="18"/>
                <w:szCs w:val="18"/>
                <w:color w:val="auto"/>
              </w:rPr>
              <w:t>Printing Expenses</w:t>
            </w:r>
          </w:p>
        </w:tc>
        <w:tc>
          <w:tcPr>
            <w:tcW w:w="1620" w:type="dxa"/>
            <w:vAlign w:val="bottom"/>
          </w:tcPr>
          <w:p>
            <w:pPr>
              <w:spacing w:after="0"/>
              <w:rPr>
                <w:sz w:val="23"/>
                <w:szCs w:val="23"/>
                <w:color w:val="auto"/>
              </w:rPr>
            </w:pPr>
          </w:p>
        </w:tc>
        <w:tc>
          <w:tcPr>
            <w:tcW w:w="2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78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1620" w:type="dxa"/>
            <w:vAlign w:val="bottom"/>
          </w:tcPr>
          <w:p>
            <w:pPr>
              <w:spacing w:after="0"/>
              <w:rPr>
                <w:sz w:val="23"/>
                <w:szCs w:val="23"/>
                <w:color w:val="auto"/>
              </w:rPr>
            </w:pPr>
          </w:p>
        </w:tc>
        <w:tc>
          <w:tcPr>
            <w:tcW w:w="2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78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1620" w:type="dxa"/>
            <w:vAlign w:val="bottom"/>
          </w:tcPr>
          <w:p>
            <w:pPr>
              <w:spacing w:after="0"/>
              <w:rPr>
                <w:sz w:val="23"/>
                <w:szCs w:val="23"/>
                <w:color w:val="auto"/>
              </w:rPr>
            </w:pPr>
          </w:p>
        </w:tc>
        <w:tc>
          <w:tcPr>
            <w:tcW w:w="2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780" w:type="dxa"/>
            <w:vAlign w:val="bottom"/>
          </w:tcPr>
          <w:p>
            <w:pPr>
              <w:spacing w:after="0"/>
              <w:rPr>
                <w:sz w:val="20"/>
                <w:szCs w:val="20"/>
                <w:color w:val="auto"/>
              </w:rPr>
            </w:pPr>
            <w:r>
              <w:rPr>
                <w:rFonts w:ascii="Arial" w:cs="Arial" w:eastAsia="Arial" w:hAnsi="Arial"/>
                <w:sz w:val="18"/>
                <w:szCs w:val="18"/>
                <w:color w:val="auto"/>
              </w:rPr>
              <w:t>Miscellaneous</w:t>
            </w:r>
          </w:p>
        </w:tc>
        <w:tc>
          <w:tcPr>
            <w:tcW w:w="1620" w:type="dxa"/>
            <w:vAlign w:val="bottom"/>
          </w:tcPr>
          <w:p>
            <w:pPr>
              <w:spacing w:after="0"/>
              <w:rPr>
                <w:sz w:val="23"/>
                <w:szCs w:val="23"/>
                <w:color w:val="auto"/>
              </w:rPr>
            </w:pPr>
          </w:p>
        </w:tc>
        <w:tc>
          <w:tcPr>
            <w:tcW w:w="2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8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6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80" w:type="dxa"/>
            <w:vAlign w:val="bottom"/>
            <w:vMerge w:val="continue"/>
          </w:tcPr>
          <w:p>
            <w:pPr>
              <w:spacing w:after="0"/>
              <w:rPr>
                <w:sz w:val="20"/>
                <w:szCs w:val="20"/>
                <w:color w:val="auto"/>
              </w:rPr>
            </w:pPr>
          </w:p>
        </w:tc>
        <w:tc>
          <w:tcPr>
            <w:tcW w:w="1620" w:type="dxa"/>
            <w:vAlign w:val="bottom"/>
          </w:tcPr>
          <w:p>
            <w:pPr>
              <w:jc w:val="right"/>
              <w:ind w:right="1230"/>
              <w:spacing w:after="0"/>
              <w:rPr>
                <w:sz w:val="20"/>
                <w:szCs w:val="20"/>
                <w:color w:val="auto"/>
              </w:rPr>
            </w:pPr>
            <w:r>
              <w:rPr>
                <w:rFonts w:ascii="Arial" w:cs="Arial" w:eastAsia="Arial" w:hAnsi="Arial"/>
                <w:sz w:val="18"/>
                <w:szCs w:val="18"/>
                <w:color w:val="auto"/>
              </w:rPr>
              <w:t>$</w:t>
            </w:r>
          </w:p>
        </w:tc>
        <w:tc>
          <w:tcPr>
            <w:tcW w:w="2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8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67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500" w:right="80" w:hanging="6"/>
        <w:spacing w:after="0" w:line="277" w:lineRule="auto"/>
        <w:tabs>
          <w:tab w:leader="none" w:pos="788" w:val="left"/>
        </w:tabs>
        <w:numPr>
          <w:ilvl w:val="0"/>
          <w:numId w:val="26"/>
        </w:numPr>
        <w:rPr>
          <w:rFonts w:ascii="Arial" w:cs="Arial" w:eastAsia="Arial" w:hAnsi="Arial"/>
          <w:sz w:val="14"/>
          <w:szCs w:val="14"/>
          <w:color w:val="auto"/>
        </w:rPr>
      </w:pPr>
      <w:r>
        <w:rPr>
          <w:rFonts w:ascii="Arial" w:cs="Arial" w:eastAsia="Arial" w:hAnsi="Arial"/>
          <w:sz w:val="14"/>
          <w:szCs w:val="14"/>
          <w:color w:val="auto"/>
        </w:rPr>
        <w:t>In accordance with Rules 456(b) and 457(r) of the Securities Act of 1933, as amended (Securities Act), we are deferring payment of the registration fee for the securities offered. **The amount of securities and number of offerings are indeterminable and the expenses cannot be estimated at this time. An estimate of the aggregate expenses in connection with the sale and distribution of securities being offered will be included in any applicable prospectus supplement.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Indemnification of Directors and Officers.</w:t>
      </w:r>
    </w:p>
    <w:p>
      <w:pPr>
        <w:spacing w:after="0" w:line="189"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Section 145 of the Delaware General Corporation Law authorizes a court to award, or a corporation’s board of directors to grant, indemnity to directors and officers under certain circumstances and subject to certain limitations. The terms of Section 145 of the Delaware General Corporation Law are sufficiently broad to permit indemnification under certain circumstances for liabilities, including reimbursement of expenses incurred, arising under the Securities Act.</w:t>
      </w:r>
    </w:p>
    <w:p>
      <w:pPr>
        <w:spacing w:after="0" w:line="363" w:lineRule="exact"/>
        <w:rPr>
          <w:sz w:val="20"/>
          <w:szCs w:val="20"/>
          <w:color w:val="auto"/>
        </w:rPr>
      </w:pPr>
    </w:p>
    <w:p>
      <w:pPr>
        <w:ind w:right="180" w:firstLine="648"/>
        <w:spacing w:after="0" w:line="308" w:lineRule="auto"/>
        <w:rPr>
          <w:sz w:val="20"/>
          <w:szCs w:val="20"/>
          <w:color w:val="auto"/>
        </w:rPr>
      </w:pPr>
      <w:r>
        <w:rPr>
          <w:rFonts w:ascii="Arial" w:cs="Arial" w:eastAsia="Arial" w:hAnsi="Arial"/>
          <w:sz w:val="17"/>
          <w:szCs w:val="17"/>
          <w:color w:val="auto"/>
        </w:rPr>
        <w:t>As permitted by the Delaware General Corporation Law, the Registrant’s restated certificate of incorporation contains provisions that eliminate the personal liability of its directors for monetary damages for any breach of fiduciary duties as a director, except liability for the following:</w:t>
      </w:r>
    </w:p>
    <w:p>
      <w:pPr>
        <w:spacing w:after="0" w:line="106"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breach of the director’s duty of loyalty to the Registrant or its stockholders;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acts or omissions not in good faith or that involve intentional misconduct or a knowing violation of law;</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under Section 174 of the Delaware General Corporation Law (regarding unlawful dividends and stock purchases);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As permitted by the Delaware General Corporation Law, the Registrant’s amended and restated bylaws provide that:</w:t>
      </w:r>
    </w:p>
    <w:p>
      <w:pPr>
        <w:spacing w:after="0" w:line="184"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 is required to indemnify its directors and executive officers to the fullest extent permitted by the Delaware General Corporation Law, subject to very limited exceptions;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 may indemnify its other employees and agents as set forth in the Delaware General Corporation Law;</w:t>
      </w:r>
    </w:p>
    <w:p>
      <w:pPr>
        <w:spacing w:after="0" w:line="225"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 is required to advance expenses, as incurred, to its directors and executive officers in connection with a legal proceeding to the fullest extent permitted by the Delaware General Corporation Law, subject to very limited exceptions;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rights conferred in the amended and restated bylaws are not exclusive.</w:t>
      </w:r>
    </w:p>
    <w:p>
      <w:pPr>
        <w:spacing w:after="0" w:line="347"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The Registrant has entered into indemnification agreements with each of its current directors and executive officers to provide these directors and executive officers additional contractual assurances regarding the scope of the indemnification set forth in the Registrant’s restated certificate of incorporation and amended and restated bylaws and to provide additional procedural protections. There is no pending litigation or proceeding involving a director or executive officer of the Registrant for which indemnification is sought. The indemnification provisions in the Registrant’s restated certificate of incorporation, amended and restated bylaws and the indemnification agreements entered into between the Registrant and each of its directors and executive</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00"/>
          </w:cols>
          <w:pgMar w:left="240" w:top="756" w:right="259" w:bottom="1440" w:gutter="0" w:footer="0" w:header="0"/>
        </w:sectPr>
      </w:pPr>
    </w:p>
    <w:bookmarkStart w:id="20" w:name="page21"/>
    <w:bookmarkEnd w:id="20"/>
    <w:p>
      <w:pPr>
        <w:spacing w:after="0"/>
        <w:rPr>
          <w:sz w:val="20"/>
          <w:szCs w:val="20"/>
          <w:color w:val="auto"/>
        </w:rPr>
      </w:pPr>
      <w:r>
        <w:rPr>
          <w:rFonts w:ascii="Arial" w:cs="Arial" w:eastAsia="Arial" w:hAnsi="Arial"/>
          <w:sz w:val="16"/>
          <w:szCs w:val="16"/>
          <w:color w:val="auto"/>
        </w:rPr>
        <w:t>officers may be sufficiently broad to permit indemnification of the Registrant’s directors and executive officers for liabilities arising under the Securities Act.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940" w:type="dxa"/>
            <w:vAlign w:val="bottom"/>
            <w:gridSpan w:val="3"/>
          </w:tcPr>
          <w:p>
            <w:pPr>
              <w:spacing w:after="0"/>
              <w:rPr>
                <w:sz w:val="20"/>
                <w:szCs w:val="20"/>
                <w:color w:val="auto"/>
              </w:rPr>
            </w:pPr>
            <w:r>
              <w:rPr>
                <w:rFonts w:ascii="Arial" w:cs="Arial" w:eastAsia="Arial" w:hAnsi="Arial"/>
                <w:sz w:val="18"/>
                <w:szCs w:val="18"/>
                <w:b w:val="1"/>
                <w:bCs w:val="1"/>
                <w:color w:val="auto"/>
              </w:rPr>
              <w:t>Exhibit No.</w:t>
            </w:r>
          </w:p>
        </w:tc>
        <w:tc>
          <w:tcPr>
            <w:tcW w:w="9420" w:type="dxa"/>
            <w:vAlign w:val="bottom"/>
            <w:gridSpan w:val="11"/>
          </w:tcPr>
          <w:p>
            <w:pPr>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237"/>
        </w:trPr>
        <w:tc>
          <w:tcPr>
            <w:tcW w:w="360" w:type="dxa"/>
            <w:vAlign w:val="bottom"/>
            <w:gridSpan w:val="3"/>
          </w:tcPr>
          <w:p>
            <w:pPr>
              <w:ind w:left="40"/>
              <w:spacing w:after="0"/>
              <w:rPr>
                <w:sz w:val="20"/>
                <w:szCs w:val="20"/>
                <w:color w:val="auto"/>
              </w:rPr>
            </w:pPr>
            <w:r>
              <w:rPr>
                <w:rFonts w:ascii="Arial" w:cs="Arial" w:eastAsia="Arial" w:hAnsi="Arial"/>
                <w:sz w:val="18"/>
                <w:szCs w:val="18"/>
                <w:color w:val="auto"/>
                <w:w w:val="93"/>
              </w:rPr>
              <w:t>1.1*</w:t>
            </w:r>
          </w:p>
        </w:tc>
        <w:tc>
          <w:tcPr>
            <w:tcW w:w="1620" w:type="dxa"/>
            <w:vAlign w:val="bottom"/>
          </w:tcPr>
          <w:p>
            <w:pPr>
              <w:spacing w:after="0"/>
              <w:rPr>
                <w:sz w:val="20"/>
                <w:szCs w:val="20"/>
                <w:color w:val="auto"/>
              </w:rPr>
            </w:pPr>
          </w:p>
        </w:tc>
        <w:tc>
          <w:tcPr>
            <w:tcW w:w="9420" w:type="dxa"/>
            <w:vAlign w:val="bottom"/>
            <w:gridSpan w:val="11"/>
          </w:tcPr>
          <w:p>
            <w:pPr>
              <w:spacing w:after="0"/>
              <w:rPr>
                <w:sz w:val="20"/>
                <w:szCs w:val="20"/>
                <w:color w:val="auto"/>
              </w:rPr>
            </w:pPr>
            <w:r>
              <w:rPr>
                <w:rFonts w:ascii="Arial" w:cs="Arial" w:eastAsia="Arial" w:hAnsi="Arial"/>
                <w:sz w:val="18"/>
                <w:szCs w:val="18"/>
                <w:color w:val="auto"/>
              </w:rPr>
              <w:t>Form of Underwriting Agreement.</w:t>
            </w:r>
          </w:p>
        </w:tc>
      </w:tr>
      <w:tr>
        <w:trPr>
          <w:trHeight w:val="230"/>
        </w:trPr>
        <w:tc>
          <w:tcPr>
            <w:tcW w:w="260" w:type="dxa"/>
            <w:vAlign w:val="bottom"/>
            <w:gridSpan w:val="2"/>
          </w:tcPr>
          <w:p>
            <w:pPr>
              <w:ind w:left="40"/>
              <w:spacing w:after="0"/>
              <w:rPr>
                <w:rFonts w:ascii="Arial" w:cs="Arial" w:eastAsia="Arial" w:hAnsi="Arial"/>
                <w:sz w:val="18"/>
                <w:szCs w:val="18"/>
                <w:color w:val="0000FF"/>
                <w:w w:val="79"/>
              </w:rPr>
            </w:pPr>
            <w:hyperlink r:id="rId12">
              <w:r>
                <w:rPr>
                  <w:rFonts w:ascii="Arial" w:cs="Arial" w:eastAsia="Arial" w:hAnsi="Arial"/>
                  <w:sz w:val="18"/>
                  <w:szCs w:val="18"/>
                  <w:color w:val="0000FF"/>
                  <w:w w:val="79"/>
                </w:rPr>
                <w:t>3.</w:t>
              </w:r>
              <w:r>
                <w:rPr>
                  <w:rFonts w:ascii="Arial" w:cs="Arial" w:eastAsia="Arial" w:hAnsi="Arial"/>
                  <w:sz w:val="18"/>
                  <w:szCs w:val="18"/>
                  <w:u w:val="single" w:color="auto"/>
                  <w:color w:val="0000FF"/>
                  <w:w w:val="79"/>
                </w:rPr>
                <w:t>1</w:t>
              </w:r>
            </w:hyperlink>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9420" w:type="dxa"/>
            <w:vAlign w:val="bottom"/>
            <w:gridSpan w:val="11"/>
          </w:tcPr>
          <w:p>
            <w:pPr>
              <w:spacing w:after="0"/>
              <w:rPr>
                <w:rFonts w:ascii="Arial" w:cs="Arial" w:eastAsia="Arial" w:hAnsi="Arial"/>
                <w:sz w:val="18"/>
                <w:szCs w:val="18"/>
                <w:color w:val="0000FF"/>
                <w:w w:val="94"/>
              </w:rPr>
            </w:pPr>
            <w:hyperlink r:id="rId12">
              <w:r>
                <w:rPr>
                  <w:rFonts w:ascii="Arial" w:cs="Arial" w:eastAsia="Arial" w:hAnsi="Arial"/>
                  <w:sz w:val="18"/>
                  <w:szCs w:val="18"/>
                  <w:color w:val="0000FF"/>
                  <w:w w:val="94"/>
                </w:rPr>
                <w:t>Restated Certificate of Incorporation (incorporated by reference to Exhibit 3.1 of the Registrant’s Current Report on Form 8-K</w:t>
              </w:r>
            </w:hyperlink>
          </w:p>
        </w:tc>
      </w:tr>
      <w:tr>
        <w:trPr>
          <w:trHeight w:val="196"/>
        </w:trPr>
        <w:tc>
          <w:tcPr>
            <w:tcW w:w="4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08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91"/>
              </w:rPr>
            </w:pPr>
            <w:hyperlink r:id="rId12">
              <w:r>
                <w:rPr>
                  <w:rFonts w:ascii="Arial" w:cs="Arial" w:eastAsia="Arial" w:hAnsi="Arial"/>
                  <w:sz w:val="18"/>
                  <w:szCs w:val="18"/>
                  <w:color w:val="0000FF"/>
                  <w:w w:val="91"/>
                </w:rPr>
                <w:t>filed November 8, 2013 (No. 001-36156)).</w:t>
              </w:r>
            </w:hyperlink>
          </w:p>
        </w:tc>
        <w:tc>
          <w:tcPr>
            <w:tcW w:w="6040" w:type="dxa"/>
            <w:vAlign w:val="bottom"/>
            <w:tcBorders>
              <w:top w:val="single" w:sz="8" w:color="0000FF"/>
            </w:tcBorders>
            <w:gridSpan w:val="4"/>
          </w:tcPr>
          <w:p>
            <w:pPr>
              <w:spacing w:after="0"/>
              <w:rPr>
                <w:sz w:val="17"/>
                <w:szCs w:val="17"/>
                <w:color w:val="auto"/>
              </w:rPr>
            </w:pPr>
          </w:p>
        </w:tc>
        <w:tc>
          <w:tcPr>
            <w:tcW w:w="300" w:type="dxa"/>
            <w:vAlign w:val="bottom"/>
            <w:gridSpan w:val="2"/>
          </w:tcPr>
          <w:p>
            <w:pPr>
              <w:spacing w:after="0"/>
              <w:rPr>
                <w:sz w:val="17"/>
                <w:szCs w:val="17"/>
                <w:color w:val="auto"/>
              </w:rPr>
            </w:pPr>
          </w:p>
        </w:tc>
      </w:tr>
      <w:tr>
        <w:trPr>
          <w:trHeight w:val="250"/>
        </w:trPr>
        <w:tc>
          <w:tcPr>
            <w:tcW w:w="260" w:type="dxa"/>
            <w:vAlign w:val="bottom"/>
            <w:gridSpan w:val="2"/>
          </w:tcPr>
          <w:p>
            <w:pPr>
              <w:ind w:left="40"/>
              <w:spacing w:after="0"/>
              <w:rPr>
                <w:rFonts w:ascii="Arial" w:cs="Arial" w:eastAsia="Arial" w:hAnsi="Arial"/>
                <w:sz w:val="18"/>
                <w:szCs w:val="18"/>
                <w:color w:val="0000FF"/>
                <w:w w:val="79"/>
              </w:rPr>
            </w:pPr>
            <w:hyperlink r:id="rId13">
              <w:r>
                <w:rPr>
                  <w:rFonts w:ascii="Arial" w:cs="Arial" w:eastAsia="Arial" w:hAnsi="Arial"/>
                  <w:sz w:val="18"/>
                  <w:szCs w:val="18"/>
                  <w:color w:val="0000FF"/>
                  <w:w w:val="79"/>
                </w:rPr>
                <w:t>3.</w:t>
              </w:r>
              <w:r>
                <w:rPr>
                  <w:rFonts w:ascii="Arial" w:cs="Arial" w:eastAsia="Arial" w:hAnsi="Arial"/>
                  <w:sz w:val="18"/>
                  <w:szCs w:val="18"/>
                  <w:u w:val="single" w:color="auto"/>
                  <w:color w:val="0000FF"/>
                  <w:w w:val="79"/>
                </w:rPr>
                <w:t>2</w:t>
              </w:r>
            </w:hyperlink>
          </w:p>
        </w:tc>
        <w:tc>
          <w:tcPr>
            <w:tcW w:w="1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9420" w:type="dxa"/>
            <w:vAlign w:val="bottom"/>
            <w:gridSpan w:val="11"/>
          </w:tcPr>
          <w:p>
            <w:pPr>
              <w:spacing w:after="0"/>
              <w:rPr>
                <w:rFonts w:ascii="Arial" w:cs="Arial" w:eastAsia="Arial" w:hAnsi="Arial"/>
                <w:sz w:val="18"/>
                <w:szCs w:val="18"/>
                <w:color w:val="0000FF"/>
                <w:w w:val="94"/>
              </w:rPr>
            </w:pPr>
            <w:hyperlink r:id="rId13">
              <w:r>
                <w:rPr>
                  <w:rFonts w:ascii="Arial" w:cs="Arial" w:eastAsia="Arial" w:hAnsi="Arial"/>
                  <w:sz w:val="18"/>
                  <w:szCs w:val="18"/>
                  <w:color w:val="0000FF"/>
                  <w:w w:val="94"/>
                </w:rPr>
                <w:t>Amended and Restated Bylaws (incorporated by reference to Exhibit 3.2 of the Registrant’s Current Report on Form 8-K filed</w:t>
              </w:r>
            </w:hyperlink>
          </w:p>
        </w:tc>
      </w:tr>
      <w:tr>
        <w:trPr>
          <w:trHeight w:val="196"/>
        </w:trPr>
        <w:tc>
          <w:tcPr>
            <w:tcW w:w="4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9100" w:type="dxa"/>
            <w:vAlign w:val="bottom"/>
            <w:tcBorders>
              <w:top w:val="single" w:sz="8" w:color="0000FF"/>
            </w:tcBorders>
            <w:gridSpan w:val="8"/>
          </w:tcPr>
          <w:p>
            <w:pPr>
              <w:spacing w:after="0" w:line="196" w:lineRule="exact"/>
              <w:rPr>
                <w:rFonts w:ascii="Arial" w:cs="Arial" w:eastAsia="Arial" w:hAnsi="Arial"/>
                <w:sz w:val="18"/>
                <w:szCs w:val="18"/>
                <w:color w:val="0000FF"/>
              </w:rPr>
            </w:pPr>
            <w:hyperlink r:id="rId13">
              <w:r>
                <w:rPr>
                  <w:rFonts w:ascii="Arial" w:cs="Arial" w:eastAsia="Arial" w:hAnsi="Arial"/>
                  <w:sz w:val="18"/>
                  <w:szCs w:val="18"/>
                  <w:color w:val="0000FF"/>
                </w:rPr>
                <w:t>November 8, 2013 (No. 001-36156)).</w:t>
              </w:r>
            </w:hyperlink>
          </w:p>
        </w:tc>
        <w:tc>
          <w:tcPr>
            <w:tcW w:w="320" w:type="dxa"/>
            <w:vAlign w:val="bottom"/>
            <w:gridSpan w:val="3"/>
          </w:tcPr>
          <w:p>
            <w:pPr>
              <w:spacing w:after="0"/>
              <w:rPr>
                <w:sz w:val="17"/>
                <w:szCs w:val="17"/>
                <w:color w:val="auto"/>
              </w:rPr>
            </w:pPr>
          </w:p>
        </w:tc>
      </w:tr>
      <w:tr>
        <w:trPr>
          <w:trHeight w:val="250"/>
        </w:trPr>
        <w:tc>
          <w:tcPr>
            <w:tcW w:w="260" w:type="dxa"/>
            <w:vAlign w:val="bottom"/>
            <w:gridSpan w:val="2"/>
          </w:tcPr>
          <w:p>
            <w:pPr>
              <w:ind w:left="40"/>
              <w:spacing w:after="0"/>
              <w:rPr>
                <w:rFonts w:ascii="Arial" w:cs="Arial" w:eastAsia="Arial" w:hAnsi="Arial"/>
                <w:sz w:val="18"/>
                <w:szCs w:val="18"/>
                <w:color w:val="0000FF"/>
                <w:w w:val="79"/>
              </w:rPr>
            </w:pPr>
            <w:hyperlink w:anchor="page25">
              <w:r>
                <w:rPr>
                  <w:rFonts w:ascii="Arial" w:cs="Arial" w:eastAsia="Arial" w:hAnsi="Arial"/>
                  <w:sz w:val="18"/>
                  <w:szCs w:val="18"/>
                  <w:color w:val="0000FF"/>
                  <w:w w:val="79"/>
                </w:rPr>
                <w:t>4.</w:t>
              </w:r>
              <w:r>
                <w:rPr>
                  <w:rFonts w:ascii="Arial" w:cs="Arial" w:eastAsia="Arial" w:hAnsi="Arial"/>
                  <w:sz w:val="18"/>
                  <w:szCs w:val="18"/>
                  <w:u w:val="single" w:color="auto"/>
                  <w:color w:val="0000FF"/>
                  <w:w w:val="79"/>
                </w:rPr>
                <w:t>1</w:t>
              </w:r>
            </w:hyperlink>
          </w:p>
        </w:tc>
        <w:tc>
          <w:tcPr>
            <w:tcW w:w="1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700" w:type="dxa"/>
            <w:vAlign w:val="bottom"/>
            <w:tcBorders>
              <w:top w:val="single" w:sz="8" w:color="0000FF"/>
            </w:tcBorders>
            <w:gridSpan w:val="4"/>
          </w:tcPr>
          <w:p>
            <w:pPr>
              <w:spacing w:after="0"/>
              <w:rPr>
                <w:rFonts w:ascii="Arial" w:cs="Arial" w:eastAsia="Arial" w:hAnsi="Arial"/>
                <w:sz w:val="18"/>
                <w:szCs w:val="18"/>
                <w:color w:val="0000FF"/>
              </w:rPr>
            </w:pPr>
            <w:hyperlink w:anchor="page25">
              <w:r>
                <w:rPr>
                  <w:rFonts w:ascii="Arial" w:cs="Arial" w:eastAsia="Arial" w:hAnsi="Arial"/>
                  <w:sz w:val="18"/>
                  <w:szCs w:val="18"/>
                  <w:color w:val="0000FF"/>
                </w:rPr>
                <w:t>Form of Indenture.</w:t>
              </w:r>
            </w:hyperlink>
          </w:p>
        </w:tc>
        <w:tc>
          <w:tcPr>
            <w:tcW w:w="6720" w:type="dxa"/>
            <w:vAlign w:val="bottom"/>
            <w:gridSpan w:val="7"/>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91"/>
        </w:trPr>
        <w:tc>
          <w:tcPr>
            <w:tcW w:w="360" w:type="dxa"/>
            <w:vAlign w:val="bottom"/>
            <w:gridSpan w:val="3"/>
          </w:tcPr>
          <w:p>
            <w:pPr>
              <w:ind w:left="40"/>
              <w:spacing w:after="0"/>
              <w:rPr>
                <w:sz w:val="20"/>
                <w:szCs w:val="20"/>
                <w:color w:val="auto"/>
              </w:rPr>
            </w:pPr>
            <w:r>
              <w:rPr>
                <w:rFonts w:ascii="Arial" w:cs="Arial" w:eastAsia="Arial" w:hAnsi="Arial"/>
                <w:sz w:val="18"/>
                <w:szCs w:val="18"/>
                <w:color w:val="auto"/>
                <w:w w:val="93"/>
              </w:rPr>
              <w:t>4.2*</w:t>
            </w:r>
          </w:p>
        </w:tc>
        <w:tc>
          <w:tcPr>
            <w:tcW w:w="1620" w:type="dxa"/>
            <w:vAlign w:val="bottom"/>
          </w:tcPr>
          <w:p>
            <w:pPr>
              <w:spacing w:after="0"/>
              <w:rPr>
                <w:sz w:val="24"/>
                <w:szCs w:val="24"/>
                <w:color w:val="auto"/>
              </w:rPr>
            </w:pPr>
          </w:p>
        </w:tc>
        <w:tc>
          <w:tcPr>
            <w:tcW w:w="9420" w:type="dxa"/>
            <w:vAlign w:val="bottom"/>
            <w:gridSpan w:val="11"/>
          </w:tcPr>
          <w:p>
            <w:pPr>
              <w:spacing w:after="0"/>
              <w:rPr>
                <w:sz w:val="20"/>
                <w:szCs w:val="20"/>
                <w:color w:val="auto"/>
              </w:rPr>
            </w:pPr>
            <w:r>
              <w:rPr>
                <w:rFonts w:ascii="Arial" w:cs="Arial" w:eastAsia="Arial" w:hAnsi="Arial"/>
                <w:sz w:val="18"/>
                <w:szCs w:val="18"/>
                <w:color w:val="auto"/>
              </w:rPr>
              <w:t>Form of Debt Security.</w:t>
            </w:r>
          </w:p>
        </w:tc>
      </w:tr>
      <w:tr>
        <w:trPr>
          <w:trHeight w:val="270"/>
        </w:trPr>
        <w:tc>
          <w:tcPr>
            <w:tcW w:w="360" w:type="dxa"/>
            <w:vAlign w:val="bottom"/>
            <w:gridSpan w:val="3"/>
          </w:tcPr>
          <w:p>
            <w:pPr>
              <w:ind w:left="40"/>
              <w:spacing w:after="0"/>
              <w:rPr>
                <w:sz w:val="20"/>
                <w:szCs w:val="20"/>
                <w:color w:val="auto"/>
              </w:rPr>
            </w:pPr>
            <w:r>
              <w:rPr>
                <w:rFonts w:ascii="Arial" w:cs="Arial" w:eastAsia="Arial" w:hAnsi="Arial"/>
                <w:sz w:val="18"/>
                <w:szCs w:val="18"/>
                <w:color w:val="auto"/>
                <w:w w:val="93"/>
              </w:rPr>
              <w:t>4.3*</w:t>
            </w:r>
          </w:p>
        </w:tc>
        <w:tc>
          <w:tcPr>
            <w:tcW w:w="1620" w:type="dxa"/>
            <w:vAlign w:val="bottom"/>
          </w:tcPr>
          <w:p>
            <w:pPr>
              <w:spacing w:after="0"/>
              <w:rPr>
                <w:sz w:val="23"/>
                <w:szCs w:val="23"/>
                <w:color w:val="auto"/>
              </w:rPr>
            </w:pPr>
          </w:p>
        </w:tc>
        <w:tc>
          <w:tcPr>
            <w:tcW w:w="9420" w:type="dxa"/>
            <w:vAlign w:val="bottom"/>
            <w:gridSpan w:val="11"/>
          </w:tcPr>
          <w:p>
            <w:pPr>
              <w:spacing w:after="0"/>
              <w:rPr>
                <w:sz w:val="20"/>
                <w:szCs w:val="20"/>
                <w:color w:val="auto"/>
              </w:rPr>
            </w:pPr>
            <w:r>
              <w:rPr>
                <w:rFonts w:ascii="Arial" w:cs="Arial" w:eastAsia="Arial" w:hAnsi="Arial"/>
                <w:sz w:val="18"/>
                <w:szCs w:val="18"/>
                <w:color w:val="auto"/>
              </w:rPr>
              <w:t>Form of Warrant Agreement and Warrant Certificate.</w:t>
            </w:r>
          </w:p>
        </w:tc>
      </w:tr>
      <w:tr>
        <w:trPr>
          <w:trHeight w:val="270"/>
        </w:trPr>
        <w:tc>
          <w:tcPr>
            <w:tcW w:w="360" w:type="dxa"/>
            <w:vAlign w:val="bottom"/>
            <w:gridSpan w:val="3"/>
          </w:tcPr>
          <w:p>
            <w:pPr>
              <w:ind w:left="40"/>
              <w:spacing w:after="0"/>
              <w:rPr>
                <w:sz w:val="20"/>
                <w:szCs w:val="20"/>
                <w:color w:val="auto"/>
              </w:rPr>
            </w:pPr>
            <w:r>
              <w:rPr>
                <w:rFonts w:ascii="Arial" w:cs="Arial" w:eastAsia="Arial" w:hAnsi="Arial"/>
                <w:sz w:val="18"/>
                <w:szCs w:val="18"/>
                <w:color w:val="auto"/>
                <w:w w:val="93"/>
              </w:rPr>
              <w:t>4.4*</w:t>
            </w:r>
          </w:p>
        </w:tc>
        <w:tc>
          <w:tcPr>
            <w:tcW w:w="1620" w:type="dxa"/>
            <w:vAlign w:val="bottom"/>
          </w:tcPr>
          <w:p>
            <w:pPr>
              <w:spacing w:after="0"/>
              <w:rPr>
                <w:sz w:val="23"/>
                <w:szCs w:val="23"/>
                <w:color w:val="auto"/>
              </w:rPr>
            </w:pPr>
          </w:p>
        </w:tc>
        <w:tc>
          <w:tcPr>
            <w:tcW w:w="9420" w:type="dxa"/>
            <w:vAlign w:val="bottom"/>
            <w:gridSpan w:val="11"/>
          </w:tcPr>
          <w:p>
            <w:pPr>
              <w:spacing w:after="0"/>
              <w:rPr>
                <w:sz w:val="20"/>
                <w:szCs w:val="20"/>
                <w:color w:val="auto"/>
              </w:rPr>
            </w:pPr>
            <w:r>
              <w:rPr>
                <w:rFonts w:ascii="Arial" w:cs="Arial" w:eastAsia="Arial" w:hAnsi="Arial"/>
                <w:sz w:val="18"/>
                <w:szCs w:val="18"/>
                <w:color w:val="auto"/>
              </w:rPr>
              <w:t>Form of Specimen Preferred Stock Certificate.</w:t>
            </w:r>
          </w:p>
        </w:tc>
      </w:tr>
      <w:tr>
        <w:trPr>
          <w:trHeight w:val="270"/>
        </w:trPr>
        <w:tc>
          <w:tcPr>
            <w:tcW w:w="360" w:type="dxa"/>
            <w:vAlign w:val="bottom"/>
            <w:gridSpan w:val="3"/>
          </w:tcPr>
          <w:p>
            <w:pPr>
              <w:ind w:left="40"/>
              <w:spacing w:after="0"/>
              <w:rPr>
                <w:sz w:val="20"/>
                <w:szCs w:val="20"/>
                <w:color w:val="auto"/>
              </w:rPr>
            </w:pPr>
            <w:r>
              <w:rPr>
                <w:rFonts w:ascii="Arial" w:cs="Arial" w:eastAsia="Arial" w:hAnsi="Arial"/>
                <w:sz w:val="18"/>
                <w:szCs w:val="18"/>
                <w:color w:val="auto"/>
                <w:w w:val="93"/>
              </w:rPr>
              <w:t>4.5*</w:t>
            </w:r>
          </w:p>
        </w:tc>
        <w:tc>
          <w:tcPr>
            <w:tcW w:w="1620" w:type="dxa"/>
            <w:vAlign w:val="bottom"/>
          </w:tcPr>
          <w:p>
            <w:pPr>
              <w:spacing w:after="0"/>
              <w:rPr>
                <w:sz w:val="23"/>
                <w:szCs w:val="23"/>
                <w:color w:val="auto"/>
              </w:rPr>
            </w:pPr>
          </w:p>
        </w:tc>
        <w:tc>
          <w:tcPr>
            <w:tcW w:w="9420" w:type="dxa"/>
            <w:vAlign w:val="bottom"/>
            <w:gridSpan w:val="11"/>
          </w:tcPr>
          <w:p>
            <w:pPr>
              <w:spacing w:after="0"/>
              <w:rPr>
                <w:sz w:val="20"/>
                <w:szCs w:val="20"/>
                <w:color w:val="auto"/>
              </w:rPr>
            </w:pPr>
            <w:r>
              <w:rPr>
                <w:rFonts w:ascii="Arial" w:cs="Arial" w:eastAsia="Arial" w:hAnsi="Arial"/>
                <w:sz w:val="18"/>
                <w:szCs w:val="18"/>
                <w:color w:val="auto"/>
              </w:rPr>
              <w:t>Form of Subscription Rights Agreement and Subscription Rights Certificate.</w:t>
            </w:r>
          </w:p>
        </w:tc>
      </w:tr>
      <w:tr>
        <w:trPr>
          <w:trHeight w:val="270"/>
        </w:trPr>
        <w:tc>
          <w:tcPr>
            <w:tcW w:w="360" w:type="dxa"/>
            <w:vAlign w:val="bottom"/>
            <w:gridSpan w:val="3"/>
          </w:tcPr>
          <w:p>
            <w:pPr>
              <w:ind w:left="40"/>
              <w:spacing w:after="0"/>
              <w:rPr>
                <w:sz w:val="20"/>
                <w:szCs w:val="20"/>
                <w:color w:val="auto"/>
              </w:rPr>
            </w:pPr>
            <w:r>
              <w:rPr>
                <w:rFonts w:ascii="Arial" w:cs="Arial" w:eastAsia="Arial" w:hAnsi="Arial"/>
                <w:sz w:val="18"/>
                <w:szCs w:val="18"/>
                <w:color w:val="auto"/>
                <w:w w:val="93"/>
              </w:rPr>
              <w:t>4.6*</w:t>
            </w:r>
          </w:p>
        </w:tc>
        <w:tc>
          <w:tcPr>
            <w:tcW w:w="1620" w:type="dxa"/>
            <w:vAlign w:val="bottom"/>
          </w:tcPr>
          <w:p>
            <w:pPr>
              <w:spacing w:after="0"/>
              <w:rPr>
                <w:sz w:val="23"/>
                <w:szCs w:val="23"/>
                <w:color w:val="auto"/>
              </w:rPr>
            </w:pPr>
          </w:p>
        </w:tc>
        <w:tc>
          <w:tcPr>
            <w:tcW w:w="9420" w:type="dxa"/>
            <w:vAlign w:val="bottom"/>
            <w:gridSpan w:val="11"/>
          </w:tcPr>
          <w:p>
            <w:pPr>
              <w:spacing w:after="0"/>
              <w:rPr>
                <w:sz w:val="20"/>
                <w:szCs w:val="20"/>
                <w:color w:val="auto"/>
              </w:rPr>
            </w:pPr>
            <w:r>
              <w:rPr>
                <w:rFonts w:ascii="Arial" w:cs="Arial" w:eastAsia="Arial" w:hAnsi="Arial"/>
                <w:sz w:val="18"/>
                <w:szCs w:val="18"/>
                <w:color w:val="auto"/>
              </w:rPr>
              <w:t>Form of Unit Agreement and Unit Certificate.</w:t>
            </w:r>
          </w:p>
        </w:tc>
      </w:tr>
      <w:tr>
        <w:trPr>
          <w:trHeight w:val="230"/>
        </w:trPr>
        <w:tc>
          <w:tcPr>
            <w:tcW w:w="260" w:type="dxa"/>
            <w:vAlign w:val="bottom"/>
            <w:gridSpan w:val="2"/>
          </w:tcPr>
          <w:p>
            <w:pPr>
              <w:ind w:left="40"/>
              <w:spacing w:after="0"/>
              <w:rPr>
                <w:rFonts w:ascii="Arial" w:cs="Arial" w:eastAsia="Arial" w:hAnsi="Arial"/>
                <w:sz w:val="18"/>
                <w:szCs w:val="18"/>
                <w:color w:val="0000FF"/>
                <w:w w:val="79"/>
              </w:rPr>
            </w:pPr>
            <w:hyperlink r:id="rId14">
              <w:r>
                <w:rPr>
                  <w:rFonts w:ascii="Arial" w:cs="Arial" w:eastAsia="Arial" w:hAnsi="Arial"/>
                  <w:sz w:val="18"/>
                  <w:szCs w:val="18"/>
                  <w:color w:val="0000FF"/>
                  <w:w w:val="79"/>
                </w:rPr>
                <w:t>4.</w:t>
              </w:r>
              <w:r>
                <w:rPr>
                  <w:rFonts w:ascii="Arial" w:cs="Arial" w:eastAsia="Arial" w:hAnsi="Arial"/>
                  <w:sz w:val="18"/>
                  <w:szCs w:val="18"/>
                  <w:u w:val="single" w:color="auto"/>
                  <w:color w:val="0000FF"/>
                  <w:w w:val="79"/>
                </w:rPr>
                <w:t>7</w:t>
              </w:r>
            </w:hyperlink>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9420" w:type="dxa"/>
            <w:vAlign w:val="bottom"/>
            <w:gridSpan w:val="11"/>
          </w:tcPr>
          <w:p>
            <w:pPr>
              <w:spacing w:after="0"/>
              <w:rPr>
                <w:rFonts w:ascii="Arial" w:cs="Arial" w:eastAsia="Arial" w:hAnsi="Arial"/>
                <w:sz w:val="18"/>
                <w:szCs w:val="18"/>
                <w:color w:val="0000FF"/>
                <w:w w:val="91"/>
              </w:rPr>
            </w:pPr>
            <w:hyperlink r:id="rId14">
              <w:r>
                <w:rPr>
                  <w:rFonts w:ascii="Arial" w:cs="Arial" w:eastAsia="Arial" w:hAnsi="Arial"/>
                  <w:sz w:val="18"/>
                  <w:szCs w:val="18"/>
                  <w:color w:val="0000FF"/>
                  <w:w w:val="91"/>
                </w:rPr>
                <w:t>Specimen Common Stock Certificate (incorporated by reference to Exhibit 4.1 to the Registrant’s Registration Statement on Form</w:t>
              </w:r>
            </w:hyperlink>
          </w:p>
        </w:tc>
      </w:tr>
      <w:tr>
        <w:trPr>
          <w:trHeight w:val="196"/>
        </w:trPr>
        <w:tc>
          <w:tcPr>
            <w:tcW w:w="4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9380" w:type="dxa"/>
            <w:vAlign w:val="bottom"/>
            <w:tcBorders>
              <w:top w:val="single" w:sz="8" w:color="0000FF"/>
            </w:tcBorders>
            <w:gridSpan w:val="10"/>
          </w:tcPr>
          <w:p>
            <w:pPr>
              <w:spacing w:after="0" w:line="196" w:lineRule="exact"/>
              <w:rPr>
                <w:rFonts w:ascii="Arial" w:cs="Arial" w:eastAsia="Arial" w:hAnsi="Arial"/>
                <w:sz w:val="18"/>
                <w:szCs w:val="18"/>
                <w:color w:val="0000FF"/>
              </w:rPr>
            </w:pPr>
            <w:hyperlink r:id="rId14">
              <w:r>
                <w:rPr>
                  <w:rFonts w:ascii="Arial" w:cs="Arial" w:eastAsia="Arial" w:hAnsi="Arial"/>
                  <w:sz w:val="18"/>
                  <w:szCs w:val="18"/>
                  <w:color w:val="0000FF"/>
                </w:rPr>
                <w:t>S-1/A (File No. 333-191282)).</w:t>
              </w:r>
            </w:hyperlink>
          </w:p>
        </w:tc>
        <w:tc>
          <w:tcPr>
            <w:tcW w:w="40" w:type="dxa"/>
            <w:vAlign w:val="bottom"/>
          </w:tcPr>
          <w:p>
            <w:pPr>
              <w:spacing w:after="0"/>
              <w:rPr>
                <w:sz w:val="17"/>
                <w:szCs w:val="17"/>
                <w:color w:val="auto"/>
              </w:rPr>
            </w:pPr>
          </w:p>
        </w:tc>
      </w:tr>
      <w:tr>
        <w:trPr>
          <w:trHeight w:val="20"/>
        </w:trPr>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20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60" w:type="dxa"/>
            <w:vAlign w:val="bottom"/>
            <w:gridSpan w:val="4"/>
          </w:tcPr>
          <w:p>
            <w:pPr>
              <w:spacing w:after="0" w:line="20" w:lineRule="exact"/>
              <w:rPr>
                <w:sz w:val="1"/>
                <w:szCs w:val="1"/>
                <w:color w:val="auto"/>
              </w:rPr>
            </w:pPr>
          </w:p>
        </w:tc>
      </w:tr>
      <w:tr>
        <w:trPr>
          <w:trHeight w:val="250"/>
        </w:trPr>
        <w:tc>
          <w:tcPr>
            <w:tcW w:w="260" w:type="dxa"/>
            <w:vAlign w:val="bottom"/>
            <w:gridSpan w:val="2"/>
          </w:tcPr>
          <w:p>
            <w:pPr>
              <w:ind w:left="40"/>
              <w:spacing w:after="0"/>
              <w:rPr>
                <w:rFonts w:ascii="Arial" w:cs="Arial" w:eastAsia="Arial" w:hAnsi="Arial"/>
                <w:sz w:val="18"/>
                <w:szCs w:val="18"/>
                <w:color w:val="0000FF"/>
                <w:w w:val="79"/>
              </w:rPr>
            </w:pPr>
            <w:hyperlink w:anchor="page88">
              <w:r>
                <w:rPr>
                  <w:rFonts w:ascii="Arial" w:cs="Arial" w:eastAsia="Arial" w:hAnsi="Arial"/>
                  <w:sz w:val="18"/>
                  <w:szCs w:val="18"/>
                  <w:color w:val="0000FF"/>
                  <w:w w:val="79"/>
                </w:rPr>
                <w:t>5.</w:t>
              </w:r>
              <w:r>
                <w:rPr>
                  <w:rFonts w:ascii="Arial" w:cs="Arial" w:eastAsia="Arial" w:hAnsi="Arial"/>
                  <w:sz w:val="18"/>
                  <w:szCs w:val="18"/>
                  <w:u w:val="single" w:color="auto"/>
                  <w:color w:val="0000FF"/>
                  <w:w w:val="79"/>
                </w:rPr>
                <w:t>1</w:t>
              </w:r>
            </w:hyperlink>
          </w:p>
        </w:tc>
        <w:tc>
          <w:tcPr>
            <w:tcW w:w="1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9420" w:type="dxa"/>
            <w:vAlign w:val="bottom"/>
            <w:gridSpan w:val="11"/>
          </w:tcPr>
          <w:p>
            <w:pPr>
              <w:spacing w:after="0"/>
              <w:rPr>
                <w:rFonts w:ascii="Arial" w:cs="Arial" w:eastAsia="Arial" w:hAnsi="Arial"/>
                <w:sz w:val="18"/>
                <w:szCs w:val="18"/>
                <w:color w:val="0000FF"/>
              </w:rPr>
            </w:pPr>
            <w:hyperlink w:anchor="page88">
              <w:r>
                <w:rPr>
                  <w:rFonts w:ascii="Arial" w:cs="Arial" w:eastAsia="Arial" w:hAnsi="Arial"/>
                  <w:sz w:val="18"/>
                  <w:szCs w:val="18"/>
                  <w:color w:val="0000FF"/>
                </w:rPr>
                <w:t>Opinion of Fenwick &amp; West LLP.</w:t>
              </w:r>
            </w:hyperlink>
          </w:p>
        </w:tc>
      </w:tr>
      <w:tr>
        <w:trPr>
          <w:trHeight w:val="20"/>
        </w:trPr>
        <w:tc>
          <w:tcPr>
            <w:tcW w:w="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420" w:type="dxa"/>
            <w:vAlign w:val="bottom"/>
            <w:gridSpan w:val="3"/>
            <w:shd w:val="clear" w:color="auto" w:fill="0000FF"/>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60" w:type="dxa"/>
            <w:vAlign w:val="bottom"/>
            <w:gridSpan w:val="4"/>
          </w:tcPr>
          <w:p>
            <w:pPr>
              <w:spacing w:after="0" w:line="20" w:lineRule="exact"/>
              <w:rPr>
                <w:sz w:val="1"/>
                <w:szCs w:val="1"/>
                <w:color w:val="auto"/>
              </w:rPr>
            </w:pPr>
          </w:p>
        </w:tc>
      </w:tr>
      <w:tr>
        <w:trPr>
          <w:trHeight w:val="250"/>
        </w:trPr>
        <w:tc>
          <w:tcPr>
            <w:tcW w:w="360" w:type="dxa"/>
            <w:vAlign w:val="bottom"/>
            <w:gridSpan w:val="3"/>
          </w:tcPr>
          <w:p>
            <w:pPr>
              <w:ind w:left="40"/>
              <w:spacing w:after="0"/>
              <w:rPr>
                <w:rFonts w:ascii="Arial" w:cs="Arial" w:eastAsia="Arial" w:hAnsi="Arial"/>
                <w:sz w:val="18"/>
                <w:szCs w:val="18"/>
                <w:color w:val="0000FF"/>
                <w:w w:val="85"/>
              </w:rPr>
            </w:pPr>
            <w:hyperlink w:anchor="page88">
              <w:r>
                <w:rPr>
                  <w:rFonts w:ascii="Arial" w:cs="Arial" w:eastAsia="Arial" w:hAnsi="Arial"/>
                  <w:sz w:val="18"/>
                  <w:szCs w:val="18"/>
                  <w:color w:val="0000FF"/>
                  <w:w w:val="85"/>
                </w:rPr>
                <w:t>23.</w:t>
              </w:r>
              <w:r>
                <w:rPr>
                  <w:rFonts w:ascii="Arial" w:cs="Arial" w:eastAsia="Arial" w:hAnsi="Arial"/>
                  <w:sz w:val="18"/>
                  <w:szCs w:val="18"/>
                  <w:u w:val="single" w:color="auto"/>
                  <w:color w:val="0000FF"/>
                  <w:w w:val="85"/>
                </w:rPr>
                <w:t>1</w:t>
              </w:r>
            </w:hyperlink>
          </w:p>
        </w:tc>
        <w:tc>
          <w:tcPr>
            <w:tcW w:w="1620" w:type="dxa"/>
            <w:vAlign w:val="bottom"/>
          </w:tcPr>
          <w:p>
            <w:pPr>
              <w:spacing w:after="0"/>
              <w:rPr>
                <w:sz w:val="21"/>
                <w:szCs w:val="21"/>
                <w:color w:val="auto"/>
              </w:rPr>
            </w:pPr>
          </w:p>
        </w:tc>
        <w:tc>
          <w:tcPr>
            <w:tcW w:w="9420" w:type="dxa"/>
            <w:vAlign w:val="bottom"/>
            <w:gridSpan w:val="11"/>
          </w:tcPr>
          <w:p>
            <w:pPr>
              <w:spacing w:after="0"/>
              <w:rPr>
                <w:rFonts w:ascii="Arial" w:cs="Arial" w:eastAsia="Arial" w:hAnsi="Arial"/>
                <w:sz w:val="18"/>
                <w:szCs w:val="18"/>
                <w:color w:val="0000FF"/>
              </w:rPr>
            </w:pPr>
            <w:hyperlink w:anchor="page88">
              <w:r>
                <w:rPr>
                  <w:rFonts w:ascii="Arial" w:cs="Arial" w:eastAsia="Arial" w:hAnsi="Arial"/>
                  <w:sz w:val="18"/>
                  <w:szCs w:val="18"/>
                  <w:color w:val="0000FF"/>
                </w:rPr>
                <w:t>Consent of Fenwick &amp; West LLP (included in Exhibit 5.1).</w:t>
              </w:r>
            </w:hyperlink>
          </w:p>
        </w:tc>
      </w:tr>
      <w:tr>
        <w:trPr>
          <w:trHeight w:val="20"/>
        </w:trPr>
        <w:tc>
          <w:tcPr>
            <w:tcW w:w="4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240" w:type="dxa"/>
            <w:vAlign w:val="bottom"/>
            <w:gridSpan w:val="6"/>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5060" w:type="dxa"/>
            <w:vAlign w:val="bottom"/>
            <w:gridSpan w:val="4"/>
          </w:tcPr>
          <w:p>
            <w:pPr>
              <w:spacing w:after="0" w:line="20" w:lineRule="exact"/>
              <w:rPr>
                <w:sz w:val="1"/>
                <w:szCs w:val="1"/>
                <w:color w:val="auto"/>
              </w:rPr>
            </w:pPr>
          </w:p>
        </w:tc>
      </w:tr>
      <w:tr>
        <w:trPr>
          <w:trHeight w:val="250"/>
        </w:trPr>
        <w:tc>
          <w:tcPr>
            <w:tcW w:w="360" w:type="dxa"/>
            <w:vAlign w:val="bottom"/>
            <w:gridSpan w:val="3"/>
          </w:tcPr>
          <w:p>
            <w:pPr>
              <w:ind w:left="40"/>
              <w:spacing w:after="0"/>
              <w:rPr>
                <w:rFonts w:ascii="Arial" w:cs="Arial" w:eastAsia="Arial" w:hAnsi="Arial"/>
                <w:sz w:val="18"/>
                <w:szCs w:val="18"/>
                <w:color w:val="0000FF"/>
                <w:w w:val="85"/>
              </w:rPr>
            </w:pPr>
            <w:hyperlink w:anchor="page94">
              <w:r>
                <w:rPr>
                  <w:rFonts w:ascii="Arial" w:cs="Arial" w:eastAsia="Arial" w:hAnsi="Arial"/>
                  <w:sz w:val="18"/>
                  <w:szCs w:val="18"/>
                  <w:color w:val="0000FF"/>
                  <w:w w:val="85"/>
                </w:rPr>
                <w:t>23.</w:t>
              </w:r>
              <w:r>
                <w:rPr>
                  <w:rFonts w:ascii="Arial" w:cs="Arial" w:eastAsia="Arial" w:hAnsi="Arial"/>
                  <w:sz w:val="18"/>
                  <w:szCs w:val="18"/>
                  <w:u w:val="single" w:color="auto"/>
                  <w:color w:val="0000FF"/>
                  <w:w w:val="85"/>
                </w:rPr>
                <w:t>2</w:t>
              </w:r>
            </w:hyperlink>
          </w:p>
        </w:tc>
        <w:tc>
          <w:tcPr>
            <w:tcW w:w="1620" w:type="dxa"/>
            <w:vAlign w:val="bottom"/>
          </w:tcPr>
          <w:p>
            <w:pPr>
              <w:spacing w:after="0"/>
              <w:rPr>
                <w:sz w:val="21"/>
                <w:szCs w:val="21"/>
                <w:color w:val="auto"/>
              </w:rPr>
            </w:pPr>
          </w:p>
        </w:tc>
        <w:tc>
          <w:tcPr>
            <w:tcW w:w="9420" w:type="dxa"/>
            <w:vAlign w:val="bottom"/>
            <w:gridSpan w:val="11"/>
          </w:tcPr>
          <w:p>
            <w:pPr>
              <w:spacing w:after="0"/>
              <w:rPr>
                <w:rFonts w:ascii="Arial" w:cs="Arial" w:eastAsia="Arial" w:hAnsi="Arial"/>
                <w:sz w:val="18"/>
                <w:szCs w:val="18"/>
                <w:color w:val="0000FF"/>
              </w:rPr>
            </w:pPr>
            <w:hyperlink w:anchor="page94">
              <w:r>
                <w:rPr>
                  <w:rFonts w:ascii="Arial" w:cs="Arial" w:eastAsia="Arial" w:hAnsi="Arial"/>
                  <w:sz w:val="18"/>
                  <w:szCs w:val="18"/>
                  <w:color w:val="0000FF"/>
                </w:rPr>
                <w:t>Consent of Independent Registered Public Accounting Firm.</w:t>
              </w:r>
            </w:hyperlink>
          </w:p>
        </w:tc>
      </w:tr>
      <w:tr>
        <w:trPr>
          <w:trHeight w:val="20"/>
        </w:trPr>
        <w:tc>
          <w:tcPr>
            <w:tcW w:w="4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240" w:type="dxa"/>
            <w:vAlign w:val="bottom"/>
            <w:gridSpan w:val="6"/>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5060" w:type="dxa"/>
            <w:vAlign w:val="bottom"/>
            <w:gridSpan w:val="4"/>
          </w:tcPr>
          <w:p>
            <w:pPr>
              <w:spacing w:after="0" w:line="20" w:lineRule="exact"/>
              <w:rPr>
                <w:sz w:val="1"/>
                <w:szCs w:val="1"/>
                <w:color w:val="auto"/>
              </w:rPr>
            </w:pPr>
          </w:p>
        </w:tc>
      </w:tr>
      <w:tr>
        <w:trPr>
          <w:trHeight w:val="250"/>
        </w:trPr>
        <w:tc>
          <w:tcPr>
            <w:tcW w:w="360" w:type="dxa"/>
            <w:vAlign w:val="bottom"/>
            <w:gridSpan w:val="3"/>
          </w:tcPr>
          <w:p>
            <w:pPr>
              <w:ind w:left="40"/>
              <w:spacing w:after="0"/>
              <w:rPr>
                <w:rFonts w:ascii="Arial" w:cs="Arial" w:eastAsia="Arial" w:hAnsi="Arial"/>
                <w:sz w:val="18"/>
                <w:szCs w:val="18"/>
                <w:color w:val="0000EE"/>
                <w:w w:val="85"/>
              </w:rPr>
            </w:pPr>
            <w:hyperlink w:anchor="page24">
              <w:r>
                <w:rPr>
                  <w:rFonts w:ascii="Arial" w:cs="Arial" w:eastAsia="Arial" w:hAnsi="Arial"/>
                  <w:sz w:val="18"/>
                  <w:szCs w:val="18"/>
                  <w:color w:val="0000EE"/>
                  <w:w w:val="85"/>
                </w:rPr>
                <w:t>24.</w:t>
              </w:r>
              <w:r>
                <w:rPr>
                  <w:rFonts w:ascii="Arial" w:cs="Arial" w:eastAsia="Arial" w:hAnsi="Arial"/>
                  <w:sz w:val="18"/>
                  <w:szCs w:val="18"/>
                  <w:u w:val="single" w:color="auto"/>
                  <w:color w:val="0000EE"/>
                  <w:w w:val="85"/>
                </w:rPr>
                <w:t>1</w:t>
              </w:r>
            </w:hyperlink>
          </w:p>
        </w:tc>
        <w:tc>
          <w:tcPr>
            <w:tcW w:w="1620" w:type="dxa"/>
            <w:vAlign w:val="bottom"/>
          </w:tcPr>
          <w:p>
            <w:pPr>
              <w:spacing w:after="0"/>
              <w:rPr>
                <w:sz w:val="21"/>
                <w:szCs w:val="21"/>
                <w:color w:val="auto"/>
              </w:rPr>
            </w:pPr>
          </w:p>
        </w:tc>
        <w:tc>
          <w:tcPr>
            <w:tcW w:w="9420" w:type="dxa"/>
            <w:vAlign w:val="bottom"/>
            <w:gridSpan w:val="11"/>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Power of Attorney (included on the signature page hereto).</w:t>
              </w:r>
            </w:hyperlink>
          </w:p>
        </w:tc>
      </w:tr>
      <w:tr>
        <w:trPr>
          <w:trHeight w:val="20"/>
        </w:trPr>
        <w:tc>
          <w:tcPr>
            <w:tcW w:w="4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240" w:type="dxa"/>
            <w:vAlign w:val="bottom"/>
            <w:gridSpan w:val="6"/>
            <w:shd w:val="clear" w:color="auto" w:fill="0000EE"/>
          </w:tcPr>
          <w:p>
            <w:pPr>
              <w:spacing w:after="0" w:line="20" w:lineRule="exact"/>
              <w:rPr>
                <w:sz w:val="1"/>
                <w:szCs w:val="1"/>
                <w:color w:val="auto"/>
              </w:rPr>
            </w:pPr>
          </w:p>
        </w:tc>
        <w:tc>
          <w:tcPr>
            <w:tcW w:w="5180" w:type="dxa"/>
            <w:vAlign w:val="bottom"/>
            <w:gridSpan w:val="5"/>
          </w:tcPr>
          <w:p>
            <w:pPr>
              <w:spacing w:after="0" w:line="20" w:lineRule="exact"/>
              <w:rPr>
                <w:sz w:val="1"/>
                <w:szCs w:val="1"/>
                <w:color w:val="auto"/>
              </w:rPr>
            </w:pPr>
          </w:p>
        </w:tc>
      </w:tr>
      <w:tr>
        <w:trPr>
          <w:trHeight w:val="291"/>
        </w:trPr>
        <w:tc>
          <w:tcPr>
            <w:tcW w:w="1980" w:type="dxa"/>
            <w:vAlign w:val="bottom"/>
            <w:gridSpan w:val="4"/>
          </w:tcPr>
          <w:p>
            <w:pPr>
              <w:ind w:left="40"/>
              <w:spacing w:after="0"/>
              <w:rPr>
                <w:sz w:val="20"/>
                <w:szCs w:val="20"/>
                <w:color w:val="auto"/>
              </w:rPr>
            </w:pPr>
            <w:r>
              <w:rPr>
                <w:rFonts w:ascii="Arial" w:cs="Arial" w:eastAsia="Arial" w:hAnsi="Arial"/>
                <w:sz w:val="18"/>
                <w:szCs w:val="18"/>
                <w:color w:val="auto"/>
              </w:rPr>
              <w:t>25.1+</w:t>
            </w:r>
          </w:p>
        </w:tc>
        <w:tc>
          <w:tcPr>
            <w:tcW w:w="9420" w:type="dxa"/>
            <w:vAlign w:val="bottom"/>
            <w:gridSpan w:val="11"/>
          </w:tcPr>
          <w:p>
            <w:pPr>
              <w:spacing w:after="0"/>
              <w:rPr>
                <w:sz w:val="20"/>
                <w:szCs w:val="20"/>
                <w:color w:val="auto"/>
              </w:rPr>
            </w:pPr>
            <w:r>
              <w:rPr>
                <w:rFonts w:ascii="Arial" w:cs="Arial" w:eastAsia="Arial" w:hAnsi="Arial"/>
                <w:sz w:val="18"/>
                <w:szCs w:val="18"/>
                <w:color w:val="auto"/>
              </w:rPr>
              <w:t>Form T-1 Statement of Eligibility of Trustee under the Trust Indenture Act of 1939.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5356225</wp:posOffset>
            </wp:positionH>
            <wp:positionV relativeFrom="paragraph">
              <wp:posOffset>308610</wp:posOffset>
            </wp:positionV>
            <wp:extent cx="1828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182880" cy="889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right="700" w:firstLine="8"/>
        <w:spacing w:after="0" w:line="273" w:lineRule="auto"/>
        <w:tabs>
          <w:tab w:leader="none" w:pos="108" w:val="left"/>
        </w:tabs>
        <w:numPr>
          <w:ilvl w:val="0"/>
          <w:numId w:val="28"/>
        </w:numPr>
        <w:rPr>
          <w:rFonts w:ascii="Arial" w:cs="Arial" w:eastAsia="Arial" w:hAnsi="Arial"/>
          <w:sz w:val="14"/>
          <w:szCs w:val="14"/>
          <w:color w:val="auto"/>
        </w:rPr>
      </w:pPr>
      <w:r>
        <w:rPr>
          <w:rFonts w:ascii="Arial" w:cs="Arial" w:eastAsia="Arial" w:hAnsi="Arial"/>
          <w:sz w:val="14"/>
          <w:szCs w:val="14"/>
          <w:color w:val="auto"/>
        </w:rPr>
        <w:t>To be filed by amendment or pursuant to a report to be filed pursuant to Section 13 or 15(d) of the Securities Exchange Act of 1934, if applicable, and incorporated herein by reference. + To be filed in accordance with the requirements of Section 305(b)(2) of the Trust Indenture Act of 1939 and Rule 5b-3 thereunder.</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undersigned Registrant hereby undertakes:</w:t>
      </w:r>
    </w:p>
    <w:p>
      <w:pPr>
        <w:spacing w:after="0" w:line="117" w:lineRule="exact"/>
        <w:rPr>
          <w:sz w:val="20"/>
          <w:szCs w:val="20"/>
          <w:color w:val="auto"/>
        </w:rPr>
      </w:pPr>
    </w:p>
    <w:p>
      <w:pPr>
        <w:ind w:left="1040" w:hanging="384"/>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17" w:lineRule="exact"/>
        <w:rPr>
          <w:rFonts w:ascii="Arial" w:cs="Arial" w:eastAsia="Arial" w:hAnsi="Arial"/>
          <w:sz w:val="18"/>
          <w:szCs w:val="18"/>
          <w:color w:val="auto"/>
        </w:rPr>
      </w:pPr>
    </w:p>
    <w:p>
      <w:pPr>
        <w:ind w:left="1660" w:hanging="355"/>
        <w:spacing w:after="0"/>
        <w:tabs>
          <w:tab w:leader="none" w:pos="16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117" w:lineRule="exact"/>
        <w:rPr>
          <w:rFonts w:ascii="Arial" w:cs="Arial" w:eastAsia="Arial" w:hAnsi="Arial"/>
          <w:sz w:val="18"/>
          <w:szCs w:val="18"/>
          <w:color w:val="auto"/>
        </w:rPr>
      </w:pPr>
    </w:p>
    <w:p>
      <w:pPr>
        <w:ind w:left="660" w:firstLine="645"/>
        <w:spacing w:after="0" w:line="255" w:lineRule="auto"/>
        <w:tabs>
          <w:tab w:leader="none" w:pos="1705" w:val="left"/>
        </w:tabs>
        <w:numPr>
          <w:ilvl w:val="1"/>
          <w:numId w:val="29"/>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81" w:lineRule="exact"/>
        <w:rPr>
          <w:rFonts w:ascii="Arial" w:cs="Arial" w:eastAsia="Arial" w:hAnsi="Arial"/>
          <w:sz w:val="18"/>
          <w:szCs w:val="18"/>
          <w:color w:val="auto"/>
        </w:rPr>
      </w:pPr>
    </w:p>
    <w:p>
      <w:pPr>
        <w:ind w:left="660" w:right="220" w:firstLine="645"/>
        <w:spacing w:after="0" w:line="277" w:lineRule="auto"/>
        <w:tabs>
          <w:tab w:leader="none" w:pos="1755" w:val="left"/>
        </w:tabs>
        <w:numPr>
          <w:ilvl w:val="1"/>
          <w:numId w:val="29"/>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62"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 however, that paragraphs (i), (ii) and (iii) above do not apply if the information required to be included in a post-effective amendment by</w:t>
      </w:r>
      <w:r>
        <w:rPr>
          <w:rFonts w:ascii="Arial" w:cs="Arial" w:eastAsia="Arial" w:hAnsi="Arial"/>
          <w:sz w:val="18"/>
          <w:szCs w:val="18"/>
          <w:i w:val="1"/>
          <w:iCs w:val="1"/>
          <w:color w:val="auto"/>
        </w:rPr>
        <w:t xml:space="preserve"> </w:t>
      </w:r>
      <w:r>
        <w:rPr>
          <w:rFonts w:ascii="Arial" w:cs="Arial" w:eastAsia="Arial" w:hAnsi="Arial"/>
          <w:sz w:val="18"/>
          <w:szCs w:val="18"/>
          <w:color w:val="auto"/>
        </w:rPr>
        <w:t>those paragraphs is contained in reports filed with or furnished to the Securities and Exchange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146" w:lineRule="exact"/>
        <w:rPr>
          <w:sz w:val="20"/>
          <w:szCs w:val="20"/>
          <w:color w:val="auto"/>
        </w:rPr>
      </w:pPr>
    </w:p>
    <w:p>
      <w:pPr>
        <w:ind w:firstLine="656"/>
        <w:spacing w:after="0" w:line="264" w:lineRule="auto"/>
        <w:tabs>
          <w:tab w:leader="none" w:pos="10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400"/>
          </w:cols>
          <w:pgMar w:left="240" w:top="368" w:right="259" w:bottom="1440" w:gutter="0" w:footer="0" w:header="0"/>
        </w:sectPr>
      </w:pPr>
    </w:p>
    <w:bookmarkStart w:id="21" w:name="page22"/>
    <w:bookmarkEnd w:id="21"/>
    <w:p>
      <w:pPr>
        <w:ind w:left="-20" w:right="700" w:firstLine="656"/>
        <w:spacing w:after="0" w:line="277" w:lineRule="auto"/>
        <w:tabs>
          <w:tab w:leader="none" w:pos="101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62" w:lineRule="exact"/>
        <w:rPr>
          <w:rFonts w:ascii="Arial" w:cs="Arial" w:eastAsia="Arial" w:hAnsi="Arial"/>
          <w:sz w:val="18"/>
          <w:szCs w:val="18"/>
          <w:color w:val="auto"/>
        </w:rPr>
      </w:pPr>
    </w:p>
    <w:p>
      <w:pPr>
        <w:ind w:left="1020" w:hanging="384"/>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117" w:lineRule="exact"/>
        <w:rPr>
          <w:rFonts w:ascii="Arial" w:cs="Arial" w:eastAsia="Arial" w:hAnsi="Arial"/>
          <w:sz w:val="18"/>
          <w:szCs w:val="18"/>
          <w:color w:val="auto"/>
        </w:rPr>
      </w:pPr>
    </w:p>
    <w:p>
      <w:pPr>
        <w:ind w:left="640" w:right="320" w:firstLine="645"/>
        <w:spacing w:after="0" w:line="277" w:lineRule="auto"/>
        <w:tabs>
          <w:tab w:leader="none" w:pos="1638" w:val="left"/>
        </w:tabs>
        <w:numPr>
          <w:ilvl w:val="1"/>
          <w:numId w:val="31"/>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62" w:lineRule="exact"/>
        <w:rPr>
          <w:rFonts w:ascii="Arial" w:cs="Arial" w:eastAsia="Arial" w:hAnsi="Arial"/>
          <w:sz w:val="18"/>
          <w:szCs w:val="18"/>
          <w:color w:val="auto"/>
        </w:rPr>
      </w:pPr>
    </w:p>
    <w:p>
      <w:pPr>
        <w:ind w:left="640" w:right="40" w:firstLine="645"/>
        <w:spacing w:after="0" w:line="269" w:lineRule="auto"/>
        <w:tabs>
          <w:tab w:leader="none" w:pos="1688" w:val="left"/>
        </w:tabs>
        <w:numPr>
          <w:ilvl w:val="1"/>
          <w:numId w:val="31"/>
        </w:numPr>
        <w:rPr>
          <w:rFonts w:ascii="Arial" w:cs="Arial" w:eastAsia="Arial" w:hAnsi="Arial"/>
          <w:sz w:val="17"/>
          <w:szCs w:val="17"/>
          <w:color w:val="auto"/>
        </w:rPr>
      </w:pPr>
      <w:r>
        <w:rPr>
          <w:rFonts w:ascii="Arial" w:cs="Arial" w:eastAsia="Arial" w:hAnsi="Arial"/>
          <w:sz w:val="17"/>
          <w:szCs w:val="17"/>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74" w:lineRule="exact"/>
        <w:rPr>
          <w:rFonts w:ascii="Arial" w:cs="Arial" w:eastAsia="Arial" w:hAnsi="Arial"/>
          <w:sz w:val="17"/>
          <w:szCs w:val="17"/>
          <w:color w:val="auto"/>
        </w:rPr>
      </w:pPr>
    </w:p>
    <w:p>
      <w:pPr>
        <w:ind w:left="-20" w:right="40" w:firstLine="656"/>
        <w:spacing w:after="0" w:line="257" w:lineRule="auto"/>
        <w:tabs>
          <w:tab w:leader="none" w:pos="101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80" w:lineRule="exact"/>
        <w:rPr>
          <w:rFonts w:ascii="Arial" w:cs="Arial" w:eastAsia="Arial" w:hAnsi="Arial"/>
          <w:sz w:val="18"/>
          <w:szCs w:val="18"/>
          <w:color w:val="auto"/>
        </w:rPr>
      </w:pPr>
    </w:p>
    <w:p>
      <w:pPr>
        <w:ind w:left="1620" w:hanging="335"/>
        <w:spacing w:after="0"/>
        <w:tabs>
          <w:tab w:leader="none" w:pos="1620" w:val="left"/>
        </w:tabs>
        <w:numPr>
          <w:ilvl w:val="1"/>
          <w:numId w:val="31"/>
        </w:numPr>
        <w:rPr>
          <w:rFonts w:ascii="Arial" w:cs="Arial" w:eastAsia="Arial" w:hAnsi="Arial"/>
          <w:sz w:val="16"/>
          <w:szCs w:val="16"/>
          <w:color w:val="auto"/>
        </w:rPr>
      </w:pPr>
      <w:r>
        <w:rPr>
          <w:rFonts w:ascii="Arial" w:cs="Arial" w:eastAsia="Arial" w:hAnsi="Arial"/>
          <w:sz w:val="16"/>
          <w:szCs w:val="16"/>
          <w:color w:val="auto"/>
        </w:rPr>
        <w:t>Any preliminary prospectus or prospectus of the undersigned Registrant relating to the offering required to be filed pursuant to Rule</w:t>
      </w:r>
    </w:p>
    <w:p>
      <w:pPr>
        <w:spacing w:after="0" w:line="46"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8"/>
          <w:szCs w:val="18"/>
          <w:color w:val="auto"/>
        </w:rPr>
        <w:t>424;</w:t>
      </w:r>
    </w:p>
    <w:p>
      <w:pPr>
        <w:spacing w:after="0" w:line="102" w:lineRule="exact"/>
        <w:rPr>
          <w:rFonts w:ascii="Arial" w:cs="Arial" w:eastAsia="Arial" w:hAnsi="Arial"/>
          <w:sz w:val="16"/>
          <w:szCs w:val="16"/>
          <w:color w:val="auto"/>
        </w:rPr>
      </w:pPr>
    </w:p>
    <w:p>
      <w:pPr>
        <w:ind w:left="640" w:firstLine="645"/>
        <w:spacing w:after="0" w:line="277" w:lineRule="auto"/>
        <w:tabs>
          <w:tab w:leader="none" w:pos="1678"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62" w:lineRule="exact"/>
        <w:rPr>
          <w:rFonts w:ascii="Arial" w:cs="Arial" w:eastAsia="Arial" w:hAnsi="Arial"/>
          <w:sz w:val="18"/>
          <w:szCs w:val="18"/>
          <w:color w:val="auto"/>
        </w:rPr>
      </w:pPr>
    </w:p>
    <w:p>
      <w:pPr>
        <w:ind w:left="640" w:right="560" w:firstLine="645"/>
        <w:spacing w:after="0" w:line="277" w:lineRule="auto"/>
        <w:tabs>
          <w:tab w:leader="none" w:pos="1735" w:val="left"/>
        </w:tabs>
        <w:numPr>
          <w:ilvl w:val="1"/>
          <w:numId w:val="31"/>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62" w:lineRule="exact"/>
        <w:rPr>
          <w:rFonts w:ascii="Arial" w:cs="Arial" w:eastAsia="Arial" w:hAnsi="Arial"/>
          <w:sz w:val="18"/>
          <w:szCs w:val="18"/>
          <w:color w:val="auto"/>
        </w:rPr>
      </w:pPr>
    </w:p>
    <w:p>
      <w:pPr>
        <w:ind w:left="1720" w:hanging="435"/>
        <w:spacing w:after="0"/>
        <w:tabs>
          <w:tab w:leader="none" w:pos="17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117" w:lineRule="exact"/>
        <w:rPr>
          <w:rFonts w:ascii="Arial" w:cs="Arial" w:eastAsia="Arial" w:hAnsi="Arial"/>
          <w:sz w:val="18"/>
          <w:szCs w:val="18"/>
          <w:color w:val="auto"/>
        </w:rPr>
      </w:pPr>
    </w:p>
    <w:p>
      <w:pPr>
        <w:ind w:left="-20" w:right="160" w:firstLine="656"/>
        <w:spacing w:after="0" w:line="257" w:lineRule="auto"/>
        <w:tabs>
          <w:tab w:leader="none" w:pos="101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That, for the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80" w:lineRule="exact"/>
        <w:rPr>
          <w:rFonts w:ascii="Arial" w:cs="Arial" w:eastAsia="Arial" w:hAnsi="Arial"/>
          <w:sz w:val="18"/>
          <w:szCs w:val="18"/>
          <w:color w:val="auto"/>
        </w:rPr>
      </w:pPr>
    </w:p>
    <w:p>
      <w:pPr>
        <w:ind w:left="-20" w:right="40" w:firstLine="656"/>
        <w:spacing w:after="0" w:line="297" w:lineRule="auto"/>
        <w:tabs>
          <w:tab w:leader="none" w:pos="1015"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undersigned Registrant hereby undertakes to deliver or cause to be delivered with the prospectus, to each person to whom the prospectus is sent or given, the latest annual report, to security holders that is incorporated by reference in the prospectus and furnished pursuant to and meeting the requirements of Rule 14a-3 or Rule 14c-3 under the Securities Exchange Act of 1934; and, where interim financial information required to be presented by Article 3 of Regulation S-X is not set forth in the prospectus, to deliver, or cause to be delivered to each person to whom the prospectus is sent or given, the latest quarterly report that is specifically incorporated by reference in the prospectus to provide such interim financial information.</w:t>
      </w:r>
    </w:p>
    <w:p>
      <w:pPr>
        <w:spacing w:after="0" w:line="50" w:lineRule="exact"/>
        <w:rPr>
          <w:rFonts w:ascii="Arial" w:cs="Arial" w:eastAsia="Arial" w:hAnsi="Arial"/>
          <w:sz w:val="16"/>
          <w:szCs w:val="16"/>
          <w:color w:val="auto"/>
        </w:rPr>
      </w:pPr>
    </w:p>
    <w:p>
      <w:pPr>
        <w:ind w:left="-20" w:right="40" w:firstLine="656"/>
        <w:spacing w:after="0" w:line="271" w:lineRule="auto"/>
        <w:tabs>
          <w:tab w:leader="none" w:pos="1018" w:val="left"/>
        </w:tabs>
        <w:numPr>
          <w:ilvl w:val="0"/>
          <w:numId w:val="31"/>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70" w:lineRule="exact"/>
        <w:rPr>
          <w:rFonts w:ascii="Arial" w:cs="Arial" w:eastAsia="Arial" w:hAnsi="Arial"/>
          <w:sz w:val="17"/>
          <w:szCs w:val="17"/>
          <w:color w:val="auto"/>
        </w:rPr>
      </w:pPr>
    </w:p>
    <w:p>
      <w:pPr>
        <w:ind w:left="-20" w:right="680" w:firstLine="656"/>
        <w:spacing w:after="0" w:line="308" w:lineRule="auto"/>
        <w:tabs>
          <w:tab w:leader="none" w:pos="1015" w:val="left"/>
        </w:tabs>
        <w:numPr>
          <w:ilvl w:val="0"/>
          <w:numId w:val="31"/>
        </w:numPr>
        <w:rPr>
          <w:rFonts w:ascii="Arial" w:cs="Arial" w:eastAsia="Arial" w:hAnsi="Arial"/>
          <w:sz w:val="17"/>
          <w:szCs w:val="17"/>
          <w:color w:val="auto"/>
        </w:rPr>
      </w:pPr>
      <w:r>
        <w:rPr>
          <w:rFonts w:ascii="Arial" w:cs="Arial" w:eastAsia="Arial" w:hAnsi="Arial"/>
          <w:sz w:val="17"/>
          <w:szCs w:val="17"/>
          <w:color w:val="auto"/>
        </w:rPr>
        <w:t>To file an application for the purpose of determining the eligibility of the trustee to act under subsection (a) of Section 310 of the Trust Indenture Act, or the Act, in accordance with the rules and regulations prescribed by the Commission under Section 305(b)(2) of the Act.</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400"/>
          </w:cols>
          <w:pgMar w:left="260" w:top="368" w:right="239" w:bottom="1440" w:gutter="0" w:footer="0" w:header="0"/>
        </w:sectPr>
      </w:pPr>
    </w:p>
    <w:bookmarkStart w:id="22" w:name="page23"/>
    <w:bookmarkEnd w:id="22"/>
    <w:p>
      <w:pPr>
        <w:ind w:firstLine="648"/>
        <w:spacing w:after="0" w:line="279" w:lineRule="auto"/>
        <w:rPr>
          <w:sz w:val="20"/>
          <w:szCs w:val="20"/>
          <w:color w:val="auto"/>
        </w:rPr>
      </w:pPr>
      <w:r>
        <w:rPr>
          <w:rFonts w:ascii="Arial" w:cs="Arial" w:eastAsia="Arial" w:hAnsi="Arial"/>
          <w:sz w:val="17"/>
          <w:szCs w:val="17"/>
          <w:color w:val="auto"/>
        </w:rPr>
        <w:t>The undersigned Registrant hereby undertakes to supplement the prospectus, after the expiration of the subscription period (if any), to set forth the results of the subscription offer, the transactions by the underwriters during the subscription period, the amount of unsubscribed securities to be purchased by the underwriters, and the terms of any subsequent reoffering thereof. If any public offering by the underwriters is to be made on terms differing from those set forth on the cover page of the prospectus, a post-effective amendment will be filed to set forth the terms of such offering.</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380"/>
          </w:cols>
          <w:pgMar w:left="240" w:top="368" w:right="279"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7"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South San Francisco, State of California, on this 1st day of May, 2019.</w:t>
      </w:r>
    </w:p>
    <w:p>
      <w:pPr>
        <w:spacing w:after="0" w:line="200" w:lineRule="exact"/>
        <w:rPr>
          <w:sz w:val="20"/>
          <w:szCs w:val="20"/>
          <w:color w:val="auto"/>
        </w:rPr>
      </w:pPr>
    </w:p>
    <w:p>
      <w:pPr>
        <w:spacing w:after="0" w:line="202"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VERACYTE, INC.</w:t>
      </w:r>
    </w:p>
    <w:p>
      <w:pPr>
        <w:spacing w:after="0" w:line="67" w:lineRule="exact"/>
        <w:rPr>
          <w:sz w:val="20"/>
          <w:szCs w:val="20"/>
          <w:color w:val="auto"/>
        </w:rPr>
      </w:pPr>
    </w:p>
    <w:p>
      <w:pPr>
        <w:ind w:left="6080"/>
        <w:spacing w:after="0"/>
        <w:tabs>
          <w:tab w:leader="none" w:pos="7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BONNIE H.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4181475</wp:posOffset>
            </wp:positionH>
            <wp:positionV relativeFrom="paragraph">
              <wp:posOffset>31750</wp:posOffset>
            </wp:positionV>
            <wp:extent cx="28727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57" w:lineRule="exact"/>
        <w:rPr>
          <w:sz w:val="20"/>
          <w:szCs w:val="20"/>
          <w:color w:val="auto"/>
        </w:rPr>
      </w:pPr>
    </w:p>
    <w:p>
      <w:pPr>
        <w:jc w:val="center"/>
        <w:ind w:left="6260"/>
        <w:spacing w:after="0"/>
        <w:rPr>
          <w:sz w:val="20"/>
          <w:szCs w:val="20"/>
          <w:color w:val="auto"/>
        </w:rPr>
      </w:pPr>
      <w:r>
        <w:rPr>
          <w:rFonts w:ascii="Arial" w:cs="Arial" w:eastAsia="Arial" w:hAnsi="Arial"/>
          <w:sz w:val="18"/>
          <w:szCs w:val="18"/>
          <w:color w:val="auto"/>
        </w:rPr>
        <w:t>Bonnie H. Anderson</w:t>
      </w:r>
    </w:p>
    <w:p>
      <w:pPr>
        <w:spacing w:after="0" w:line="23" w:lineRule="exact"/>
        <w:rPr>
          <w:sz w:val="20"/>
          <w:szCs w:val="20"/>
          <w:color w:val="auto"/>
        </w:rPr>
      </w:pPr>
    </w:p>
    <w:p>
      <w:pPr>
        <w:jc w:val="center"/>
        <w:ind w:left="626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27" w:lineRule="exact"/>
        <w:rPr>
          <w:sz w:val="20"/>
          <w:szCs w:val="20"/>
          <w:color w:val="auto"/>
        </w:rPr>
      </w:pPr>
    </w:p>
    <w:p>
      <w:pPr>
        <w:ind w:right="80" w:firstLine="648"/>
        <w:spacing w:after="0" w:line="287" w:lineRule="auto"/>
        <w:rPr>
          <w:sz w:val="20"/>
          <w:szCs w:val="20"/>
          <w:color w:val="auto"/>
        </w:rPr>
      </w:pPr>
      <w:r>
        <w:rPr>
          <w:rFonts w:ascii="Arial" w:cs="Arial" w:eastAsia="Arial" w:hAnsi="Arial"/>
          <w:sz w:val="16"/>
          <w:szCs w:val="16"/>
          <w:color w:val="auto"/>
        </w:rPr>
        <w:t>KNOW ALL PERSONS BY THESE PRESENTS, that each person whose signature appears below hereby constitutes and appoints Bonnie H. Anderson and Keith Kennedy, and each of them,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any registration statement relating to the offering covered by this Registration Statement and filed pursuant to Rule 462(b) under the Securities Act of 1933, and to file the same, with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for all intents and purposes as he or she might or could do in person, hereby ratifying and confirming all that each of said attorneys in fact and agents or their substitute or substitutes may lawfully do or cause to be done by virtue hereof.</w:t>
      </w:r>
    </w:p>
    <w:p>
      <w:pPr>
        <w:spacing w:after="0" w:line="6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9"/>
              </w:rPr>
              <w:t>Name</w:t>
            </w:r>
          </w:p>
        </w:tc>
        <w:tc>
          <w:tcPr>
            <w:tcW w:w="5660" w:type="dxa"/>
            <w:vAlign w:val="bottom"/>
          </w:tcPr>
          <w:p>
            <w:pPr>
              <w:ind w:left="2800"/>
              <w:spacing w:after="0"/>
              <w:rPr>
                <w:sz w:val="20"/>
                <w:szCs w:val="20"/>
                <w:color w:val="auto"/>
              </w:rPr>
            </w:pPr>
            <w:r>
              <w:rPr>
                <w:rFonts w:ascii="Arial" w:cs="Arial" w:eastAsia="Arial" w:hAnsi="Arial"/>
                <w:sz w:val="18"/>
                <w:szCs w:val="18"/>
                <w:b w:val="1"/>
                <w:bCs w:val="1"/>
                <w:color w:val="auto"/>
              </w:rPr>
              <w:t>Title</w:t>
            </w:r>
          </w:p>
        </w:tc>
        <w:tc>
          <w:tcPr>
            <w:tcW w:w="1580" w:type="dxa"/>
            <w:vAlign w:val="bottom"/>
          </w:tcPr>
          <w:p>
            <w:pPr>
              <w:jc w:val="center"/>
              <w:ind w:left="570"/>
              <w:spacing w:after="0"/>
              <w:rPr>
                <w:sz w:val="20"/>
                <w:szCs w:val="20"/>
                <w:color w:val="auto"/>
              </w:rPr>
            </w:pPr>
            <w:r>
              <w:rPr>
                <w:rFonts w:ascii="Arial" w:cs="Arial" w:eastAsia="Arial" w:hAnsi="Arial"/>
                <w:sz w:val="18"/>
                <w:szCs w:val="18"/>
                <w:b w:val="1"/>
                <w:bCs w:val="1"/>
                <w:color w:val="auto"/>
                <w:w w:val="92"/>
              </w:rPr>
              <w:t>Date</w:t>
            </w:r>
          </w:p>
        </w:tc>
      </w:tr>
      <w:tr>
        <w:trPr>
          <w:trHeight w:val="297"/>
        </w:trPr>
        <w:tc>
          <w:tcPr>
            <w:tcW w:w="3600" w:type="dxa"/>
            <w:vAlign w:val="bottom"/>
          </w:tcPr>
          <w:p>
            <w:pPr>
              <w:jc w:val="center"/>
              <w:spacing w:after="0"/>
              <w:rPr>
                <w:sz w:val="20"/>
                <w:szCs w:val="20"/>
                <w:color w:val="auto"/>
              </w:rPr>
            </w:pPr>
            <w:r>
              <w:rPr>
                <w:rFonts w:ascii="Arial" w:cs="Arial" w:eastAsia="Arial" w:hAnsi="Arial"/>
                <w:sz w:val="18"/>
                <w:szCs w:val="18"/>
                <w:color w:val="auto"/>
                <w:w w:val="95"/>
              </w:rPr>
              <w:t>/s/ BONNIE H. ANDERSON</w:t>
            </w:r>
          </w:p>
        </w:tc>
        <w:tc>
          <w:tcPr>
            <w:tcW w:w="5660" w:type="dxa"/>
            <w:vAlign w:val="bottom"/>
          </w:tcPr>
          <w:p>
            <w:pPr>
              <w:ind w:left="20"/>
              <w:spacing w:after="0"/>
              <w:rPr>
                <w:sz w:val="20"/>
                <w:szCs w:val="20"/>
                <w:color w:val="auto"/>
              </w:rPr>
            </w:pPr>
            <w:r>
              <w:rPr>
                <w:rFonts w:ascii="Arial" w:cs="Arial" w:eastAsia="Arial" w:hAnsi="Arial"/>
                <w:sz w:val="18"/>
                <w:szCs w:val="18"/>
                <w:color w:val="auto"/>
              </w:rPr>
              <w:t>Chairman and Chief Executive Officer (Principal Executive Officer)</w:t>
            </w:r>
          </w:p>
        </w:tc>
        <w:tc>
          <w:tcPr>
            <w:tcW w:w="1580" w:type="dxa"/>
            <w:vAlign w:val="bottom"/>
          </w:tcPr>
          <w:p>
            <w:pPr>
              <w:jc w:val="center"/>
              <w:ind w:left="570"/>
              <w:spacing w:after="0"/>
              <w:rPr>
                <w:sz w:val="20"/>
                <w:szCs w:val="20"/>
                <w:color w:val="auto"/>
              </w:rPr>
            </w:pPr>
            <w:r>
              <w:rPr>
                <w:rFonts w:ascii="Arial" w:cs="Arial" w:eastAsia="Arial" w:hAnsi="Arial"/>
                <w:sz w:val="18"/>
                <w:szCs w:val="18"/>
                <w:color w:val="auto"/>
                <w:w w:val="92"/>
              </w:rPr>
              <w:t>May 1, 2019</w:t>
            </w:r>
          </w:p>
        </w:tc>
      </w:tr>
      <w:tr>
        <w:trPr>
          <w:trHeight w:val="27"/>
        </w:trPr>
        <w:tc>
          <w:tcPr>
            <w:tcW w:w="3600" w:type="dxa"/>
            <w:vAlign w:val="bottom"/>
            <w:tcBorders>
              <w:bottom w:val="single" w:sz="8" w:color="auto"/>
            </w:tcBorders>
          </w:tcPr>
          <w:p>
            <w:pPr>
              <w:spacing w:after="0"/>
              <w:rPr>
                <w:sz w:val="2"/>
                <w:szCs w:val="2"/>
                <w:color w:val="auto"/>
              </w:rPr>
            </w:pPr>
          </w:p>
        </w:tc>
        <w:tc>
          <w:tcPr>
            <w:tcW w:w="566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37"/>
        </w:trPr>
        <w:tc>
          <w:tcPr>
            <w:tcW w:w="3600" w:type="dxa"/>
            <w:vAlign w:val="bottom"/>
          </w:tcPr>
          <w:p>
            <w:pPr>
              <w:jc w:val="center"/>
              <w:spacing w:after="0"/>
              <w:rPr>
                <w:sz w:val="20"/>
                <w:szCs w:val="20"/>
                <w:color w:val="auto"/>
              </w:rPr>
            </w:pPr>
            <w:r>
              <w:rPr>
                <w:rFonts w:ascii="Arial" w:cs="Arial" w:eastAsia="Arial" w:hAnsi="Arial"/>
                <w:sz w:val="18"/>
                <w:szCs w:val="18"/>
                <w:color w:val="auto"/>
                <w:w w:val="91"/>
              </w:rPr>
              <w:t>Bonnie H. Anderson</w:t>
            </w:r>
          </w:p>
        </w:tc>
        <w:tc>
          <w:tcPr>
            <w:tcW w:w="566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97"/>
        </w:trPr>
        <w:tc>
          <w:tcPr>
            <w:tcW w:w="3600" w:type="dxa"/>
            <w:vAlign w:val="bottom"/>
          </w:tcPr>
          <w:p>
            <w:pPr>
              <w:jc w:val="center"/>
              <w:spacing w:after="0"/>
              <w:rPr>
                <w:sz w:val="20"/>
                <w:szCs w:val="20"/>
                <w:color w:val="auto"/>
              </w:rPr>
            </w:pPr>
            <w:r>
              <w:rPr>
                <w:rFonts w:ascii="Arial" w:cs="Arial" w:eastAsia="Arial" w:hAnsi="Arial"/>
                <w:sz w:val="18"/>
                <w:szCs w:val="18"/>
                <w:color w:val="auto"/>
                <w:w w:val="99"/>
              </w:rPr>
              <w:t>/s/ KEITH KENNEDY</w:t>
            </w:r>
          </w:p>
        </w:tc>
        <w:tc>
          <w:tcPr>
            <w:tcW w:w="5660" w:type="dxa"/>
            <w:vAlign w:val="bottom"/>
          </w:tcPr>
          <w:p>
            <w:pPr>
              <w:ind w:left="20"/>
              <w:spacing w:after="0"/>
              <w:rPr>
                <w:sz w:val="20"/>
                <w:szCs w:val="20"/>
                <w:color w:val="auto"/>
              </w:rPr>
            </w:pPr>
            <w:r>
              <w:rPr>
                <w:rFonts w:ascii="Arial" w:cs="Arial" w:eastAsia="Arial" w:hAnsi="Arial"/>
                <w:sz w:val="18"/>
                <w:szCs w:val="18"/>
                <w:color w:val="auto"/>
              </w:rPr>
              <w:t>Chief Financial Officer (Principal Financial and Accounting Officer)</w:t>
            </w:r>
          </w:p>
        </w:tc>
        <w:tc>
          <w:tcPr>
            <w:tcW w:w="1580" w:type="dxa"/>
            <w:vAlign w:val="bottom"/>
          </w:tcPr>
          <w:p>
            <w:pPr>
              <w:jc w:val="center"/>
              <w:ind w:left="570"/>
              <w:spacing w:after="0"/>
              <w:rPr>
                <w:sz w:val="20"/>
                <w:szCs w:val="20"/>
                <w:color w:val="auto"/>
              </w:rPr>
            </w:pPr>
            <w:r>
              <w:rPr>
                <w:rFonts w:ascii="Arial" w:cs="Arial" w:eastAsia="Arial" w:hAnsi="Arial"/>
                <w:sz w:val="18"/>
                <w:szCs w:val="18"/>
                <w:color w:val="auto"/>
                <w:w w:val="92"/>
              </w:rPr>
              <w:t>May 1, 2019</w:t>
            </w:r>
          </w:p>
        </w:tc>
      </w:tr>
      <w:tr>
        <w:trPr>
          <w:trHeight w:val="27"/>
        </w:trPr>
        <w:tc>
          <w:tcPr>
            <w:tcW w:w="3600" w:type="dxa"/>
            <w:vAlign w:val="bottom"/>
            <w:tcBorders>
              <w:bottom w:val="single" w:sz="8" w:color="auto"/>
            </w:tcBorders>
          </w:tcPr>
          <w:p>
            <w:pPr>
              <w:spacing w:after="0"/>
              <w:rPr>
                <w:sz w:val="2"/>
                <w:szCs w:val="2"/>
                <w:color w:val="auto"/>
              </w:rPr>
            </w:pPr>
          </w:p>
        </w:tc>
        <w:tc>
          <w:tcPr>
            <w:tcW w:w="566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37"/>
        </w:trPr>
        <w:tc>
          <w:tcPr>
            <w:tcW w:w="3600" w:type="dxa"/>
            <w:vAlign w:val="bottom"/>
          </w:tcPr>
          <w:p>
            <w:pPr>
              <w:jc w:val="center"/>
              <w:spacing w:after="0"/>
              <w:rPr>
                <w:sz w:val="20"/>
                <w:szCs w:val="20"/>
                <w:color w:val="auto"/>
              </w:rPr>
            </w:pPr>
            <w:r>
              <w:rPr>
                <w:rFonts w:ascii="Arial" w:cs="Arial" w:eastAsia="Arial" w:hAnsi="Arial"/>
                <w:sz w:val="18"/>
                <w:szCs w:val="18"/>
                <w:color w:val="auto"/>
                <w:w w:val="93"/>
              </w:rPr>
              <w:t>Keith Kennedy</w:t>
            </w:r>
          </w:p>
        </w:tc>
        <w:tc>
          <w:tcPr>
            <w:tcW w:w="566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97"/>
        </w:trPr>
        <w:tc>
          <w:tcPr>
            <w:tcW w:w="3600" w:type="dxa"/>
            <w:vAlign w:val="bottom"/>
          </w:tcPr>
          <w:p>
            <w:pPr>
              <w:jc w:val="center"/>
              <w:spacing w:after="0"/>
              <w:rPr>
                <w:sz w:val="20"/>
                <w:szCs w:val="20"/>
                <w:color w:val="auto"/>
              </w:rPr>
            </w:pPr>
            <w:r>
              <w:rPr>
                <w:rFonts w:ascii="Arial" w:cs="Arial" w:eastAsia="Arial" w:hAnsi="Arial"/>
                <w:sz w:val="18"/>
                <w:szCs w:val="18"/>
                <w:color w:val="auto"/>
                <w:w w:val="93"/>
              </w:rPr>
              <w:t>/s/ JOHN L. BISHOP</w:t>
            </w:r>
          </w:p>
        </w:tc>
        <w:tc>
          <w:tcPr>
            <w:tcW w:w="5660" w:type="dxa"/>
            <w:vAlign w:val="bottom"/>
          </w:tcPr>
          <w:p>
            <w:pPr>
              <w:ind w:left="20"/>
              <w:spacing w:after="0"/>
              <w:rPr>
                <w:sz w:val="20"/>
                <w:szCs w:val="20"/>
                <w:color w:val="auto"/>
              </w:rPr>
            </w:pPr>
            <w:r>
              <w:rPr>
                <w:rFonts w:ascii="Arial" w:cs="Arial" w:eastAsia="Arial" w:hAnsi="Arial"/>
                <w:sz w:val="18"/>
                <w:szCs w:val="18"/>
                <w:color w:val="auto"/>
              </w:rPr>
              <w:t>Lead Independent Director</w:t>
            </w:r>
          </w:p>
        </w:tc>
        <w:tc>
          <w:tcPr>
            <w:tcW w:w="1580" w:type="dxa"/>
            <w:vAlign w:val="bottom"/>
          </w:tcPr>
          <w:p>
            <w:pPr>
              <w:jc w:val="center"/>
              <w:ind w:left="570"/>
              <w:spacing w:after="0"/>
              <w:rPr>
                <w:sz w:val="20"/>
                <w:szCs w:val="20"/>
                <w:color w:val="auto"/>
              </w:rPr>
            </w:pPr>
            <w:r>
              <w:rPr>
                <w:rFonts w:ascii="Arial" w:cs="Arial" w:eastAsia="Arial" w:hAnsi="Arial"/>
                <w:sz w:val="18"/>
                <w:szCs w:val="18"/>
                <w:color w:val="auto"/>
                <w:w w:val="92"/>
              </w:rPr>
              <w:t>May 1, 2019</w:t>
            </w:r>
          </w:p>
        </w:tc>
      </w:tr>
      <w:tr>
        <w:trPr>
          <w:trHeight w:val="27"/>
        </w:trPr>
        <w:tc>
          <w:tcPr>
            <w:tcW w:w="3600" w:type="dxa"/>
            <w:vAlign w:val="bottom"/>
            <w:tcBorders>
              <w:bottom w:val="single" w:sz="8" w:color="auto"/>
            </w:tcBorders>
          </w:tcPr>
          <w:p>
            <w:pPr>
              <w:spacing w:after="0"/>
              <w:rPr>
                <w:sz w:val="2"/>
                <w:szCs w:val="2"/>
                <w:color w:val="auto"/>
              </w:rPr>
            </w:pPr>
          </w:p>
        </w:tc>
        <w:tc>
          <w:tcPr>
            <w:tcW w:w="566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37"/>
        </w:trPr>
        <w:tc>
          <w:tcPr>
            <w:tcW w:w="3600" w:type="dxa"/>
            <w:vAlign w:val="bottom"/>
          </w:tcPr>
          <w:p>
            <w:pPr>
              <w:jc w:val="center"/>
              <w:spacing w:after="0"/>
              <w:rPr>
                <w:sz w:val="20"/>
                <w:szCs w:val="20"/>
                <w:color w:val="auto"/>
              </w:rPr>
            </w:pPr>
            <w:r>
              <w:rPr>
                <w:rFonts w:ascii="Arial" w:cs="Arial" w:eastAsia="Arial" w:hAnsi="Arial"/>
                <w:sz w:val="18"/>
                <w:szCs w:val="18"/>
                <w:color w:val="auto"/>
                <w:w w:val="92"/>
              </w:rPr>
              <w:t>John L. Bishop</w:t>
            </w:r>
          </w:p>
        </w:tc>
        <w:tc>
          <w:tcPr>
            <w:tcW w:w="566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97"/>
        </w:trPr>
        <w:tc>
          <w:tcPr>
            <w:tcW w:w="3600" w:type="dxa"/>
            <w:vAlign w:val="bottom"/>
          </w:tcPr>
          <w:p>
            <w:pPr>
              <w:jc w:val="center"/>
              <w:spacing w:after="0"/>
              <w:rPr>
                <w:sz w:val="20"/>
                <w:szCs w:val="20"/>
                <w:color w:val="auto"/>
              </w:rPr>
            </w:pPr>
            <w:r>
              <w:rPr>
                <w:rFonts w:ascii="Arial" w:cs="Arial" w:eastAsia="Arial" w:hAnsi="Arial"/>
                <w:sz w:val="18"/>
                <w:szCs w:val="18"/>
                <w:color w:val="auto"/>
                <w:w w:val="95"/>
              </w:rPr>
              <w:t>/s/ FRED E. COHEN, M.D., D.PHIL.</w:t>
            </w:r>
          </w:p>
        </w:tc>
        <w:tc>
          <w:tcPr>
            <w:tcW w:w="5660" w:type="dxa"/>
            <w:vAlign w:val="bottom"/>
          </w:tcPr>
          <w:p>
            <w:pPr>
              <w:ind w:left="20"/>
              <w:spacing w:after="0"/>
              <w:rPr>
                <w:sz w:val="20"/>
                <w:szCs w:val="20"/>
                <w:color w:val="auto"/>
              </w:rPr>
            </w:pPr>
            <w:r>
              <w:rPr>
                <w:rFonts w:ascii="Arial" w:cs="Arial" w:eastAsia="Arial" w:hAnsi="Arial"/>
                <w:sz w:val="18"/>
                <w:szCs w:val="18"/>
                <w:color w:val="auto"/>
              </w:rPr>
              <w:t>Director</w:t>
            </w:r>
          </w:p>
        </w:tc>
        <w:tc>
          <w:tcPr>
            <w:tcW w:w="1580" w:type="dxa"/>
            <w:vAlign w:val="bottom"/>
          </w:tcPr>
          <w:p>
            <w:pPr>
              <w:jc w:val="center"/>
              <w:ind w:left="570"/>
              <w:spacing w:after="0"/>
              <w:rPr>
                <w:sz w:val="20"/>
                <w:szCs w:val="20"/>
                <w:color w:val="auto"/>
              </w:rPr>
            </w:pPr>
            <w:r>
              <w:rPr>
                <w:rFonts w:ascii="Arial" w:cs="Arial" w:eastAsia="Arial" w:hAnsi="Arial"/>
                <w:sz w:val="18"/>
                <w:szCs w:val="18"/>
                <w:color w:val="auto"/>
                <w:w w:val="92"/>
              </w:rPr>
              <w:t>May 1, 2019</w:t>
            </w:r>
          </w:p>
        </w:tc>
      </w:tr>
      <w:tr>
        <w:trPr>
          <w:trHeight w:val="27"/>
        </w:trPr>
        <w:tc>
          <w:tcPr>
            <w:tcW w:w="3600" w:type="dxa"/>
            <w:vAlign w:val="bottom"/>
            <w:tcBorders>
              <w:bottom w:val="single" w:sz="8" w:color="auto"/>
            </w:tcBorders>
          </w:tcPr>
          <w:p>
            <w:pPr>
              <w:spacing w:after="0"/>
              <w:rPr>
                <w:sz w:val="2"/>
                <w:szCs w:val="2"/>
                <w:color w:val="auto"/>
              </w:rPr>
            </w:pPr>
          </w:p>
        </w:tc>
        <w:tc>
          <w:tcPr>
            <w:tcW w:w="566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37"/>
        </w:trPr>
        <w:tc>
          <w:tcPr>
            <w:tcW w:w="3600" w:type="dxa"/>
            <w:vAlign w:val="bottom"/>
          </w:tcPr>
          <w:p>
            <w:pPr>
              <w:jc w:val="center"/>
              <w:spacing w:after="0"/>
              <w:rPr>
                <w:sz w:val="20"/>
                <w:szCs w:val="20"/>
                <w:color w:val="auto"/>
              </w:rPr>
            </w:pPr>
            <w:r>
              <w:rPr>
                <w:rFonts w:ascii="Arial" w:cs="Arial" w:eastAsia="Arial" w:hAnsi="Arial"/>
                <w:sz w:val="18"/>
                <w:szCs w:val="18"/>
                <w:color w:val="auto"/>
                <w:w w:val="92"/>
              </w:rPr>
              <w:t>Fred E. Cohen, M.D., D. Phil</w:t>
            </w:r>
          </w:p>
        </w:tc>
        <w:tc>
          <w:tcPr>
            <w:tcW w:w="566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84"/>
        </w:trPr>
        <w:tc>
          <w:tcPr>
            <w:tcW w:w="3600" w:type="dxa"/>
            <w:vAlign w:val="bottom"/>
          </w:tcPr>
          <w:p>
            <w:pPr>
              <w:jc w:val="center"/>
              <w:spacing w:after="0"/>
              <w:rPr>
                <w:sz w:val="20"/>
                <w:szCs w:val="20"/>
                <w:color w:val="auto"/>
              </w:rPr>
            </w:pPr>
            <w:r>
              <w:rPr>
                <w:rFonts w:ascii="Arial" w:cs="Arial" w:eastAsia="Arial" w:hAnsi="Arial"/>
                <w:sz w:val="18"/>
                <w:szCs w:val="18"/>
                <w:color w:val="auto"/>
                <w:w w:val="99"/>
              </w:rPr>
              <w:t>/s/ KARIN EASTHAM</w:t>
            </w:r>
          </w:p>
        </w:tc>
        <w:tc>
          <w:tcPr>
            <w:tcW w:w="5660" w:type="dxa"/>
            <w:vAlign w:val="bottom"/>
          </w:tcPr>
          <w:p>
            <w:pPr>
              <w:ind w:left="20"/>
              <w:spacing w:after="0"/>
              <w:rPr>
                <w:sz w:val="20"/>
                <w:szCs w:val="20"/>
                <w:color w:val="auto"/>
              </w:rPr>
            </w:pPr>
            <w:r>
              <w:rPr>
                <w:rFonts w:ascii="Arial" w:cs="Arial" w:eastAsia="Arial" w:hAnsi="Arial"/>
                <w:sz w:val="18"/>
                <w:szCs w:val="18"/>
                <w:color w:val="auto"/>
              </w:rPr>
              <w:t>Director</w:t>
            </w:r>
          </w:p>
        </w:tc>
        <w:tc>
          <w:tcPr>
            <w:tcW w:w="1580" w:type="dxa"/>
            <w:vAlign w:val="bottom"/>
          </w:tcPr>
          <w:p>
            <w:pPr>
              <w:jc w:val="center"/>
              <w:ind w:left="570"/>
              <w:spacing w:after="0"/>
              <w:rPr>
                <w:sz w:val="20"/>
                <w:szCs w:val="20"/>
                <w:color w:val="auto"/>
              </w:rPr>
            </w:pPr>
            <w:r>
              <w:rPr>
                <w:rFonts w:ascii="Arial" w:cs="Arial" w:eastAsia="Arial" w:hAnsi="Arial"/>
                <w:sz w:val="18"/>
                <w:szCs w:val="18"/>
                <w:color w:val="auto"/>
                <w:w w:val="92"/>
              </w:rPr>
              <w:t>May 1, 2019</w:t>
            </w:r>
          </w:p>
        </w:tc>
      </w:tr>
      <w:tr>
        <w:trPr>
          <w:trHeight w:val="41"/>
        </w:trPr>
        <w:tc>
          <w:tcPr>
            <w:tcW w:w="3600" w:type="dxa"/>
            <w:vAlign w:val="bottom"/>
            <w:tcBorders>
              <w:bottom w:val="single" w:sz="8" w:color="auto"/>
            </w:tcBorders>
          </w:tcPr>
          <w:p>
            <w:pPr>
              <w:spacing w:after="0"/>
              <w:rPr>
                <w:sz w:val="3"/>
                <w:szCs w:val="3"/>
                <w:color w:val="auto"/>
              </w:rPr>
            </w:pPr>
          </w:p>
        </w:tc>
        <w:tc>
          <w:tcPr>
            <w:tcW w:w="5660" w:type="dxa"/>
            <w:vAlign w:val="bottom"/>
          </w:tcPr>
          <w:p>
            <w:pPr>
              <w:spacing w:after="0"/>
              <w:rPr>
                <w:sz w:val="3"/>
                <w:szCs w:val="3"/>
                <w:color w:val="auto"/>
              </w:rPr>
            </w:pPr>
          </w:p>
        </w:tc>
        <w:tc>
          <w:tcPr>
            <w:tcW w:w="1580" w:type="dxa"/>
            <w:vAlign w:val="bottom"/>
          </w:tcPr>
          <w:p>
            <w:pPr>
              <w:spacing w:after="0"/>
              <w:rPr>
                <w:sz w:val="3"/>
                <w:szCs w:val="3"/>
                <w:color w:val="auto"/>
              </w:rPr>
            </w:pPr>
          </w:p>
        </w:tc>
      </w:tr>
      <w:tr>
        <w:trPr>
          <w:trHeight w:val="237"/>
        </w:trPr>
        <w:tc>
          <w:tcPr>
            <w:tcW w:w="3600" w:type="dxa"/>
            <w:vAlign w:val="bottom"/>
          </w:tcPr>
          <w:p>
            <w:pPr>
              <w:jc w:val="center"/>
              <w:spacing w:after="0"/>
              <w:rPr>
                <w:sz w:val="20"/>
                <w:szCs w:val="20"/>
                <w:color w:val="auto"/>
              </w:rPr>
            </w:pPr>
            <w:r>
              <w:rPr>
                <w:rFonts w:ascii="Arial" w:cs="Arial" w:eastAsia="Arial" w:hAnsi="Arial"/>
                <w:sz w:val="18"/>
                <w:szCs w:val="18"/>
                <w:color w:val="auto"/>
                <w:w w:val="91"/>
              </w:rPr>
              <w:t>Karin Eastham</w:t>
            </w:r>
          </w:p>
        </w:tc>
        <w:tc>
          <w:tcPr>
            <w:tcW w:w="566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84"/>
        </w:trPr>
        <w:tc>
          <w:tcPr>
            <w:tcW w:w="3600" w:type="dxa"/>
            <w:vAlign w:val="bottom"/>
          </w:tcPr>
          <w:p>
            <w:pPr>
              <w:jc w:val="center"/>
              <w:spacing w:after="0"/>
              <w:rPr>
                <w:sz w:val="20"/>
                <w:szCs w:val="20"/>
                <w:color w:val="auto"/>
              </w:rPr>
            </w:pPr>
            <w:r>
              <w:rPr>
                <w:rFonts w:ascii="Arial" w:cs="Arial" w:eastAsia="Arial" w:hAnsi="Arial"/>
                <w:sz w:val="18"/>
                <w:szCs w:val="18"/>
                <w:color w:val="auto"/>
                <w:w w:val="93"/>
              </w:rPr>
              <w:t>/s/ ROBERT S. EPSTEIN, M.D.,M.S.</w:t>
            </w:r>
          </w:p>
        </w:tc>
        <w:tc>
          <w:tcPr>
            <w:tcW w:w="5660" w:type="dxa"/>
            <w:vAlign w:val="bottom"/>
          </w:tcPr>
          <w:p>
            <w:pPr>
              <w:ind w:left="20"/>
              <w:spacing w:after="0"/>
              <w:rPr>
                <w:sz w:val="20"/>
                <w:szCs w:val="20"/>
                <w:color w:val="auto"/>
              </w:rPr>
            </w:pPr>
            <w:r>
              <w:rPr>
                <w:rFonts w:ascii="Arial" w:cs="Arial" w:eastAsia="Arial" w:hAnsi="Arial"/>
                <w:sz w:val="18"/>
                <w:szCs w:val="18"/>
                <w:color w:val="auto"/>
              </w:rPr>
              <w:t>Director</w:t>
            </w:r>
          </w:p>
        </w:tc>
        <w:tc>
          <w:tcPr>
            <w:tcW w:w="1580" w:type="dxa"/>
            <w:vAlign w:val="bottom"/>
          </w:tcPr>
          <w:p>
            <w:pPr>
              <w:jc w:val="center"/>
              <w:ind w:left="570"/>
              <w:spacing w:after="0"/>
              <w:rPr>
                <w:sz w:val="20"/>
                <w:szCs w:val="20"/>
                <w:color w:val="auto"/>
              </w:rPr>
            </w:pPr>
            <w:r>
              <w:rPr>
                <w:rFonts w:ascii="Arial" w:cs="Arial" w:eastAsia="Arial" w:hAnsi="Arial"/>
                <w:sz w:val="18"/>
                <w:szCs w:val="18"/>
                <w:color w:val="auto"/>
                <w:w w:val="92"/>
              </w:rPr>
              <w:t>May 1, 2019</w:t>
            </w:r>
          </w:p>
        </w:tc>
      </w:tr>
      <w:tr>
        <w:trPr>
          <w:trHeight w:val="41"/>
        </w:trPr>
        <w:tc>
          <w:tcPr>
            <w:tcW w:w="3600" w:type="dxa"/>
            <w:vAlign w:val="bottom"/>
            <w:tcBorders>
              <w:bottom w:val="single" w:sz="8" w:color="auto"/>
            </w:tcBorders>
          </w:tcPr>
          <w:p>
            <w:pPr>
              <w:spacing w:after="0"/>
              <w:rPr>
                <w:sz w:val="3"/>
                <w:szCs w:val="3"/>
                <w:color w:val="auto"/>
              </w:rPr>
            </w:pPr>
          </w:p>
        </w:tc>
        <w:tc>
          <w:tcPr>
            <w:tcW w:w="5660" w:type="dxa"/>
            <w:vAlign w:val="bottom"/>
          </w:tcPr>
          <w:p>
            <w:pPr>
              <w:spacing w:after="0"/>
              <w:rPr>
                <w:sz w:val="3"/>
                <w:szCs w:val="3"/>
                <w:color w:val="auto"/>
              </w:rPr>
            </w:pPr>
          </w:p>
        </w:tc>
        <w:tc>
          <w:tcPr>
            <w:tcW w:w="1580" w:type="dxa"/>
            <w:vAlign w:val="bottom"/>
          </w:tcPr>
          <w:p>
            <w:pPr>
              <w:spacing w:after="0"/>
              <w:rPr>
                <w:sz w:val="3"/>
                <w:szCs w:val="3"/>
                <w:color w:val="auto"/>
              </w:rPr>
            </w:pPr>
          </w:p>
        </w:tc>
      </w:tr>
      <w:tr>
        <w:trPr>
          <w:trHeight w:val="237"/>
        </w:trPr>
        <w:tc>
          <w:tcPr>
            <w:tcW w:w="3600" w:type="dxa"/>
            <w:vAlign w:val="bottom"/>
          </w:tcPr>
          <w:p>
            <w:pPr>
              <w:jc w:val="center"/>
              <w:spacing w:after="0"/>
              <w:rPr>
                <w:sz w:val="20"/>
                <w:szCs w:val="20"/>
                <w:color w:val="auto"/>
              </w:rPr>
            </w:pPr>
            <w:r>
              <w:rPr>
                <w:rFonts w:ascii="Arial" w:cs="Arial" w:eastAsia="Arial" w:hAnsi="Arial"/>
                <w:sz w:val="18"/>
                <w:szCs w:val="18"/>
                <w:color w:val="auto"/>
                <w:w w:val="91"/>
              </w:rPr>
              <w:t>Robert S. Epstein, M.D., M.S</w:t>
            </w:r>
          </w:p>
        </w:tc>
        <w:tc>
          <w:tcPr>
            <w:tcW w:w="566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84"/>
        </w:trPr>
        <w:tc>
          <w:tcPr>
            <w:tcW w:w="3600" w:type="dxa"/>
            <w:vAlign w:val="bottom"/>
          </w:tcPr>
          <w:p>
            <w:pPr>
              <w:jc w:val="center"/>
              <w:spacing w:after="0"/>
              <w:rPr>
                <w:sz w:val="20"/>
                <w:szCs w:val="20"/>
                <w:color w:val="auto"/>
              </w:rPr>
            </w:pPr>
            <w:r>
              <w:rPr>
                <w:rFonts w:ascii="Arial" w:cs="Arial" w:eastAsia="Arial" w:hAnsi="Arial"/>
                <w:sz w:val="18"/>
                <w:szCs w:val="18"/>
                <w:color w:val="auto"/>
                <w:w w:val="96"/>
              </w:rPr>
              <w:t>/s/ KEVIN K. GORDON</w:t>
            </w:r>
          </w:p>
        </w:tc>
        <w:tc>
          <w:tcPr>
            <w:tcW w:w="5660" w:type="dxa"/>
            <w:vAlign w:val="bottom"/>
          </w:tcPr>
          <w:p>
            <w:pPr>
              <w:ind w:left="20"/>
              <w:spacing w:after="0"/>
              <w:rPr>
                <w:sz w:val="20"/>
                <w:szCs w:val="20"/>
                <w:color w:val="auto"/>
              </w:rPr>
            </w:pPr>
            <w:r>
              <w:rPr>
                <w:rFonts w:ascii="Arial" w:cs="Arial" w:eastAsia="Arial" w:hAnsi="Arial"/>
                <w:sz w:val="18"/>
                <w:szCs w:val="18"/>
                <w:color w:val="auto"/>
              </w:rPr>
              <w:t>Director</w:t>
            </w:r>
          </w:p>
        </w:tc>
        <w:tc>
          <w:tcPr>
            <w:tcW w:w="1580" w:type="dxa"/>
            <w:vAlign w:val="bottom"/>
          </w:tcPr>
          <w:p>
            <w:pPr>
              <w:jc w:val="center"/>
              <w:ind w:left="570"/>
              <w:spacing w:after="0"/>
              <w:rPr>
                <w:sz w:val="20"/>
                <w:szCs w:val="20"/>
                <w:color w:val="auto"/>
              </w:rPr>
            </w:pPr>
            <w:r>
              <w:rPr>
                <w:rFonts w:ascii="Arial" w:cs="Arial" w:eastAsia="Arial" w:hAnsi="Arial"/>
                <w:sz w:val="18"/>
                <w:szCs w:val="18"/>
                <w:color w:val="auto"/>
                <w:w w:val="92"/>
              </w:rPr>
              <w:t>May 1, 2019</w:t>
            </w:r>
          </w:p>
        </w:tc>
      </w:tr>
      <w:tr>
        <w:trPr>
          <w:trHeight w:val="41"/>
        </w:trPr>
        <w:tc>
          <w:tcPr>
            <w:tcW w:w="3600" w:type="dxa"/>
            <w:vAlign w:val="bottom"/>
            <w:tcBorders>
              <w:bottom w:val="single" w:sz="8" w:color="auto"/>
            </w:tcBorders>
          </w:tcPr>
          <w:p>
            <w:pPr>
              <w:spacing w:after="0"/>
              <w:rPr>
                <w:sz w:val="3"/>
                <w:szCs w:val="3"/>
                <w:color w:val="auto"/>
              </w:rPr>
            </w:pPr>
          </w:p>
        </w:tc>
        <w:tc>
          <w:tcPr>
            <w:tcW w:w="5660" w:type="dxa"/>
            <w:vAlign w:val="bottom"/>
          </w:tcPr>
          <w:p>
            <w:pPr>
              <w:spacing w:after="0"/>
              <w:rPr>
                <w:sz w:val="3"/>
                <w:szCs w:val="3"/>
                <w:color w:val="auto"/>
              </w:rPr>
            </w:pPr>
          </w:p>
        </w:tc>
        <w:tc>
          <w:tcPr>
            <w:tcW w:w="1580" w:type="dxa"/>
            <w:vAlign w:val="bottom"/>
          </w:tcPr>
          <w:p>
            <w:pPr>
              <w:spacing w:after="0"/>
              <w:rPr>
                <w:sz w:val="3"/>
                <w:szCs w:val="3"/>
                <w:color w:val="auto"/>
              </w:rPr>
            </w:pPr>
          </w:p>
        </w:tc>
      </w:tr>
      <w:tr>
        <w:trPr>
          <w:trHeight w:val="237"/>
        </w:trPr>
        <w:tc>
          <w:tcPr>
            <w:tcW w:w="3600" w:type="dxa"/>
            <w:vAlign w:val="bottom"/>
          </w:tcPr>
          <w:p>
            <w:pPr>
              <w:jc w:val="center"/>
              <w:spacing w:after="0"/>
              <w:rPr>
                <w:sz w:val="20"/>
                <w:szCs w:val="20"/>
                <w:color w:val="auto"/>
              </w:rPr>
            </w:pPr>
            <w:r>
              <w:rPr>
                <w:rFonts w:ascii="Arial" w:cs="Arial" w:eastAsia="Arial" w:hAnsi="Arial"/>
                <w:sz w:val="18"/>
                <w:szCs w:val="18"/>
                <w:color w:val="auto"/>
                <w:w w:val="95"/>
              </w:rPr>
              <w:t>Kevin K. Gordon</w:t>
            </w:r>
          </w:p>
        </w:tc>
        <w:tc>
          <w:tcPr>
            <w:tcW w:w="566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84"/>
        </w:trPr>
        <w:tc>
          <w:tcPr>
            <w:tcW w:w="3600" w:type="dxa"/>
            <w:vAlign w:val="bottom"/>
          </w:tcPr>
          <w:p>
            <w:pPr>
              <w:jc w:val="center"/>
              <w:spacing w:after="0"/>
              <w:rPr>
                <w:sz w:val="20"/>
                <w:szCs w:val="20"/>
                <w:color w:val="auto"/>
              </w:rPr>
            </w:pPr>
            <w:r>
              <w:rPr>
                <w:rFonts w:ascii="Arial" w:cs="Arial" w:eastAsia="Arial" w:hAnsi="Arial"/>
                <w:sz w:val="18"/>
                <w:szCs w:val="18"/>
                <w:color w:val="auto"/>
                <w:w w:val="92"/>
              </w:rPr>
              <w:t>/s/ EVAN JONES</w:t>
            </w:r>
          </w:p>
        </w:tc>
        <w:tc>
          <w:tcPr>
            <w:tcW w:w="5660" w:type="dxa"/>
            <w:vAlign w:val="bottom"/>
          </w:tcPr>
          <w:p>
            <w:pPr>
              <w:ind w:left="20"/>
              <w:spacing w:after="0"/>
              <w:rPr>
                <w:sz w:val="20"/>
                <w:szCs w:val="20"/>
                <w:color w:val="auto"/>
              </w:rPr>
            </w:pPr>
            <w:r>
              <w:rPr>
                <w:rFonts w:ascii="Arial" w:cs="Arial" w:eastAsia="Arial" w:hAnsi="Arial"/>
                <w:sz w:val="18"/>
                <w:szCs w:val="18"/>
                <w:color w:val="auto"/>
              </w:rPr>
              <w:t>Director</w:t>
            </w:r>
          </w:p>
        </w:tc>
        <w:tc>
          <w:tcPr>
            <w:tcW w:w="1580" w:type="dxa"/>
            <w:vAlign w:val="bottom"/>
          </w:tcPr>
          <w:p>
            <w:pPr>
              <w:jc w:val="center"/>
              <w:ind w:left="570"/>
              <w:spacing w:after="0"/>
              <w:rPr>
                <w:sz w:val="20"/>
                <w:szCs w:val="20"/>
                <w:color w:val="auto"/>
              </w:rPr>
            </w:pPr>
            <w:r>
              <w:rPr>
                <w:rFonts w:ascii="Arial" w:cs="Arial" w:eastAsia="Arial" w:hAnsi="Arial"/>
                <w:sz w:val="18"/>
                <w:szCs w:val="18"/>
                <w:color w:val="auto"/>
                <w:w w:val="92"/>
              </w:rPr>
              <w:t>May 1, 2019</w:t>
            </w:r>
          </w:p>
        </w:tc>
      </w:tr>
      <w:tr>
        <w:trPr>
          <w:trHeight w:val="41"/>
        </w:trPr>
        <w:tc>
          <w:tcPr>
            <w:tcW w:w="3600" w:type="dxa"/>
            <w:vAlign w:val="bottom"/>
            <w:tcBorders>
              <w:bottom w:val="single" w:sz="8" w:color="auto"/>
            </w:tcBorders>
          </w:tcPr>
          <w:p>
            <w:pPr>
              <w:spacing w:after="0"/>
              <w:rPr>
                <w:sz w:val="3"/>
                <w:szCs w:val="3"/>
                <w:color w:val="auto"/>
              </w:rPr>
            </w:pPr>
          </w:p>
        </w:tc>
        <w:tc>
          <w:tcPr>
            <w:tcW w:w="5660" w:type="dxa"/>
            <w:vAlign w:val="bottom"/>
          </w:tcPr>
          <w:p>
            <w:pPr>
              <w:spacing w:after="0"/>
              <w:rPr>
                <w:sz w:val="3"/>
                <w:szCs w:val="3"/>
                <w:color w:val="auto"/>
              </w:rPr>
            </w:pPr>
          </w:p>
        </w:tc>
        <w:tc>
          <w:tcPr>
            <w:tcW w:w="1580" w:type="dxa"/>
            <w:vAlign w:val="bottom"/>
          </w:tcPr>
          <w:p>
            <w:pPr>
              <w:spacing w:after="0"/>
              <w:rPr>
                <w:sz w:val="3"/>
                <w:szCs w:val="3"/>
                <w:color w:val="auto"/>
              </w:rPr>
            </w:pPr>
          </w:p>
        </w:tc>
      </w:tr>
      <w:tr>
        <w:trPr>
          <w:trHeight w:val="237"/>
        </w:trPr>
        <w:tc>
          <w:tcPr>
            <w:tcW w:w="3600" w:type="dxa"/>
            <w:vAlign w:val="bottom"/>
          </w:tcPr>
          <w:p>
            <w:pPr>
              <w:jc w:val="center"/>
              <w:spacing w:after="0"/>
              <w:rPr>
                <w:sz w:val="20"/>
                <w:szCs w:val="20"/>
                <w:color w:val="auto"/>
              </w:rPr>
            </w:pPr>
            <w:r>
              <w:rPr>
                <w:rFonts w:ascii="Arial" w:cs="Arial" w:eastAsia="Arial" w:hAnsi="Arial"/>
                <w:sz w:val="18"/>
                <w:szCs w:val="18"/>
                <w:color w:val="auto"/>
                <w:w w:val="87"/>
              </w:rPr>
              <w:t>Evan Jones</w:t>
            </w:r>
          </w:p>
        </w:tc>
        <w:tc>
          <w:tcPr>
            <w:tcW w:w="566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84"/>
        </w:trPr>
        <w:tc>
          <w:tcPr>
            <w:tcW w:w="3600" w:type="dxa"/>
            <w:vAlign w:val="bottom"/>
          </w:tcPr>
          <w:p>
            <w:pPr>
              <w:jc w:val="center"/>
              <w:spacing w:after="0"/>
              <w:rPr>
                <w:sz w:val="20"/>
                <w:szCs w:val="20"/>
                <w:color w:val="auto"/>
              </w:rPr>
            </w:pPr>
            <w:r>
              <w:rPr>
                <w:rFonts w:ascii="Arial" w:cs="Arial" w:eastAsia="Arial" w:hAnsi="Arial"/>
                <w:sz w:val="18"/>
                <w:szCs w:val="18"/>
                <w:color w:val="auto"/>
                <w:w w:val="95"/>
              </w:rPr>
              <w:t>/s/ TINA S. NOVA, PH.D.</w:t>
            </w:r>
          </w:p>
        </w:tc>
        <w:tc>
          <w:tcPr>
            <w:tcW w:w="5660" w:type="dxa"/>
            <w:vAlign w:val="bottom"/>
          </w:tcPr>
          <w:p>
            <w:pPr>
              <w:ind w:left="20"/>
              <w:spacing w:after="0"/>
              <w:rPr>
                <w:sz w:val="20"/>
                <w:szCs w:val="20"/>
                <w:color w:val="auto"/>
              </w:rPr>
            </w:pPr>
            <w:r>
              <w:rPr>
                <w:rFonts w:ascii="Arial" w:cs="Arial" w:eastAsia="Arial" w:hAnsi="Arial"/>
                <w:sz w:val="18"/>
                <w:szCs w:val="18"/>
                <w:color w:val="auto"/>
              </w:rPr>
              <w:t>Director</w:t>
            </w:r>
          </w:p>
        </w:tc>
        <w:tc>
          <w:tcPr>
            <w:tcW w:w="1580" w:type="dxa"/>
            <w:vAlign w:val="bottom"/>
          </w:tcPr>
          <w:p>
            <w:pPr>
              <w:jc w:val="center"/>
              <w:ind w:left="570"/>
              <w:spacing w:after="0"/>
              <w:rPr>
                <w:sz w:val="20"/>
                <w:szCs w:val="20"/>
                <w:color w:val="auto"/>
              </w:rPr>
            </w:pPr>
            <w:r>
              <w:rPr>
                <w:rFonts w:ascii="Arial" w:cs="Arial" w:eastAsia="Arial" w:hAnsi="Arial"/>
                <w:sz w:val="18"/>
                <w:szCs w:val="18"/>
                <w:color w:val="auto"/>
                <w:w w:val="92"/>
              </w:rPr>
              <w:t>May 1, 2019</w:t>
            </w:r>
          </w:p>
        </w:tc>
      </w:tr>
      <w:tr>
        <w:trPr>
          <w:trHeight w:val="41"/>
        </w:trPr>
        <w:tc>
          <w:tcPr>
            <w:tcW w:w="3600" w:type="dxa"/>
            <w:vAlign w:val="bottom"/>
            <w:tcBorders>
              <w:bottom w:val="single" w:sz="8" w:color="auto"/>
            </w:tcBorders>
          </w:tcPr>
          <w:p>
            <w:pPr>
              <w:spacing w:after="0"/>
              <w:rPr>
                <w:sz w:val="3"/>
                <w:szCs w:val="3"/>
                <w:color w:val="auto"/>
              </w:rPr>
            </w:pPr>
          </w:p>
        </w:tc>
        <w:tc>
          <w:tcPr>
            <w:tcW w:w="5660" w:type="dxa"/>
            <w:vAlign w:val="bottom"/>
          </w:tcPr>
          <w:p>
            <w:pPr>
              <w:spacing w:after="0"/>
              <w:rPr>
                <w:sz w:val="3"/>
                <w:szCs w:val="3"/>
                <w:color w:val="auto"/>
              </w:rPr>
            </w:pPr>
          </w:p>
        </w:tc>
        <w:tc>
          <w:tcPr>
            <w:tcW w:w="1580" w:type="dxa"/>
            <w:vAlign w:val="bottom"/>
          </w:tcPr>
          <w:p>
            <w:pPr>
              <w:spacing w:after="0"/>
              <w:rPr>
                <w:sz w:val="3"/>
                <w:szCs w:val="3"/>
                <w:color w:val="auto"/>
              </w:rPr>
            </w:pPr>
          </w:p>
        </w:tc>
      </w:tr>
      <w:tr>
        <w:trPr>
          <w:trHeight w:val="237"/>
        </w:trPr>
        <w:tc>
          <w:tcPr>
            <w:tcW w:w="3600" w:type="dxa"/>
            <w:vAlign w:val="bottom"/>
          </w:tcPr>
          <w:p>
            <w:pPr>
              <w:jc w:val="center"/>
              <w:spacing w:after="0"/>
              <w:rPr>
                <w:sz w:val="20"/>
                <w:szCs w:val="20"/>
                <w:color w:val="auto"/>
              </w:rPr>
            </w:pPr>
            <w:r>
              <w:rPr>
                <w:rFonts w:ascii="Arial" w:cs="Arial" w:eastAsia="Arial" w:hAnsi="Arial"/>
                <w:sz w:val="18"/>
                <w:szCs w:val="18"/>
                <w:color w:val="auto"/>
                <w:w w:val="91"/>
              </w:rPr>
              <w:t>Tina S. Nova, Ph. D.</w:t>
            </w:r>
          </w:p>
        </w:tc>
        <w:tc>
          <w:tcPr>
            <w:tcW w:w="566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84"/>
        </w:trPr>
        <w:tc>
          <w:tcPr>
            <w:tcW w:w="3600" w:type="dxa"/>
            <w:vAlign w:val="bottom"/>
          </w:tcPr>
          <w:p>
            <w:pPr>
              <w:jc w:val="center"/>
              <w:spacing w:after="0"/>
              <w:rPr>
                <w:sz w:val="20"/>
                <w:szCs w:val="20"/>
                <w:color w:val="auto"/>
              </w:rPr>
            </w:pPr>
            <w:r>
              <w:rPr>
                <w:rFonts w:ascii="Arial" w:cs="Arial" w:eastAsia="Arial" w:hAnsi="Arial"/>
                <w:sz w:val="18"/>
                <w:szCs w:val="18"/>
                <w:color w:val="auto"/>
                <w:w w:val="92"/>
              </w:rPr>
              <w:t>/s/ JESSE I. TREU, PH.D.</w:t>
            </w:r>
          </w:p>
        </w:tc>
        <w:tc>
          <w:tcPr>
            <w:tcW w:w="5660" w:type="dxa"/>
            <w:vAlign w:val="bottom"/>
          </w:tcPr>
          <w:p>
            <w:pPr>
              <w:ind w:left="20"/>
              <w:spacing w:after="0"/>
              <w:rPr>
                <w:sz w:val="20"/>
                <w:szCs w:val="20"/>
                <w:color w:val="auto"/>
              </w:rPr>
            </w:pPr>
            <w:r>
              <w:rPr>
                <w:rFonts w:ascii="Arial" w:cs="Arial" w:eastAsia="Arial" w:hAnsi="Arial"/>
                <w:sz w:val="18"/>
                <w:szCs w:val="18"/>
                <w:color w:val="auto"/>
              </w:rPr>
              <w:t>Director</w:t>
            </w:r>
          </w:p>
        </w:tc>
        <w:tc>
          <w:tcPr>
            <w:tcW w:w="1580" w:type="dxa"/>
            <w:vAlign w:val="bottom"/>
          </w:tcPr>
          <w:p>
            <w:pPr>
              <w:jc w:val="center"/>
              <w:ind w:left="570"/>
              <w:spacing w:after="0"/>
              <w:rPr>
                <w:sz w:val="20"/>
                <w:szCs w:val="20"/>
                <w:color w:val="auto"/>
              </w:rPr>
            </w:pPr>
            <w:r>
              <w:rPr>
                <w:rFonts w:ascii="Arial" w:cs="Arial" w:eastAsia="Arial" w:hAnsi="Arial"/>
                <w:sz w:val="18"/>
                <w:szCs w:val="18"/>
                <w:color w:val="auto"/>
                <w:w w:val="92"/>
              </w:rPr>
              <w:t>May 1, 2019</w:t>
            </w:r>
          </w:p>
        </w:tc>
      </w:tr>
      <w:tr>
        <w:trPr>
          <w:trHeight w:val="41"/>
        </w:trPr>
        <w:tc>
          <w:tcPr>
            <w:tcW w:w="3600" w:type="dxa"/>
            <w:vAlign w:val="bottom"/>
            <w:tcBorders>
              <w:bottom w:val="single" w:sz="8" w:color="auto"/>
            </w:tcBorders>
          </w:tcPr>
          <w:p>
            <w:pPr>
              <w:spacing w:after="0"/>
              <w:rPr>
                <w:sz w:val="3"/>
                <w:szCs w:val="3"/>
                <w:color w:val="auto"/>
              </w:rPr>
            </w:pPr>
          </w:p>
        </w:tc>
        <w:tc>
          <w:tcPr>
            <w:tcW w:w="5660" w:type="dxa"/>
            <w:vAlign w:val="bottom"/>
          </w:tcPr>
          <w:p>
            <w:pPr>
              <w:spacing w:after="0"/>
              <w:rPr>
                <w:sz w:val="3"/>
                <w:szCs w:val="3"/>
                <w:color w:val="auto"/>
              </w:rPr>
            </w:pPr>
          </w:p>
        </w:tc>
        <w:tc>
          <w:tcPr>
            <w:tcW w:w="1580" w:type="dxa"/>
            <w:vAlign w:val="bottom"/>
          </w:tcPr>
          <w:p>
            <w:pPr>
              <w:spacing w:after="0"/>
              <w:rPr>
                <w:sz w:val="3"/>
                <w:szCs w:val="3"/>
                <w:color w:val="auto"/>
              </w:rPr>
            </w:pPr>
          </w:p>
        </w:tc>
      </w:tr>
      <w:tr>
        <w:trPr>
          <w:trHeight w:val="237"/>
        </w:trPr>
        <w:tc>
          <w:tcPr>
            <w:tcW w:w="3600" w:type="dxa"/>
            <w:vAlign w:val="bottom"/>
          </w:tcPr>
          <w:p>
            <w:pPr>
              <w:jc w:val="center"/>
              <w:spacing w:after="0"/>
              <w:rPr>
                <w:sz w:val="20"/>
                <w:szCs w:val="20"/>
                <w:color w:val="auto"/>
              </w:rPr>
            </w:pPr>
            <w:r>
              <w:rPr>
                <w:rFonts w:ascii="Arial" w:cs="Arial" w:eastAsia="Arial" w:hAnsi="Arial"/>
                <w:sz w:val="18"/>
                <w:szCs w:val="18"/>
                <w:color w:val="auto"/>
                <w:w w:val="87"/>
              </w:rPr>
              <w:t>Jesse I. Treu, Ph.D.</w:t>
            </w:r>
          </w:p>
        </w:tc>
        <w:tc>
          <w:tcPr>
            <w:tcW w:w="5660" w:type="dxa"/>
            <w:vAlign w:val="bottom"/>
          </w:tcPr>
          <w:p>
            <w:pPr>
              <w:spacing w:after="0"/>
              <w:rPr>
                <w:sz w:val="20"/>
                <w:szCs w:val="20"/>
                <w:color w:val="auto"/>
              </w:rPr>
            </w:pPr>
          </w:p>
        </w:tc>
        <w:tc>
          <w:tcPr>
            <w:tcW w:w="1580" w:type="dxa"/>
            <w:vAlign w:val="bottom"/>
          </w:tcPr>
          <w:p>
            <w:pPr>
              <w:spacing w:after="0"/>
              <w:rPr>
                <w:sz w:val="20"/>
                <w:szCs w:val="20"/>
                <w:color w:val="auto"/>
              </w:rPr>
            </w:pPr>
          </w:p>
        </w:tc>
      </w:tr>
    </w:tbl>
    <w:p>
      <w:pPr>
        <w:sectPr>
          <w:pgSz w:w="11900" w:h="16838" w:orient="portrait"/>
          <w:cols w:equalWidth="0" w:num="1">
            <w:col w:w="11400"/>
          </w:cols>
          <w:pgMar w:left="240" w:top="756" w:right="25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210820</wp:posOffset>
            </wp:positionV>
            <wp:extent cx="72720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TO</w:t>
      </w:r>
    </w:p>
    <w:p>
      <w:pPr>
        <w:spacing w:after="0" w:line="225"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 ]</w:t>
      </w:r>
    </w:p>
    <w:p>
      <w:pPr>
        <w:spacing w:after="0" w:line="175" w:lineRule="exact"/>
        <w:rPr>
          <w:sz w:val="20"/>
          <w:szCs w:val="20"/>
          <w:color w:val="auto"/>
        </w:rPr>
      </w:pPr>
    </w:p>
    <w:p>
      <w:pPr>
        <w:ind w:left="5480"/>
        <w:spacing w:after="0"/>
        <w:rPr>
          <w:sz w:val="20"/>
          <w:szCs w:val="20"/>
          <w:color w:val="auto"/>
        </w:rPr>
      </w:pPr>
      <w:r>
        <w:rPr>
          <w:rFonts w:ascii="Arial" w:cs="Arial" w:eastAsia="Arial" w:hAnsi="Arial"/>
          <w:sz w:val="18"/>
          <w:szCs w:val="18"/>
          <w:b w:val="1"/>
          <w:bCs w:val="1"/>
          <w:i w:val="1"/>
          <w:iCs w:val="1"/>
          <w:color w:val="auto"/>
        </w:rPr>
        <w:t>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765175</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Indenture</w:t>
      </w:r>
    </w:p>
    <w:p>
      <w:pPr>
        <w:spacing w:after="0" w:line="27"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i w:val="1"/>
          <w:iCs w:val="1"/>
          <w:color w:val="auto"/>
        </w:rPr>
        <w:t>Dated as of ,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344805</wp:posOffset>
            </wp:positionV>
            <wp:extent cx="72720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-768985</wp:posOffset>
            </wp:positionH>
            <wp:positionV relativeFrom="paragraph">
              <wp:posOffset>636270</wp:posOffset>
            </wp:positionV>
            <wp:extent cx="72720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-768985</wp:posOffset>
            </wp:positionH>
            <wp:positionV relativeFrom="paragraph">
              <wp:posOffset>1073785</wp:posOffset>
            </wp:positionV>
            <wp:extent cx="72720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220"/>
          </w:cols>
          <w:pgMar w:left="1440" w:top="364" w:right="2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16"/>
        </w:trPr>
        <w:tc>
          <w:tcPr>
            <w:tcW w:w="2120" w:type="dxa"/>
            <w:vAlign w:val="bottom"/>
          </w:tcPr>
          <w:p>
            <w:pPr>
              <w:spacing w:after="0"/>
              <w:rPr>
                <w:sz w:val="18"/>
                <w:szCs w:val="18"/>
                <w:color w:val="auto"/>
              </w:rPr>
            </w:pPr>
          </w:p>
        </w:tc>
        <w:tc>
          <w:tcPr>
            <w:tcW w:w="9240" w:type="dxa"/>
            <w:vAlign w:val="bottom"/>
            <w:gridSpan w:val="3"/>
          </w:tcPr>
          <w:p>
            <w:pPr>
              <w:jc w:val="center"/>
              <w:ind w:right="2108"/>
              <w:spacing w:after="0"/>
              <w:rPr>
                <w:sz w:val="20"/>
                <w:szCs w:val="20"/>
                <w:color w:val="auto"/>
              </w:rPr>
            </w:pPr>
            <w:r>
              <w:rPr>
                <w:rFonts w:ascii="Arial" w:cs="Arial" w:eastAsia="Arial" w:hAnsi="Arial"/>
                <w:sz w:val="18"/>
                <w:szCs w:val="18"/>
                <w:b w:val="1"/>
                <w:bCs w:val="1"/>
                <w:color w:val="auto"/>
                <w:w w:val="91"/>
              </w:rPr>
              <w:t>Veracyte, Inc.</w:t>
            </w:r>
          </w:p>
        </w:tc>
      </w:tr>
      <w:tr>
        <w:trPr>
          <w:trHeight w:val="216"/>
        </w:trPr>
        <w:tc>
          <w:tcPr>
            <w:tcW w:w="2120" w:type="dxa"/>
            <w:vAlign w:val="bottom"/>
          </w:tcPr>
          <w:p>
            <w:pPr>
              <w:spacing w:after="0"/>
              <w:rPr>
                <w:sz w:val="18"/>
                <w:szCs w:val="18"/>
                <w:color w:val="auto"/>
              </w:rPr>
            </w:pPr>
          </w:p>
        </w:tc>
        <w:tc>
          <w:tcPr>
            <w:tcW w:w="9240" w:type="dxa"/>
            <w:vAlign w:val="bottom"/>
            <w:gridSpan w:val="3"/>
          </w:tcPr>
          <w:p>
            <w:pPr>
              <w:jc w:val="center"/>
              <w:ind w:right="2108"/>
              <w:spacing w:after="0"/>
              <w:rPr>
                <w:sz w:val="20"/>
                <w:szCs w:val="20"/>
                <w:color w:val="auto"/>
              </w:rPr>
            </w:pPr>
            <w:r>
              <w:rPr>
                <w:rFonts w:ascii="Arial" w:cs="Arial" w:eastAsia="Arial" w:hAnsi="Arial"/>
                <w:sz w:val="18"/>
                <w:szCs w:val="18"/>
                <w:b w:val="1"/>
                <w:bCs w:val="1"/>
                <w:color w:val="auto"/>
                <w:w w:val="90"/>
              </w:rPr>
              <w:t>Reconciliation and tie between Trust Indenture Act of 1939 and</w:t>
            </w:r>
          </w:p>
        </w:tc>
      </w:tr>
      <w:tr>
        <w:trPr>
          <w:trHeight w:val="234"/>
        </w:trPr>
        <w:tc>
          <w:tcPr>
            <w:tcW w:w="2120" w:type="dxa"/>
            <w:vAlign w:val="bottom"/>
          </w:tcPr>
          <w:p>
            <w:pPr>
              <w:spacing w:after="0"/>
              <w:rPr>
                <w:sz w:val="20"/>
                <w:szCs w:val="20"/>
                <w:color w:val="auto"/>
              </w:rPr>
            </w:pPr>
          </w:p>
        </w:tc>
        <w:tc>
          <w:tcPr>
            <w:tcW w:w="9240" w:type="dxa"/>
            <w:vAlign w:val="bottom"/>
            <w:gridSpan w:val="3"/>
          </w:tcPr>
          <w:p>
            <w:pPr>
              <w:jc w:val="center"/>
              <w:ind w:right="2088"/>
              <w:spacing w:after="0"/>
              <w:rPr>
                <w:sz w:val="20"/>
                <w:szCs w:val="20"/>
                <w:color w:val="auto"/>
              </w:rPr>
            </w:pPr>
            <w:r>
              <w:rPr>
                <w:rFonts w:ascii="Arial" w:cs="Arial" w:eastAsia="Arial" w:hAnsi="Arial"/>
                <w:sz w:val="18"/>
                <w:szCs w:val="18"/>
                <w:b w:val="1"/>
                <w:bCs w:val="1"/>
                <w:color w:val="auto"/>
                <w:w w:val="90"/>
              </w:rPr>
              <w:t>Indenture, dated as of , 20</w:t>
            </w:r>
          </w:p>
        </w:tc>
      </w:tr>
      <w:tr>
        <w:trPr>
          <w:trHeight w:val="542"/>
        </w:trPr>
        <w:tc>
          <w:tcPr>
            <w:tcW w:w="2120" w:type="dxa"/>
            <w:vAlign w:val="bottom"/>
          </w:tcPr>
          <w:p>
            <w:pPr>
              <w:ind w:left="20"/>
              <w:spacing w:after="0"/>
              <w:rPr>
                <w:sz w:val="20"/>
                <w:szCs w:val="20"/>
                <w:color w:val="auto"/>
              </w:rPr>
            </w:pPr>
            <w:r>
              <w:rPr>
                <w:rFonts w:ascii="Arial" w:cs="Arial" w:eastAsia="Arial" w:hAnsi="Arial"/>
                <w:sz w:val="14"/>
                <w:szCs w:val="14"/>
                <w:b w:val="1"/>
                <w:bCs w:val="1"/>
                <w:color w:val="auto"/>
              </w:rPr>
              <w:t>Trust Indenture</w:t>
            </w:r>
          </w:p>
        </w:tc>
        <w:tc>
          <w:tcPr>
            <w:tcW w:w="6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40" w:type="dxa"/>
            <w:vAlign w:val="bottom"/>
          </w:tcPr>
          <w:p>
            <w:pPr>
              <w:jc w:val="center"/>
              <w:spacing w:after="0"/>
              <w:rPr>
                <w:sz w:val="20"/>
                <w:szCs w:val="20"/>
                <w:color w:val="auto"/>
              </w:rPr>
            </w:pPr>
            <w:r>
              <w:rPr>
                <w:rFonts w:ascii="Arial" w:cs="Arial" w:eastAsia="Arial" w:hAnsi="Arial"/>
                <w:sz w:val="14"/>
                <w:szCs w:val="14"/>
                <w:b w:val="1"/>
                <w:bCs w:val="1"/>
                <w:color w:val="auto"/>
                <w:w w:val="93"/>
              </w:rPr>
              <w:t>Indenture</w:t>
            </w:r>
          </w:p>
        </w:tc>
      </w:tr>
      <w:tr>
        <w:trPr>
          <w:trHeight w:val="432"/>
        </w:trPr>
        <w:tc>
          <w:tcPr>
            <w:tcW w:w="2120" w:type="dxa"/>
            <w:vAlign w:val="bottom"/>
          </w:tcPr>
          <w:p>
            <w:pPr>
              <w:ind w:left="20"/>
              <w:spacing w:after="0"/>
              <w:rPr>
                <w:sz w:val="20"/>
                <w:szCs w:val="20"/>
                <w:color w:val="auto"/>
              </w:rPr>
            </w:pPr>
            <w:r>
              <w:rPr>
                <w:rFonts w:ascii="Arial" w:cs="Arial" w:eastAsia="Arial" w:hAnsi="Arial"/>
                <w:sz w:val="14"/>
                <w:szCs w:val="14"/>
                <w:b w:val="1"/>
                <w:bCs w:val="1"/>
                <w:color w:val="auto"/>
              </w:rPr>
              <w:t>Act Section</w:t>
            </w:r>
          </w:p>
        </w:tc>
        <w:tc>
          <w:tcPr>
            <w:tcW w:w="6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40" w:type="dxa"/>
            <w:vAlign w:val="bottom"/>
          </w:tcPr>
          <w:p>
            <w:pPr>
              <w:jc w:val="center"/>
              <w:spacing w:after="0"/>
              <w:rPr>
                <w:sz w:val="20"/>
                <w:szCs w:val="20"/>
                <w:color w:val="auto"/>
              </w:rPr>
            </w:pPr>
            <w:r>
              <w:rPr>
                <w:rFonts w:ascii="Arial" w:cs="Arial" w:eastAsia="Arial" w:hAnsi="Arial"/>
                <w:sz w:val="14"/>
                <w:szCs w:val="14"/>
                <w:b w:val="1"/>
                <w:bCs w:val="1"/>
                <w:color w:val="auto"/>
                <w:w w:val="85"/>
              </w:rPr>
              <w:t>Sections</w:t>
            </w:r>
          </w:p>
        </w:tc>
      </w:tr>
      <w:tr>
        <w:trPr>
          <w:trHeight w:val="242"/>
        </w:trPr>
        <w:tc>
          <w:tcPr>
            <w:tcW w:w="2120" w:type="dxa"/>
            <w:vAlign w:val="bottom"/>
            <w:tcBorders>
              <w:bottom w:val="single" w:sz="8" w:color="auto"/>
            </w:tcBorders>
          </w:tcPr>
          <w:p>
            <w:pPr>
              <w:spacing w:after="0"/>
              <w:rPr>
                <w:sz w:val="21"/>
                <w:szCs w:val="21"/>
                <w:color w:val="auto"/>
              </w:rPr>
            </w:pPr>
          </w:p>
        </w:tc>
        <w:tc>
          <w:tcPr>
            <w:tcW w:w="606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2840" w:type="dxa"/>
            <w:vAlign w:val="bottom"/>
            <w:tcBorders>
              <w:bottom w:val="single" w:sz="8" w:color="auto"/>
            </w:tcBorders>
          </w:tcPr>
          <w:p>
            <w:pPr>
              <w:spacing w:after="0"/>
              <w:rPr>
                <w:sz w:val="21"/>
                <w:szCs w:val="21"/>
                <w:color w:val="auto"/>
              </w:rPr>
            </w:pPr>
          </w:p>
        </w:tc>
      </w:tr>
    </w:tbl>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700" w:type="dxa"/>
            <w:vAlign w:val="bottom"/>
            <w:shd w:val="clear" w:color="auto" w:fill="CCEEFF"/>
          </w:tcPr>
          <w:p>
            <w:pPr>
              <w:jc w:val="right"/>
              <w:ind w:right="3770"/>
              <w:spacing w:after="0"/>
              <w:rPr>
                <w:sz w:val="20"/>
                <w:szCs w:val="20"/>
                <w:color w:val="auto"/>
              </w:rPr>
            </w:pPr>
            <w:r>
              <w:rPr>
                <w:rFonts w:ascii="Arial" w:cs="Arial" w:eastAsia="Arial" w:hAnsi="Arial"/>
                <w:sz w:val="18"/>
                <w:szCs w:val="18"/>
                <w:color w:val="auto"/>
                <w:w w:val="92"/>
              </w:rPr>
              <w:t>§ 310(a)(1)</w:t>
            </w:r>
          </w:p>
        </w:tc>
        <w:tc>
          <w:tcPr>
            <w:tcW w:w="6660" w:type="dxa"/>
            <w:vAlign w:val="bottom"/>
            <w:shd w:val="clear" w:color="auto" w:fill="CCEEFF"/>
          </w:tcPr>
          <w:p>
            <w:pPr>
              <w:ind w:left="3860"/>
              <w:spacing w:after="0"/>
              <w:rPr>
                <w:sz w:val="20"/>
                <w:szCs w:val="20"/>
                <w:color w:val="auto"/>
              </w:rPr>
            </w:pPr>
            <w:r>
              <w:rPr>
                <w:rFonts w:ascii="Arial" w:cs="Arial" w:eastAsia="Arial" w:hAnsi="Arial"/>
                <w:sz w:val="18"/>
                <w:szCs w:val="18"/>
                <w:color w:val="auto"/>
              </w:rPr>
              <w:t>609</w:t>
            </w:r>
          </w:p>
        </w:tc>
      </w:tr>
      <w:tr>
        <w:trPr>
          <w:trHeight w:val="249"/>
        </w:trPr>
        <w:tc>
          <w:tcPr>
            <w:tcW w:w="4700" w:type="dxa"/>
            <w:vAlign w:val="bottom"/>
            <w:shd w:val="clear" w:color="auto" w:fill="CCEEFF"/>
          </w:tcPr>
          <w:p>
            <w:pPr>
              <w:spacing w:after="0"/>
              <w:rPr>
                <w:sz w:val="21"/>
                <w:szCs w:val="21"/>
                <w:color w:val="auto"/>
              </w:rPr>
            </w:pPr>
          </w:p>
        </w:tc>
        <w:tc>
          <w:tcPr>
            <w:tcW w:w="6660" w:type="dxa"/>
            <w:vAlign w:val="bottom"/>
            <w:shd w:val="clear" w:color="auto" w:fill="CCEEFF"/>
          </w:tcPr>
          <w:p>
            <w:pPr>
              <w:spacing w:after="0"/>
              <w:rPr>
                <w:sz w:val="21"/>
                <w:szCs w:val="21"/>
                <w:color w:val="auto"/>
              </w:rPr>
            </w:pPr>
          </w:p>
        </w:tc>
      </w:tr>
      <w:tr>
        <w:trPr>
          <w:trHeight w:val="243"/>
        </w:trPr>
        <w:tc>
          <w:tcPr>
            <w:tcW w:w="4700" w:type="dxa"/>
            <w:vAlign w:val="bottom"/>
          </w:tcPr>
          <w:p>
            <w:pPr>
              <w:jc w:val="right"/>
              <w:ind w:right="3770"/>
              <w:spacing w:after="0"/>
              <w:rPr>
                <w:sz w:val="20"/>
                <w:szCs w:val="20"/>
                <w:color w:val="auto"/>
              </w:rPr>
            </w:pPr>
            <w:r>
              <w:rPr>
                <w:rFonts w:ascii="Arial" w:cs="Arial" w:eastAsia="Arial" w:hAnsi="Arial"/>
                <w:sz w:val="18"/>
                <w:szCs w:val="18"/>
                <w:color w:val="auto"/>
              </w:rPr>
              <w:t>(a)(2)</w:t>
            </w:r>
          </w:p>
        </w:tc>
        <w:tc>
          <w:tcPr>
            <w:tcW w:w="6660" w:type="dxa"/>
            <w:vAlign w:val="bottom"/>
          </w:tcPr>
          <w:p>
            <w:pPr>
              <w:ind w:left="3860"/>
              <w:spacing w:after="0"/>
              <w:rPr>
                <w:sz w:val="20"/>
                <w:szCs w:val="20"/>
                <w:color w:val="auto"/>
              </w:rPr>
            </w:pPr>
            <w:r>
              <w:rPr>
                <w:rFonts w:ascii="Arial" w:cs="Arial" w:eastAsia="Arial" w:hAnsi="Arial"/>
                <w:sz w:val="18"/>
                <w:szCs w:val="18"/>
                <w:color w:val="auto"/>
              </w:rPr>
              <w:t>609</w:t>
            </w:r>
          </w:p>
        </w:tc>
      </w:tr>
      <w:tr>
        <w:trPr>
          <w:trHeight w:val="257"/>
        </w:trPr>
        <w:tc>
          <w:tcPr>
            <w:tcW w:w="4700" w:type="dxa"/>
            <w:vAlign w:val="bottom"/>
          </w:tcPr>
          <w:p>
            <w:pPr>
              <w:spacing w:after="0"/>
              <w:rPr>
                <w:sz w:val="22"/>
                <w:szCs w:val="22"/>
                <w:color w:val="auto"/>
              </w:rPr>
            </w:pPr>
          </w:p>
        </w:tc>
        <w:tc>
          <w:tcPr>
            <w:tcW w:w="6660" w:type="dxa"/>
            <w:vAlign w:val="bottom"/>
          </w:tcPr>
          <w:p>
            <w:pPr>
              <w:spacing w:after="0"/>
              <w:rPr>
                <w:sz w:val="22"/>
                <w:szCs w:val="22"/>
                <w:color w:val="auto"/>
              </w:rPr>
            </w:pPr>
          </w:p>
        </w:tc>
      </w:tr>
      <w:tr>
        <w:trPr>
          <w:trHeight w:val="243"/>
        </w:trPr>
        <w:tc>
          <w:tcPr>
            <w:tcW w:w="4700" w:type="dxa"/>
            <w:vAlign w:val="bottom"/>
            <w:shd w:val="clear" w:color="auto" w:fill="CCEEFF"/>
          </w:tcPr>
          <w:p>
            <w:pPr>
              <w:jc w:val="right"/>
              <w:ind w:right="3770"/>
              <w:spacing w:after="0"/>
              <w:rPr>
                <w:sz w:val="20"/>
                <w:szCs w:val="20"/>
                <w:color w:val="auto"/>
              </w:rPr>
            </w:pPr>
            <w:r>
              <w:rPr>
                <w:rFonts w:ascii="Arial" w:cs="Arial" w:eastAsia="Arial" w:hAnsi="Arial"/>
                <w:sz w:val="18"/>
                <w:szCs w:val="18"/>
                <w:color w:val="auto"/>
              </w:rPr>
              <w:t>(a)(3)</w:t>
            </w:r>
          </w:p>
        </w:tc>
        <w:tc>
          <w:tcPr>
            <w:tcW w:w="6660" w:type="dxa"/>
            <w:vAlign w:val="bottom"/>
            <w:shd w:val="clear" w:color="auto" w:fill="CCEEFF"/>
          </w:tcPr>
          <w:p>
            <w:pPr>
              <w:ind w:left="3860"/>
              <w:spacing w:after="0"/>
              <w:rPr>
                <w:sz w:val="20"/>
                <w:szCs w:val="20"/>
                <w:color w:val="auto"/>
              </w:rPr>
            </w:pPr>
            <w:r>
              <w:rPr>
                <w:rFonts w:ascii="Arial" w:cs="Arial" w:eastAsia="Arial" w:hAnsi="Arial"/>
                <w:sz w:val="18"/>
                <w:szCs w:val="18"/>
                <w:color w:val="auto"/>
              </w:rPr>
              <w:t>Not Applicable</w:t>
            </w:r>
          </w:p>
        </w:tc>
      </w:tr>
      <w:tr>
        <w:trPr>
          <w:trHeight w:val="257"/>
        </w:trPr>
        <w:tc>
          <w:tcPr>
            <w:tcW w:w="4700" w:type="dxa"/>
            <w:vAlign w:val="bottom"/>
            <w:shd w:val="clear" w:color="auto" w:fill="CCEEFF"/>
          </w:tcPr>
          <w:p>
            <w:pPr>
              <w:spacing w:after="0"/>
              <w:rPr>
                <w:sz w:val="22"/>
                <w:szCs w:val="22"/>
                <w:color w:val="auto"/>
              </w:rPr>
            </w:pPr>
          </w:p>
        </w:tc>
        <w:tc>
          <w:tcPr>
            <w:tcW w:w="6660" w:type="dxa"/>
            <w:vAlign w:val="bottom"/>
            <w:shd w:val="clear" w:color="auto" w:fill="CCEEFF"/>
          </w:tcPr>
          <w:p>
            <w:pPr>
              <w:spacing w:after="0"/>
              <w:rPr>
                <w:sz w:val="22"/>
                <w:szCs w:val="22"/>
                <w:color w:val="auto"/>
              </w:rPr>
            </w:pPr>
          </w:p>
        </w:tc>
      </w:tr>
      <w:tr>
        <w:trPr>
          <w:trHeight w:val="243"/>
        </w:trPr>
        <w:tc>
          <w:tcPr>
            <w:tcW w:w="4700" w:type="dxa"/>
            <w:vAlign w:val="bottom"/>
          </w:tcPr>
          <w:p>
            <w:pPr>
              <w:jc w:val="right"/>
              <w:ind w:right="3770"/>
              <w:spacing w:after="0"/>
              <w:rPr>
                <w:sz w:val="20"/>
                <w:szCs w:val="20"/>
                <w:color w:val="auto"/>
              </w:rPr>
            </w:pPr>
            <w:r>
              <w:rPr>
                <w:rFonts w:ascii="Arial" w:cs="Arial" w:eastAsia="Arial" w:hAnsi="Arial"/>
                <w:sz w:val="18"/>
                <w:szCs w:val="18"/>
                <w:color w:val="auto"/>
              </w:rPr>
              <w:t>(a)(4)</w:t>
            </w:r>
          </w:p>
        </w:tc>
        <w:tc>
          <w:tcPr>
            <w:tcW w:w="6660" w:type="dxa"/>
            <w:vAlign w:val="bottom"/>
          </w:tcPr>
          <w:p>
            <w:pPr>
              <w:ind w:left="3860"/>
              <w:spacing w:after="0"/>
              <w:rPr>
                <w:sz w:val="20"/>
                <w:szCs w:val="20"/>
                <w:color w:val="auto"/>
              </w:rPr>
            </w:pPr>
            <w:r>
              <w:rPr>
                <w:rFonts w:ascii="Arial" w:cs="Arial" w:eastAsia="Arial" w:hAnsi="Arial"/>
                <w:sz w:val="18"/>
                <w:szCs w:val="18"/>
                <w:color w:val="auto"/>
              </w:rPr>
              <w:t>Not Applicable</w:t>
            </w:r>
          </w:p>
        </w:tc>
      </w:tr>
      <w:tr>
        <w:trPr>
          <w:trHeight w:val="257"/>
        </w:trPr>
        <w:tc>
          <w:tcPr>
            <w:tcW w:w="4700" w:type="dxa"/>
            <w:vAlign w:val="bottom"/>
          </w:tcPr>
          <w:p>
            <w:pPr>
              <w:spacing w:after="0"/>
              <w:rPr>
                <w:sz w:val="22"/>
                <w:szCs w:val="22"/>
                <w:color w:val="auto"/>
              </w:rPr>
            </w:pPr>
          </w:p>
        </w:tc>
        <w:tc>
          <w:tcPr>
            <w:tcW w:w="6660" w:type="dxa"/>
            <w:vAlign w:val="bottom"/>
          </w:tcPr>
          <w:p>
            <w:pPr>
              <w:spacing w:after="0"/>
              <w:rPr>
                <w:sz w:val="22"/>
                <w:szCs w:val="22"/>
                <w:color w:val="auto"/>
              </w:rPr>
            </w:pPr>
          </w:p>
        </w:tc>
      </w:tr>
      <w:tr>
        <w:trPr>
          <w:trHeight w:val="243"/>
        </w:trPr>
        <w:tc>
          <w:tcPr>
            <w:tcW w:w="4700" w:type="dxa"/>
            <w:vAlign w:val="bottom"/>
            <w:shd w:val="clear" w:color="auto" w:fill="CCEEFF"/>
          </w:tcPr>
          <w:p>
            <w:pPr>
              <w:jc w:val="right"/>
              <w:ind w:right="3770"/>
              <w:spacing w:after="0"/>
              <w:rPr>
                <w:sz w:val="20"/>
                <w:szCs w:val="20"/>
                <w:color w:val="auto"/>
              </w:rPr>
            </w:pPr>
            <w:r>
              <w:rPr>
                <w:rFonts w:ascii="Arial" w:cs="Arial" w:eastAsia="Arial" w:hAnsi="Arial"/>
                <w:sz w:val="18"/>
                <w:szCs w:val="18"/>
                <w:color w:val="auto"/>
              </w:rPr>
              <w:t>(a)(5)</w:t>
            </w:r>
          </w:p>
        </w:tc>
        <w:tc>
          <w:tcPr>
            <w:tcW w:w="6660" w:type="dxa"/>
            <w:vAlign w:val="bottom"/>
            <w:shd w:val="clear" w:color="auto" w:fill="CCEEFF"/>
          </w:tcPr>
          <w:p>
            <w:pPr>
              <w:ind w:left="3860"/>
              <w:spacing w:after="0"/>
              <w:rPr>
                <w:sz w:val="20"/>
                <w:szCs w:val="20"/>
                <w:color w:val="auto"/>
              </w:rPr>
            </w:pPr>
            <w:r>
              <w:rPr>
                <w:rFonts w:ascii="Arial" w:cs="Arial" w:eastAsia="Arial" w:hAnsi="Arial"/>
                <w:sz w:val="18"/>
                <w:szCs w:val="18"/>
                <w:color w:val="auto"/>
              </w:rPr>
              <w:t>609</w:t>
            </w:r>
          </w:p>
        </w:tc>
      </w:tr>
      <w:tr>
        <w:trPr>
          <w:trHeight w:val="257"/>
        </w:trPr>
        <w:tc>
          <w:tcPr>
            <w:tcW w:w="4700" w:type="dxa"/>
            <w:vAlign w:val="bottom"/>
            <w:shd w:val="clear" w:color="auto" w:fill="CCEEFF"/>
          </w:tcPr>
          <w:p>
            <w:pPr>
              <w:spacing w:after="0"/>
              <w:rPr>
                <w:sz w:val="22"/>
                <w:szCs w:val="22"/>
                <w:color w:val="auto"/>
              </w:rPr>
            </w:pPr>
          </w:p>
        </w:tc>
        <w:tc>
          <w:tcPr>
            <w:tcW w:w="6660" w:type="dxa"/>
            <w:vAlign w:val="bottom"/>
            <w:shd w:val="clear" w:color="auto" w:fill="CCEEFF"/>
          </w:tcPr>
          <w:p>
            <w:pPr>
              <w:spacing w:after="0"/>
              <w:rPr>
                <w:sz w:val="22"/>
                <w:szCs w:val="22"/>
                <w:color w:val="auto"/>
              </w:rPr>
            </w:pPr>
          </w:p>
        </w:tc>
      </w:tr>
      <w:tr>
        <w:trPr>
          <w:trHeight w:val="243"/>
        </w:trPr>
        <w:tc>
          <w:tcPr>
            <w:tcW w:w="4700" w:type="dxa"/>
            <w:vAlign w:val="bottom"/>
          </w:tcPr>
          <w:p>
            <w:pPr>
              <w:ind w:left="440"/>
              <w:spacing w:after="0"/>
              <w:rPr>
                <w:sz w:val="20"/>
                <w:szCs w:val="20"/>
                <w:color w:val="auto"/>
              </w:rPr>
            </w:pPr>
            <w:r>
              <w:rPr>
                <w:rFonts w:ascii="Arial" w:cs="Arial" w:eastAsia="Arial" w:hAnsi="Arial"/>
                <w:sz w:val="18"/>
                <w:szCs w:val="18"/>
                <w:color w:val="auto"/>
              </w:rPr>
              <w:t>(b)</w:t>
            </w:r>
          </w:p>
        </w:tc>
        <w:tc>
          <w:tcPr>
            <w:tcW w:w="6660" w:type="dxa"/>
            <w:vAlign w:val="bottom"/>
          </w:tcPr>
          <w:p>
            <w:pPr>
              <w:ind w:left="3860"/>
              <w:spacing w:after="0"/>
              <w:rPr>
                <w:sz w:val="20"/>
                <w:szCs w:val="20"/>
                <w:color w:val="auto"/>
              </w:rPr>
            </w:pPr>
            <w:r>
              <w:rPr>
                <w:rFonts w:ascii="Arial" w:cs="Arial" w:eastAsia="Arial" w:hAnsi="Arial"/>
                <w:sz w:val="18"/>
                <w:szCs w:val="18"/>
                <w:color w:val="auto"/>
              </w:rPr>
              <w:t>608</w:t>
            </w:r>
          </w:p>
        </w:tc>
      </w:tr>
      <w:tr>
        <w:trPr>
          <w:trHeight w:val="257"/>
        </w:trPr>
        <w:tc>
          <w:tcPr>
            <w:tcW w:w="4700" w:type="dxa"/>
            <w:vAlign w:val="bottom"/>
          </w:tcPr>
          <w:p>
            <w:pPr>
              <w:spacing w:after="0"/>
              <w:rPr>
                <w:sz w:val="22"/>
                <w:szCs w:val="22"/>
                <w:color w:val="auto"/>
              </w:rPr>
            </w:pPr>
          </w:p>
        </w:tc>
        <w:tc>
          <w:tcPr>
            <w:tcW w:w="6660" w:type="dxa"/>
            <w:vAlign w:val="bottom"/>
          </w:tcPr>
          <w:p>
            <w:pPr>
              <w:spacing w:after="0"/>
              <w:rPr>
                <w:sz w:val="22"/>
                <w:szCs w:val="22"/>
                <w:color w:val="auto"/>
              </w:rPr>
            </w:pPr>
          </w:p>
        </w:tc>
      </w:tr>
      <w:tr>
        <w:trPr>
          <w:trHeight w:val="243"/>
        </w:trPr>
        <w:tc>
          <w:tcPr>
            <w:tcW w:w="4700" w:type="dxa"/>
            <w:vAlign w:val="bottom"/>
            <w:shd w:val="clear" w:color="auto" w:fill="CCEEFF"/>
          </w:tcPr>
          <w:p>
            <w:pPr>
              <w:spacing w:after="0"/>
              <w:rPr>
                <w:sz w:val="21"/>
                <w:szCs w:val="21"/>
                <w:color w:val="auto"/>
              </w:rPr>
            </w:pPr>
          </w:p>
        </w:tc>
        <w:tc>
          <w:tcPr>
            <w:tcW w:w="6660" w:type="dxa"/>
            <w:vAlign w:val="bottom"/>
            <w:shd w:val="clear" w:color="auto" w:fill="CCEEFF"/>
          </w:tcPr>
          <w:p>
            <w:pPr>
              <w:ind w:left="3860"/>
              <w:spacing w:after="0"/>
              <w:rPr>
                <w:sz w:val="20"/>
                <w:szCs w:val="20"/>
                <w:color w:val="auto"/>
              </w:rPr>
            </w:pPr>
            <w:r>
              <w:rPr>
                <w:rFonts w:ascii="Arial" w:cs="Arial" w:eastAsia="Arial" w:hAnsi="Arial"/>
                <w:sz w:val="18"/>
                <w:szCs w:val="18"/>
                <w:color w:val="auto"/>
              </w:rPr>
              <w:t>610</w:t>
            </w:r>
          </w:p>
        </w:tc>
      </w:tr>
      <w:tr>
        <w:trPr>
          <w:trHeight w:val="257"/>
        </w:trPr>
        <w:tc>
          <w:tcPr>
            <w:tcW w:w="4700" w:type="dxa"/>
            <w:vAlign w:val="bottom"/>
            <w:shd w:val="clear" w:color="auto" w:fill="CCEEFF"/>
          </w:tcPr>
          <w:p>
            <w:pPr>
              <w:spacing w:after="0"/>
              <w:rPr>
                <w:sz w:val="22"/>
                <w:szCs w:val="22"/>
                <w:color w:val="auto"/>
              </w:rPr>
            </w:pPr>
          </w:p>
        </w:tc>
        <w:tc>
          <w:tcPr>
            <w:tcW w:w="6660" w:type="dxa"/>
            <w:vAlign w:val="bottom"/>
            <w:shd w:val="clear" w:color="auto" w:fill="CCEEFF"/>
          </w:tcPr>
          <w:p>
            <w:pPr>
              <w:spacing w:after="0"/>
              <w:rPr>
                <w:sz w:val="22"/>
                <w:szCs w:val="22"/>
                <w:color w:val="auto"/>
              </w:rPr>
            </w:pPr>
          </w:p>
        </w:tc>
      </w:tr>
      <w:tr>
        <w:trPr>
          <w:trHeight w:val="243"/>
        </w:trPr>
        <w:tc>
          <w:tcPr>
            <w:tcW w:w="4700" w:type="dxa"/>
            <w:vAlign w:val="bottom"/>
          </w:tcPr>
          <w:p>
            <w:pPr>
              <w:jc w:val="right"/>
              <w:ind w:right="3990"/>
              <w:spacing w:after="0"/>
              <w:rPr>
                <w:sz w:val="20"/>
                <w:szCs w:val="20"/>
                <w:color w:val="auto"/>
              </w:rPr>
            </w:pPr>
            <w:r>
              <w:rPr>
                <w:rFonts w:ascii="Arial" w:cs="Arial" w:eastAsia="Arial" w:hAnsi="Arial"/>
                <w:sz w:val="18"/>
                <w:szCs w:val="18"/>
                <w:color w:val="auto"/>
                <w:w w:val="89"/>
              </w:rPr>
              <w:t>§ 311(a)</w:t>
            </w:r>
          </w:p>
        </w:tc>
        <w:tc>
          <w:tcPr>
            <w:tcW w:w="6660" w:type="dxa"/>
            <w:vAlign w:val="bottom"/>
          </w:tcPr>
          <w:p>
            <w:pPr>
              <w:ind w:left="3860"/>
              <w:spacing w:after="0"/>
              <w:rPr>
                <w:sz w:val="20"/>
                <w:szCs w:val="20"/>
                <w:color w:val="auto"/>
              </w:rPr>
            </w:pPr>
            <w:r>
              <w:rPr>
                <w:rFonts w:ascii="Arial" w:cs="Arial" w:eastAsia="Arial" w:hAnsi="Arial"/>
                <w:sz w:val="18"/>
                <w:szCs w:val="18"/>
                <w:color w:val="auto"/>
              </w:rPr>
              <w:t>613(a)</w:t>
            </w:r>
          </w:p>
        </w:tc>
      </w:tr>
      <w:tr>
        <w:trPr>
          <w:trHeight w:val="257"/>
        </w:trPr>
        <w:tc>
          <w:tcPr>
            <w:tcW w:w="4700" w:type="dxa"/>
            <w:vAlign w:val="bottom"/>
          </w:tcPr>
          <w:p>
            <w:pPr>
              <w:spacing w:after="0"/>
              <w:rPr>
                <w:sz w:val="22"/>
                <w:szCs w:val="22"/>
                <w:color w:val="auto"/>
              </w:rPr>
            </w:pPr>
          </w:p>
        </w:tc>
        <w:tc>
          <w:tcPr>
            <w:tcW w:w="6660" w:type="dxa"/>
            <w:vAlign w:val="bottom"/>
          </w:tcPr>
          <w:p>
            <w:pPr>
              <w:spacing w:after="0"/>
              <w:rPr>
                <w:sz w:val="22"/>
                <w:szCs w:val="22"/>
                <w:color w:val="auto"/>
              </w:rPr>
            </w:pPr>
          </w:p>
        </w:tc>
      </w:tr>
      <w:tr>
        <w:trPr>
          <w:trHeight w:val="243"/>
        </w:trPr>
        <w:tc>
          <w:tcPr>
            <w:tcW w:w="4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w:t>
            </w:r>
          </w:p>
        </w:tc>
        <w:tc>
          <w:tcPr>
            <w:tcW w:w="6660" w:type="dxa"/>
            <w:vAlign w:val="bottom"/>
            <w:shd w:val="clear" w:color="auto" w:fill="CCEEFF"/>
          </w:tcPr>
          <w:p>
            <w:pPr>
              <w:ind w:left="3860"/>
              <w:spacing w:after="0"/>
              <w:rPr>
                <w:sz w:val="20"/>
                <w:szCs w:val="20"/>
                <w:color w:val="auto"/>
              </w:rPr>
            </w:pPr>
            <w:r>
              <w:rPr>
                <w:rFonts w:ascii="Arial" w:cs="Arial" w:eastAsia="Arial" w:hAnsi="Arial"/>
                <w:sz w:val="18"/>
                <w:szCs w:val="18"/>
                <w:color w:val="auto"/>
              </w:rPr>
              <w:t>613(b)</w:t>
            </w:r>
          </w:p>
        </w:tc>
      </w:tr>
      <w:tr>
        <w:trPr>
          <w:trHeight w:val="257"/>
        </w:trPr>
        <w:tc>
          <w:tcPr>
            <w:tcW w:w="4700" w:type="dxa"/>
            <w:vAlign w:val="bottom"/>
            <w:shd w:val="clear" w:color="auto" w:fill="CCEEFF"/>
          </w:tcPr>
          <w:p>
            <w:pPr>
              <w:spacing w:after="0"/>
              <w:rPr>
                <w:sz w:val="22"/>
                <w:szCs w:val="22"/>
                <w:color w:val="auto"/>
              </w:rPr>
            </w:pPr>
          </w:p>
        </w:tc>
        <w:tc>
          <w:tcPr>
            <w:tcW w:w="6660" w:type="dxa"/>
            <w:vAlign w:val="bottom"/>
            <w:shd w:val="clear" w:color="auto" w:fill="CCEEFF"/>
          </w:tcPr>
          <w:p>
            <w:pPr>
              <w:spacing w:after="0"/>
              <w:rPr>
                <w:sz w:val="22"/>
                <w:szCs w:val="22"/>
                <w:color w:val="auto"/>
              </w:rPr>
            </w:pPr>
          </w:p>
        </w:tc>
      </w:tr>
      <w:tr>
        <w:trPr>
          <w:trHeight w:val="243"/>
        </w:trPr>
        <w:tc>
          <w:tcPr>
            <w:tcW w:w="4700" w:type="dxa"/>
            <w:vAlign w:val="bottom"/>
          </w:tcPr>
          <w:p>
            <w:pPr>
              <w:ind w:left="440"/>
              <w:spacing w:after="0"/>
              <w:rPr>
                <w:sz w:val="20"/>
                <w:szCs w:val="20"/>
                <w:color w:val="auto"/>
              </w:rPr>
            </w:pPr>
            <w:r>
              <w:rPr>
                <w:rFonts w:ascii="Arial" w:cs="Arial" w:eastAsia="Arial" w:hAnsi="Arial"/>
                <w:sz w:val="18"/>
                <w:szCs w:val="18"/>
                <w:color w:val="auto"/>
              </w:rPr>
              <w:t>(b)(2)</w:t>
            </w:r>
          </w:p>
        </w:tc>
        <w:tc>
          <w:tcPr>
            <w:tcW w:w="6660" w:type="dxa"/>
            <w:vAlign w:val="bottom"/>
          </w:tcPr>
          <w:p>
            <w:pPr>
              <w:ind w:left="3860"/>
              <w:spacing w:after="0"/>
              <w:rPr>
                <w:sz w:val="20"/>
                <w:szCs w:val="20"/>
                <w:color w:val="auto"/>
              </w:rPr>
            </w:pPr>
            <w:r>
              <w:rPr>
                <w:rFonts w:ascii="Arial" w:cs="Arial" w:eastAsia="Arial" w:hAnsi="Arial"/>
                <w:sz w:val="18"/>
                <w:szCs w:val="18"/>
                <w:color w:val="auto"/>
              </w:rPr>
              <w:t>703(a)(2)</w:t>
            </w:r>
          </w:p>
        </w:tc>
      </w:tr>
      <w:tr>
        <w:trPr>
          <w:trHeight w:val="257"/>
        </w:trPr>
        <w:tc>
          <w:tcPr>
            <w:tcW w:w="4700" w:type="dxa"/>
            <w:vAlign w:val="bottom"/>
          </w:tcPr>
          <w:p>
            <w:pPr>
              <w:spacing w:after="0"/>
              <w:rPr>
                <w:sz w:val="22"/>
                <w:szCs w:val="22"/>
                <w:color w:val="auto"/>
              </w:rPr>
            </w:pPr>
          </w:p>
        </w:tc>
        <w:tc>
          <w:tcPr>
            <w:tcW w:w="6660" w:type="dxa"/>
            <w:vAlign w:val="bottom"/>
          </w:tcPr>
          <w:p>
            <w:pPr>
              <w:spacing w:after="0"/>
              <w:rPr>
                <w:sz w:val="22"/>
                <w:szCs w:val="22"/>
                <w:color w:val="auto"/>
              </w:rPr>
            </w:pPr>
          </w:p>
        </w:tc>
      </w:tr>
      <w:tr>
        <w:trPr>
          <w:trHeight w:val="243"/>
        </w:trPr>
        <w:tc>
          <w:tcPr>
            <w:tcW w:w="4700" w:type="dxa"/>
            <w:vAlign w:val="bottom"/>
            <w:shd w:val="clear" w:color="auto" w:fill="CCEEFF"/>
          </w:tcPr>
          <w:p>
            <w:pPr>
              <w:spacing w:after="0"/>
              <w:rPr>
                <w:sz w:val="21"/>
                <w:szCs w:val="21"/>
                <w:color w:val="auto"/>
              </w:rPr>
            </w:pPr>
          </w:p>
        </w:tc>
        <w:tc>
          <w:tcPr>
            <w:tcW w:w="6660" w:type="dxa"/>
            <w:vAlign w:val="bottom"/>
            <w:shd w:val="clear" w:color="auto" w:fill="CCEEFF"/>
          </w:tcPr>
          <w:p>
            <w:pPr>
              <w:ind w:left="3860"/>
              <w:spacing w:after="0"/>
              <w:rPr>
                <w:sz w:val="20"/>
                <w:szCs w:val="20"/>
                <w:color w:val="auto"/>
              </w:rPr>
            </w:pPr>
            <w:r>
              <w:rPr>
                <w:rFonts w:ascii="Arial" w:cs="Arial" w:eastAsia="Arial" w:hAnsi="Arial"/>
                <w:sz w:val="18"/>
                <w:szCs w:val="18"/>
                <w:color w:val="auto"/>
              </w:rPr>
              <w:t>703(b)</w:t>
            </w:r>
          </w:p>
        </w:tc>
      </w:tr>
      <w:tr>
        <w:trPr>
          <w:trHeight w:val="257"/>
        </w:trPr>
        <w:tc>
          <w:tcPr>
            <w:tcW w:w="4700" w:type="dxa"/>
            <w:vAlign w:val="bottom"/>
            <w:shd w:val="clear" w:color="auto" w:fill="CCEEFF"/>
          </w:tcPr>
          <w:p>
            <w:pPr>
              <w:spacing w:after="0"/>
              <w:rPr>
                <w:sz w:val="22"/>
                <w:szCs w:val="22"/>
                <w:color w:val="auto"/>
              </w:rPr>
            </w:pPr>
          </w:p>
        </w:tc>
        <w:tc>
          <w:tcPr>
            <w:tcW w:w="6660" w:type="dxa"/>
            <w:vAlign w:val="bottom"/>
            <w:shd w:val="clear" w:color="auto" w:fill="CCEEFF"/>
          </w:tcPr>
          <w:p>
            <w:pPr>
              <w:spacing w:after="0"/>
              <w:rPr>
                <w:sz w:val="22"/>
                <w:szCs w:val="22"/>
                <w:color w:val="auto"/>
              </w:rPr>
            </w:pPr>
          </w:p>
        </w:tc>
      </w:tr>
      <w:tr>
        <w:trPr>
          <w:trHeight w:val="243"/>
        </w:trPr>
        <w:tc>
          <w:tcPr>
            <w:tcW w:w="4700" w:type="dxa"/>
            <w:vAlign w:val="bottom"/>
          </w:tcPr>
          <w:p>
            <w:pPr>
              <w:jc w:val="right"/>
              <w:ind w:right="3970"/>
              <w:spacing w:after="0"/>
              <w:rPr>
                <w:sz w:val="20"/>
                <w:szCs w:val="20"/>
                <w:color w:val="auto"/>
              </w:rPr>
            </w:pPr>
            <w:r>
              <w:rPr>
                <w:rFonts w:ascii="Arial" w:cs="Arial" w:eastAsia="Arial" w:hAnsi="Arial"/>
                <w:sz w:val="18"/>
                <w:szCs w:val="18"/>
                <w:color w:val="auto"/>
                <w:w w:val="92"/>
              </w:rPr>
              <w:t>§ 312(a)</w:t>
            </w:r>
          </w:p>
        </w:tc>
        <w:tc>
          <w:tcPr>
            <w:tcW w:w="6660" w:type="dxa"/>
            <w:vAlign w:val="bottom"/>
          </w:tcPr>
          <w:p>
            <w:pPr>
              <w:ind w:left="3860"/>
              <w:spacing w:after="0"/>
              <w:rPr>
                <w:sz w:val="20"/>
                <w:szCs w:val="20"/>
                <w:color w:val="auto"/>
              </w:rPr>
            </w:pPr>
            <w:r>
              <w:rPr>
                <w:rFonts w:ascii="Arial" w:cs="Arial" w:eastAsia="Arial" w:hAnsi="Arial"/>
                <w:sz w:val="18"/>
                <w:szCs w:val="18"/>
                <w:color w:val="auto"/>
              </w:rPr>
              <w:t>701</w:t>
            </w:r>
          </w:p>
        </w:tc>
      </w:tr>
      <w:tr>
        <w:trPr>
          <w:trHeight w:val="257"/>
        </w:trPr>
        <w:tc>
          <w:tcPr>
            <w:tcW w:w="4700" w:type="dxa"/>
            <w:vAlign w:val="bottom"/>
          </w:tcPr>
          <w:p>
            <w:pPr>
              <w:spacing w:after="0"/>
              <w:rPr>
                <w:sz w:val="22"/>
                <w:szCs w:val="22"/>
                <w:color w:val="auto"/>
              </w:rPr>
            </w:pPr>
          </w:p>
        </w:tc>
        <w:tc>
          <w:tcPr>
            <w:tcW w:w="6660" w:type="dxa"/>
            <w:vAlign w:val="bottom"/>
          </w:tcPr>
          <w:p>
            <w:pPr>
              <w:spacing w:after="0"/>
              <w:rPr>
                <w:sz w:val="22"/>
                <w:szCs w:val="22"/>
                <w:color w:val="auto"/>
              </w:rPr>
            </w:pPr>
          </w:p>
        </w:tc>
      </w:tr>
      <w:tr>
        <w:trPr>
          <w:trHeight w:val="243"/>
        </w:trPr>
        <w:tc>
          <w:tcPr>
            <w:tcW w:w="4700" w:type="dxa"/>
            <w:vAlign w:val="bottom"/>
            <w:shd w:val="clear" w:color="auto" w:fill="CCEEFF"/>
          </w:tcPr>
          <w:p>
            <w:pPr>
              <w:spacing w:after="0"/>
              <w:rPr>
                <w:sz w:val="21"/>
                <w:szCs w:val="21"/>
                <w:color w:val="auto"/>
              </w:rPr>
            </w:pPr>
          </w:p>
        </w:tc>
        <w:tc>
          <w:tcPr>
            <w:tcW w:w="6660" w:type="dxa"/>
            <w:vAlign w:val="bottom"/>
            <w:shd w:val="clear" w:color="auto" w:fill="CCEEFF"/>
          </w:tcPr>
          <w:p>
            <w:pPr>
              <w:ind w:left="3860"/>
              <w:spacing w:after="0"/>
              <w:rPr>
                <w:sz w:val="20"/>
                <w:szCs w:val="20"/>
                <w:color w:val="auto"/>
              </w:rPr>
            </w:pPr>
            <w:r>
              <w:rPr>
                <w:rFonts w:ascii="Arial" w:cs="Arial" w:eastAsia="Arial" w:hAnsi="Arial"/>
                <w:sz w:val="18"/>
                <w:szCs w:val="18"/>
                <w:color w:val="auto"/>
              </w:rPr>
              <w:t>702(a)</w:t>
            </w:r>
          </w:p>
        </w:tc>
      </w:tr>
      <w:tr>
        <w:trPr>
          <w:trHeight w:val="257"/>
        </w:trPr>
        <w:tc>
          <w:tcPr>
            <w:tcW w:w="4700" w:type="dxa"/>
            <w:vAlign w:val="bottom"/>
            <w:shd w:val="clear" w:color="auto" w:fill="CCEEFF"/>
          </w:tcPr>
          <w:p>
            <w:pPr>
              <w:spacing w:after="0"/>
              <w:rPr>
                <w:sz w:val="22"/>
                <w:szCs w:val="22"/>
                <w:color w:val="auto"/>
              </w:rPr>
            </w:pPr>
          </w:p>
        </w:tc>
        <w:tc>
          <w:tcPr>
            <w:tcW w:w="6660" w:type="dxa"/>
            <w:vAlign w:val="bottom"/>
            <w:shd w:val="clear" w:color="auto" w:fill="CCEEFF"/>
          </w:tcPr>
          <w:p>
            <w:pPr>
              <w:spacing w:after="0"/>
              <w:rPr>
                <w:sz w:val="22"/>
                <w:szCs w:val="22"/>
                <w:color w:val="auto"/>
              </w:rPr>
            </w:pPr>
          </w:p>
        </w:tc>
      </w:tr>
    </w:tbl>
    <w:p>
      <w:pPr>
        <w:sectPr>
          <w:pgSz w:w="11900" w:h="16838" w:orient="portrait"/>
          <w:cols w:equalWidth="0" w:num="1">
            <w:col w:w="11360"/>
          </w:cols>
          <w:pgMar w:left="300" w:top="580" w:right="239" w:bottom="1440" w:gutter="0" w:footer="0" w:header="0"/>
        </w:sectPr>
      </w:pPr>
    </w:p>
    <w:bookmarkStart w:id="26" w:name="page27"/>
    <w:bookmarkEnd w:id="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tcPr>
          <w:p>
            <w:pPr>
              <w:ind w:left="440"/>
              <w:spacing w:after="0"/>
              <w:rPr>
                <w:sz w:val="20"/>
                <w:szCs w:val="20"/>
                <w:color w:val="auto"/>
              </w:rPr>
            </w:pPr>
            <w:r>
              <w:rPr>
                <w:rFonts w:ascii="Arial" w:cs="Arial" w:eastAsia="Arial" w:hAnsi="Arial"/>
                <w:sz w:val="18"/>
                <w:szCs w:val="18"/>
                <w:color w:val="auto"/>
              </w:rPr>
              <w:t>(b)</w:t>
            </w:r>
          </w:p>
        </w:tc>
        <w:tc>
          <w:tcPr>
            <w:tcW w:w="6660" w:type="dxa"/>
            <w:vAlign w:val="bottom"/>
          </w:tcPr>
          <w:p>
            <w:pPr>
              <w:ind w:left="3860"/>
              <w:spacing w:after="0"/>
              <w:rPr>
                <w:sz w:val="20"/>
                <w:szCs w:val="20"/>
                <w:color w:val="auto"/>
              </w:rPr>
            </w:pPr>
            <w:r>
              <w:rPr>
                <w:rFonts w:ascii="Arial" w:cs="Arial" w:eastAsia="Arial" w:hAnsi="Arial"/>
                <w:sz w:val="18"/>
                <w:szCs w:val="18"/>
                <w:color w:val="auto"/>
              </w:rPr>
              <w:t>702(b)</w:t>
            </w:r>
          </w:p>
        </w:tc>
      </w:tr>
      <w:tr>
        <w:trPr>
          <w:trHeight w:val="257"/>
        </w:trPr>
        <w:tc>
          <w:tcPr>
            <w:tcW w:w="4700" w:type="dxa"/>
            <w:vAlign w:val="bottom"/>
          </w:tcPr>
          <w:p>
            <w:pPr>
              <w:spacing w:after="0"/>
              <w:rPr>
                <w:sz w:val="22"/>
                <w:szCs w:val="22"/>
                <w:color w:val="auto"/>
              </w:rPr>
            </w:pPr>
          </w:p>
        </w:tc>
        <w:tc>
          <w:tcPr>
            <w:tcW w:w="6660" w:type="dxa"/>
            <w:vAlign w:val="bottom"/>
          </w:tcPr>
          <w:p>
            <w:pPr>
              <w:spacing w:after="0"/>
              <w:rPr>
                <w:sz w:val="22"/>
                <w:szCs w:val="22"/>
                <w:color w:val="auto"/>
              </w:rPr>
            </w:pPr>
          </w:p>
        </w:tc>
      </w:tr>
      <w:tr>
        <w:trPr>
          <w:trHeight w:val="243"/>
        </w:trPr>
        <w:tc>
          <w:tcPr>
            <w:tcW w:w="4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w:t>
            </w:r>
          </w:p>
        </w:tc>
        <w:tc>
          <w:tcPr>
            <w:tcW w:w="6660" w:type="dxa"/>
            <w:vAlign w:val="bottom"/>
            <w:shd w:val="clear" w:color="auto" w:fill="CCEEFF"/>
          </w:tcPr>
          <w:p>
            <w:pPr>
              <w:ind w:left="3860"/>
              <w:spacing w:after="0"/>
              <w:rPr>
                <w:sz w:val="20"/>
                <w:szCs w:val="20"/>
                <w:color w:val="auto"/>
              </w:rPr>
            </w:pPr>
            <w:r>
              <w:rPr>
                <w:rFonts w:ascii="Arial" w:cs="Arial" w:eastAsia="Arial" w:hAnsi="Arial"/>
                <w:sz w:val="18"/>
                <w:szCs w:val="18"/>
                <w:color w:val="auto"/>
              </w:rPr>
              <w:t>702(c)</w:t>
            </w:r>
          </w:p>
        </w:tc>
      </w:tr>
      <w:tr>
        <w:trPr>
          <w:trHeight w:val="257"/>
        </w:trPr>
        <w:tc>
          <w:tcPr>
            <w:tcW w:w="4700" w:type="dxa"/>
            <w:vAlign w:val="bottom"/>
            <w:shd w:val="clear" w:color="auto" w:fill="CCEEFF"/>
          </w:tcPr>
          <w:p>
            <w:pPr>
              <w:spacing w:after="0"/>
              <w:rPr>
                <w:sz w:val="22"/>
                <w:szCs w:val="22"/>
                <w:color w:val="auto"/>
              </w:rPr>
            </w:pPr>
          </w:p>
        </w:tc>
        <w:tc>
          <w:tcPr>
            <w:tcW w:w="6660" w:type="dxa"/>
            <w:vAlign w:val="bottom"/>
            <w:shd w:val="clear" w:color="auto" w:fill="CCEEFF"/>
          </w:tcPr>
          <w:p>
            <w:pPr>
              <w:spacing w:after="0"/>
              <w:rPr>
                <w:sz w:val="22"/>
                <w:szCs w:val="22"/>
                <w:color w:val="auto"/>
              </w:rPr>
            </w:pP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 313(a)</w:t>
            </w:r>
          </w:p>
        </w:tc>
        <w:tc>
          <w:tcPr>
            <w:tcW w:w="6660" w:type="dxa"/>
            <w:vAlign w:val="bottom"/>
          </w:tcPr>
          <w:p>
            <w:pPr>
              <w:ind w:left="3860"/>
              <w:spacing w:after="0"/>
              <w:rPr>
                <w:sz w:val="20"/>
                <w:szCs w:val="20"/>
                <w:color w:val="auto"/>
              </w:rPr>
            </w:pPr>
            <w:r>
              <w:rPr>
                <w:rFonts w:ascii="Arial" w:cs="Arial" w:eastAsia="Arial" w:hAnsi="Arial"/>
                <w:sz w:val="18"/>
                <w:szCs w:val="18"/>
                <w:color w:val="auto"/>
              </w:rPr>
              <w:t>703(a)</w:t>
            </w:r>
          </w:p>
        </w:tc>
      </w:tr>
      <w:tr>
        <w:trPr>
          <w:trHeight w:val="257"/>
        </w:trPr>
        <w:tc>
          <w:tcPr>
            <w:tcW w:w="4700" w:type="dxa"/>
            <w:vAlign w:val="bottom"/>
          </w:tcPr>
          <w:p>
            <w:pPr>
              <w:spacing w:after="0"/>
              <w:rPr>
                <w:sz w:val="22"/>
                <w:szCs w:val="22"/>
                <w:color w:val="auto"/>
              </w:rPr>
            </w:pPr>
          </w:p>
        </w:tc>
        <w:tc>
          <w:tcPr>
            <w:tcW w:w="6660" w:type="dxa"/>
            <w:vAlign w:val="bottom"/>
          </w:tcPr>
          <w:p>
            <w:pPr>
              <w:spacing w:after="0"/>
              <w:rPr>
                <w:sz w:val="22"/>
                <w:szCs w:val="22"/>
                <w:color w:val="auto"/>
              </w:rPr>
            </w:pPr>
          </w:p>
        </w:tc>
      </w:tr>
      <w:tr>
        <w:trPr>
          <w:trHeight w:val="243"/>
        </w:trPr>
        <w:tc>
          <w:tcPr>
            <w:tcW w:w="4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w:t>
            </w:r>
          </w:p>
        </w:tc>
        <w:tc>
          <w:tcPr>
            <w:tcW w:w="6660" w:type="dxa"/>
            <w:vAlign w:val="bottom"/>
            <w:shd w:val="clear" w:color="auto" w:fill="CCEEFF"/>
          </w:tcPr>
          <w:p>
            <w:pPr>
              <w:ind w:left="3860"/>
              <w:spacing w:after="0"/>
              <w:rPr>
                <w:sz w:val="20"/>
                <w:szCs w:val="20"/>
                <w:color w:val="auto"/>
              </w:rPr>
            </w:pPr>
            <w:r>
              <w:rPr>
                <w:rFonts w:ascii="Arial" w:cs="Arial" w:eastAsia="Arial" w:hAnsi="Arial"/>
                <w:sz w:val="18"/>
                <w:szCs w:val="18"/>
                <w:color w:val="auto"/>
              </w:rPr>
              <w:t>703(b)</w:t>
            </w:r>
          </w:p>
        </w:tc>
      </w:tr>
      <w:tr>
        <w:trPr>
          <w:trHeight w:val="257"/>
        </w:trPr>
        <w:tc>
          <w:tcPr>
            <w:tcW w:w="4700" w:type="dxa"/>
            <w:vAlign w:val="bottom"/>
            <w:shd w:val="clear" w:color="auto" w:fill="CCEEFF"/>
          </w:tcPr>
          <w:p>
            <w:pPr>
              <w:spacing w:after="0"/>
              <w:rPr>
                <w:sz w:val="22"/>
                <w:szCs w:val="22"/>
                <w:color w:val="auto"/>
              </w:rPr>
            </w:pPr>
          </w:p>
        </w:tc>
        <w:tc>
          <w:tcPr>
            <w:tcW w:w="6660" w:type="dxa"/>
            <w:vAlign w:val="bottom"/>
            <w:shd w:val="clear" w:color="auto" w:fill="CCEEFF"/>
          </w:tcPr>
          <w:p>
            <w:pPr>
              <w:spacing w:after="0"/>
              <w:rPr>
                <w:sz w:val="22"/>
                <w:szCs w:val="22"/>
                <w:color w:val="auto"/>
              </w:rPr>
            </w:pPr>
          </w:p>
        </w:tc>
      </w:tr>
      <w:tr>
        <w:trPr>
          <w:trHeight w:val="243"/>
        </w:trPr>
        <w:tc>
          <w:tcPr>
            <w:tcW w:w="4700" w:type="dxa"/>
            <w:vAlign w:val="bottom"/>
          </w:tcPr>
          <w:p>
            <w:pPr>
              <w:ind w:left="440"/>
              <w:spacing w:after="0"/>
              <w:rPr>
                <w:sz w:val="20"/>
                <w:szCs w:val="20"/>
                <w:color w:val="auto"/>
              </w:rPr>
            </w:pPr>
            <w:r>
              <w:rPr>
                <w:rFonts w:ascii="Arial" w:cs="Arial" w:eastAsia="Arial" w:hAnsi="Arial"/>
                <w:sz w:val="18"/>
                <w:szCs w:val="18"/>
                <w:color w:val="auto"/>
              </w:rPr>
              <w:t>(c)</w:t>
            </w:r>
          </w:p>
        </w:tc>
        <w:tc>
          <w:tcPr>
            <w:tcW w:w="6660" w:type="dxa"/>
            <w:vAlign w:val="bottom"/>
          </w:tcPr>
          <w:p>
            <w:pPr>
              <w:ind w:left="3860"/>
              <w:spacing w:after="0"/>
              <w:rPr>
                <w:sz w:val="20"/>
                <w:szCs w:val="20"/>
                <w:color w:val="auto"/>
              </w:rPr>
            </w:pPr>
            <w:r>
              <w:rPr>
                <w:rFonts w:ascii="Arial" w:cs="Arial" w:eastAsia="Arial" w:hAnsi="Arial"/>
                <w:sz w:val="18"/>
                <w:szCs w:val="18"/>
                <w:color w:val="auto"/>
              </w:rPr>
              <w:t>703(a), 703(b)</w:t>
            </w:r>
          </w:p>
        </w:tc>
      </w:tr>
      <w:tr>
        <w:trPr>
          <w:trHeight w:val="257"/>
        </w:trPr>
        <w:tc>
          <w:tcPr>
            <w:tcW w:w="4700" w:type="dxa"/>
            <w:vAlign w:val="bottom"/>
          </w:tcPr>
          <w:p>
            <w:pPr>
              <w:spacing w:after="0"/>
              <w:rPr>
                <w:sz w:val="22"/>
                <w:szCs w:val="22"/>
                <w:color w:val="auto"/>
              </w:rPr>
            </w:pPr>
          </w:p>
        </w:tc>
        <w:tc>
          <w:tcPr>
            <w:tcW w:w="6660" w:type="dxa"/>
            <w:vAlign w:val="bottom"/>
          </w:tcPr>
          <w:p>
            <w:pPr>
              <w:spacing w:after="0"/>
              <w:rPr>
                <w:sz w:val="22"/>
                <w:szCs w:val="22"/>
                <w:color w:val="auto"/>
              </w:rPr>
            </w:pPr>
          </w:p>
        </w:tc>
      </w:tr>
      <w:tr>
        <w:trPr>
          <w:trHeight w:val="243"/>
        </w:trPr>
        <w:tc>
          <w:tcPr>
            <w:tcW w:w="4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w:t>
            </w:r>
          </w:p>
        </w:tc>
        <w:tc>
          <w:tcPr>
            <w:tcW w:w="6660" w:type="dxa"/>
            <w:vAlign w:val="bottom"/>
            <w:shd w:val="clear" w:color="auto" w:fill="CCEEFF"/>
          </w:tcPr>
          <w:p>
            <w:pPr>
              <w:ind w:left="3860"/>
              <w:spacing w:after="0"/>
              <w:rPr>
                <w:sz w:val="20"/>
                <w:szCs w:val="20"/>
                <w:color w:val="auto"/>
              </w:rPr>
            </w:pPr>
            <w:r>
              <w:rPr>
                <w:rFonts w:ascii="Arial" w:cs="Arial" w:eastAsia="Arial" w:hAnsi="Arial"/>
                <w:sz w:val="18"/>
                <w:szCs w:val="18"/>
                <w:color w:val="auto"/>
              </w:rPr>
              <w:t>703(c)</w:t>
            </w:r>
          </w:p>
        </w:tc>
      </w:tr>
      <w:tr>
        <w:trPr>
          <w:trHeight w:val="257"/>
        </w:trPr>
        <w:tc>
          <w:tcPr>
            <w:tcW w:w="4700" w:type="dxa"/>
            <w:vAlign w:val="bottom"/>
            <w:shd w:val="clear" w:color="auto" w:fill="CCEEFF"/>
          </w:tcPr>
          <w:p>
            <w:pPr>
              <w:spacing w:after="0"/>
              <w:rPr>
                <w:sz w:val="22"/>
                <w:szCs w:val="22"/>
                <w:color w:val="auto"/>
              </w:rPr>
            </w:pPr>
          </w:p>
        </w:tc>
        <w:tc>
          <w:tcPr>
            <w:tcW w:w="6660" w:type="dxa"/>
            <w:vAlign w:val="bottom"/>
            <w:shd w:val="clear" w:color="auto" w:fill="CCEEFF"/>
          </w:tcPr>
          <w:p>
            <w:pPr>
              <w:spacing w:after="0"/>
              <w:rPr>
                <w:sz w:val="22"/>
                <w:szCs w:val="22"/>
                <w:color w:val="auto"/>
              </w:rPr>
            </w:pP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 314(a)</w:t>
            </w:r>
          </w:p>
        </w:tc>
        <w:tc>
          <w:tcPr>
            <w:tcW w:w="6660" w:type="dxa"/>
            <w:vAlign w:val="bottom"/>
          </w:tcPr>
          <w:p>
            <w:pPr>
              <w:ind w:left="3860"/>
              <w:spacing w:after="0"/>
              <w:rPr>
                <w:sz w:val="20"/>
                <w:szCs w:val="20"/>
                <w:color w:val="auto"/>
              </w:rPr>
            </w:pPr>
            <w:r>
              <w:rPr>
                <w:rFonts w:ascii="Arial" w:cs="Arial" w:eastAsia="Arial" w:hAnsi="Arial"/>
                <w:sz w:val="18"/>
                <w:szCs w:val="18"/>
                <w:color w:val="auto"/>
              </w:rPr>
              <w:t>704, 1004</w:t>
            </w:r>
          </w:p>
        </w:tc>
      </w:tr>
      <w:tr>
        <w:trPr>
          <w:trHeight w:val="257"/>
        </w:trPr>
        <w:tc>
          <w:tcPr>
            <w:tcW w:w="4700" w:type="dxa"/>
            <w:vAlign w:val="bottom"/>
          </w:tcPr>
          <w:p>
            <w:pPr>
              <w:spacing w:after="0"/>
              <w:rPr>
                <w:sz w:val="22"/>
                <w:szCs w:val="22"/>
                <w:color w:val="auto"/>
              </w:rPr>
            </w:pPr>
          </w:p>
        </w:tc>
        <w:tc>
          <w:tcPr>
            <w:tcW w:w="6660" w:type="dxa"/>
            <w:vAlign w:val="bottom"/>
          </w:tcPr>
          <w:p>
            <w:pPr>
              <w:spacing w:after="0"/>
              <w:rPr>
                <w:sz w:val="22"/>
                <w:szCs w:val="22"/>
                <w:color w:val="auto"/>
              </w:rPr>
            </w:pPr>
          </w:p>
        </w:tc>
      </w:tr>
      <w:tr>
        <w:trPr>
          <w:trHeight w:val="243"/>
        </w:trPr>
        <w:tc>
          <w:tcPr>
            <w:tcW w:w="4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w:t>
            </w:r>
          </w:p>
        </w:tc>
        <w:tc>
          <w:tcPr>
            <w:tcW w:w="6660" w:type="dxa"/>
            <w:vAlign w:val="bottom"/>
            <w:shd w:val="clear" w:color="auto" w:fill="CCEEFF"/>
          </w:tcPr>
          <w:p>
            <w:pPr>
              <w:ind w:left="3860"/>
              <w:spacing w:after="0"/>
              <w:rPr>
                <w:sz w:val="20"/>
                <w:szCs w:val="20"/>
                <w:color w:val="auto"/>
              </w:rPr>
            </w:pPr>
            <w:r>
              <w:rPr>
                <w:rFonts w:ascii="Arial" w:cs="Arial" w:eastAsia="Arial" w:hAnsi="Arial"/>
                <w:sz w:val="18"/>
                <w:szCs w:val="18"/>
                <w:color w:val="auto"/>
              </w:rPr>
              <w:t>Not Applicable</w:t>
            </w:r>
          </w:p>
        </w:tc>
      </w:tr>
      <w:tr>
        <w:trPr>
          <w:trHeight w:val="257"/>
        </w:trPr>
        <w:tc>
          <w:tcPr>
            <w:tcW w:w="4700" w:type="dxa"/>
            <w:vAlign w:val="bottom"/>
            <w:shd w:val="clear" w:color="auto" w:fill="CCEEFF"/>
          </w:tcPr>
          <w:p>
            <w:pPr>
              <w:spacing w:after="0"/>
              <w:rPr>
                <w:sz w:val="22"/>
                <w:szCs w:val="22"/>
                <w:color w:val="auto"/>
              </w:rPr>
            </w:pPr>
          </w:p>
        </w:tc>
        <w:tc>
          <w:tcPr>
            <w:tcW w:w="6660" w:type="dxa"/>
            <w:vAlign w:val="bottom"/>
            <w:shd w:val="clear" w:color="auto" w:fill="CCEEFF"/>
          </w:tcPr>
          <w:p>
            <w:pPr>
              <w:spacing w:after="0"/>
              <w:rPr>
                <w:sz w:val="22"/>
                <w:szCs w:val="22"/>
                <w:color w:val="auto"/>
              </w:rPr>
            </w:pPr>
          </w:p>
        </w:tc>
      </w:tr>
      <w:tr>
        <w:trPr>
          <w:trHeight w:val="243"/>
        </w:trPr>
        <w:tc>
          <w:tcPr>
            <w:tcW w:w="4700" w:type="dxa"/>
            <w:vAlign w:val="bottom"/>
          </w:tcPr>
          <w:p>
            <w:pPr>
              <w:ind w:left="440"/>
              <w:spacing w:after="0"/>
              <w:rPr>
                <w:sz w:val="20"/>
                <w:szCs w:val="20"/>
                <w:color w:val="auto"/>
              </w:rPr>
            </w:pPr>
            <w:r>
              <w:rPr>
                <w:rFonts w:ascii="Arial" w:cs="Arial" w:eastAsia="Arial" w:hAnsi="Arial"/>
                <w:sz w:val="18"/>
                <w:szCs w:val="18"/>
                <w:color w:val="auto"/>
              </w:rPr>
              <w:t>(c)(1)</w:t>
            </w:r>
          </w:p>
        </w:tc>
        <w:tc>
          <w:tcPr>
            <w:tcW w:w="6660" w:type="dxa"/>
            <w:vAlign w:val="bottom"/>
          </w:tcPr>
          <w:p>
            <w:pPr>
              <w:ind w:left="3860"/>
              <w:spacing w:after="0"/>
              <w:rPr>
                <w:sz w:val="20"/>
                <w:szCs w:val="20"/>
                <w:color w:val="auto"/>
              </w:rPr>
            </w:pPr>
            <w:r>
              <w:rPr>
                <w:rFonts w:ascii="Arial" w:cs="Arial" w:eastAsia="Arial" w:hAnsi="Arial"/>
                <w:sz w:val="18"/>
                <w:szCs w:val="18"/>
                <w:color w:val="auto"/>
              </w:rPr>
              <w:t>102</w:t>
            </w:r>
          </w:p>
        </w:tc>
      </w:tr>
      <w:tr>
        <w:trPr>
          <w:trHeight w:val="257"/>
        </w:trPr>
        <w:tc>
          <w:tcPr>
            <w:tcW w:w="4700" w:type="dxa"/>
            <w:vAlign w:val="bottom"/>
          </w:tcPr>
          <w:p>
            <w:pPr>
              <w:spacing w:after="0"/>
              <w:rPr>
                <w:sz w:val="22"/>
                <w:szCs w:val="22"/>
                <w:color w:val="auto"/>
              </w:rPr>
            </w:pPr>
          </w:p>
        </w:tc>
        <w:tc>
          <w:tcPr>
            <w:tcW w:w="6660" w:type="dxa"/>
            <w:vAlign w:val="bottom"/>
          </w:tcPr>
          <w:p>
            <w:pPr>
              <w:spacing w:after="0"/>
              <w:rPr>
                <w:sz w:val="22"/>
                <w:szCs w:val="22"/>
                <w:color w:val="auto"/>
              </w:rPr>
            </w:pPr>
          </w:p>
        </w:tc>
      </w:tr>
      <w:tr>
        <w:trPr>
          <w:trHeight w:val="243"/>
        </w:trPr>
        <w:tc>
          <w:tcPr>
            <w:tcW w:w="4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(c)(2)</w:t>
            </w:r>
          </w:p>
        </w:tc>
        <w:tc>
          <w:tcPr>
            <w:tcW w:w="6660" w:type="dxa"/>
            <w:vAlign w:val="bottom"/>
            <w:shd w:val="clear" w:color="auto" w:fill="CCEEFF"/>
          </w:tcPr>
          <w:p>
            <w:pPr>
              <w:ind w:left="3860"/>
              <w:spacing w:after="0"/>
              <w:rPr>
                <w:sz w:val="20"/>
                <w:szCs w:val="20"/>
                <w:color w:val="auto"/>
              </w:rPr>
            </w:pPr>
            <w:r>
              <w:rPr>
                <w:rFonts w:ascii="Arial" w:cs="Arial" w:eastAsia="Arial" w:hAnsi="Arial"/>
                <w:sz w:val="18"/>
                <w:szCs w:val="18"/>
                <w:color w:val="auto"/>
              </w:rPr>
              <w:t>102</w:t>
            </w:r>
          </w:p>
        </w:tc>
      </w:tr>
      <w:tr>
        <w:trPr>
          <w:trHeight w:val="257"/>
        </w:trPr>
        <w:tc>
          <w:tcPr>
            <w:tcW w:w="4700" w:type="dxa"/>
            <w:vAlign w:val="bottom"/>
            <w:shd w:val="clear" w:color="auto" w:fill="CCEEFF"/>
          </w:tcPr>
          <w:p>
            <w:pPr>
              <w:spacing w:after="0"/>
              <w:rPr>
                <w:sz w:val="22"/>
                <w:szCs w:val="22"/>
                <w:color w:val="auto"/>
              </w:rPr>
            </w:pPr>
          </w:p>
        </w:tc>
        <w:tc>
          <w:tcPr>
            <w:tcW w:w="6660" w:type="dxa"/>
            <w:vAlign w:val="bottom"/>
            <w:shd w:val="clear" w:color="auto" w:fill="CCEEFF"/>
          </w:tcPr>
          <w:p>
            <w:pPr>
              <w:spacing w:after="0"/>
              <w:rPr>
                <w:sz w:val="22"/>
                <w:szCs w:val="22"/>
                <w:color w:val="auto"/>
              </w:rPr>
            </w:pPr>
          </w:p>
        </w:tc>
      </w:tr>
      <w:tr>
        <w:trPr>
          <w:trHeight w:val="243"/>
        </w:trPr>
        <w:tc>
          <w:tcPr>
            <w:tcW w:w="4700" w:type="dxa"/>
            <w:vAlign w:val="bottom"/>
          </w:tcPr>
          <w:p>
            <w:pPr>
              <w:ind w:left="440"/>
              <w:spacing w:after="0"/>
              <w:rPr>
                <w:sz w:val="20"/>
                <w:szCs w:val="20"/>
                <w:color w:val="auto"/>
              </w:rPr>
            </w:pPr>
            <w:r>
              <w:rPr>
                <w:rFonts w:ascii="Arial" w:cs="Arial" w:eastAsia="Arial" w:hAnsi="Arial"/>
                <w:sz w:val="18"/>
                <w:szCs w:val="18"/>
                <w:color w:val="auto"/>
              </w:rPr>
              <w:t>(c)(3)</w:t>
            </w:r>
          </w:p>
        </w:tc>
        <w:tc>
          <w:tcPr>
            <w:tcW w:w="6660" w:type="dxa"/>
            <w:vAlign w:val="bottom"/>
          </w:tcPr>
          <w:p>
            <w:pPr>
              <w:ind w:left="3860"/>
              <w:spacing w:after="0"/>
              <w:rPr>
                <w:sz w:val="20"/>
                <w:szCs w:val="20"/>
                <w:color w:val="auto"/>
              </w:rPr>
            </w:pPr>
            <w:r>
              <w:rPr>
                <w:rFonts w:ascii="Arial" w:cs="Arial" w:eastAsia="Arial" w:hAnsi="Arial"/>
                <w:sz w:val="18"/>
                <w:szCs w:val="18"/>
                <w:color w:val="auto"/>
              </w:rPr>
              <w:t>Not Applicable</w:t>
            </w:r>
          </w:p>
        </w:tc>
      </w:tr>
      <w:tr>
        <w:trPr>
          <w:trHeight w:val="257"/>
        </w:trPr>
        <w:tc>
          <w:tcPr>
            <w:tcW w:w="4700" w:type="dxa"/>
            <w:vAlign w:val="bottom"/>
          </w:tcPr>
          <w:p>
            <w:pPr>
              <w:spacing w:after="0"/>
              <w:rPr>
                <w:sz w:val="22"/>
                <w:szCs w:val="22"/>
                <w:color w:val="auto"/>
              </w:rPr>
            </w:pPr>
          </w:p>
        </w:tc>
        <w:tc>
          <w:tcPr>
            <w:tcW w:w="6660" w:type="dxa"/>
            <w:vAlign w:val="bottom"/>
          </w:tcPr>
          <w:p>
            <w:pPr>
              <w:spacing w:after="0"/>
              <w:rPr>
                <w:sz w:val="22"/>
                <w:szCs w:val="22"/>
                <w:color w:val="auto"/>
              </w:rPr>
            </w:pPr>
          </w:p>
        </w:tc>
      </w:tr>
      <w:tr>
        <w:trPr>
          <w:trHeight w:val="243"/>
        </w:trPr>
        <w:tc>
          <w:tcPr>
            <w:tcW w:w="4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w:t>
            </w:r>
          </w:p>
        </w:tc>
        <w:tc>
          <w:tcPr>
            <w:tcW w:w="6660" w:type="dxa"/>
            <w:vAlign w:val="bottom"/>
            <w:shd w:val="clear" w:color="auto" w:fill="CCEEFF"/>
          </w:tcPr>
          <w:p>
            <w:pPr>
              <w:ind w:left="3860"/>
              <w:spacing w:after="0"/>
              <w:rPr>
                <w:sz w:val="20"/>
                <w:szCs w:val="20"/>
                <w:color w:val="auto"/>
              </w:rPr>
            </w:pPr>
            <w:r>
              <w:rPr>
                <w:rFonts w:ascii="Arial" w:cs="Arial" w:eastAsia="Arial" w:hAnsi="Arial"/>
                <w:sz w:val="18"/>
                <w:szCs w:val="18"/>
                <w:color w:val="auto"/>
              </w:rPr>
              <w:t>Not Applicable</w:t>
            </w:r>
          </w:p>
        </w:tc>
      </w:tr>
      <w:tr>
        <w:trPr>
          <w:trHeight w:val="257"/>
        </w:trPr>
        <w:tc>
          <w:tcPr>
            <w:tcW w:w="4700" w:type="dxa"/>
            <w:vAlign w:val="bottom"/>
            <w:shd w:val="clear" w:color="auto" w:fill="CCEEFF"/>
          </w:tcPr>
          <w:p>
            <w:pPr>
              <w:spacing w:after="0"/>
              <w:rPr>
                <w:sz w:val="22"/>
                <w:szCs w:val="22"/>
                <w:color w:val="auto"/>
              </w:rPr>
            </w:pPr>
          </w:p>
        </w:tc>
        <w:tc>
          <w:tcPr>
            <w:tcW w:w="6660" w:type="dxa"/>
            <w:vAlign w:val="bottom"/>
            <w:shd w:val="clear" w:color="auto" w:fill="CCEEFF"/>
          </w:tcPr>
          <w:p>
            <w:pPr>
              <w:spacing w:after="0"/>
              <w:rPr>
                <w:sz w:val="22"/>
                <w:szCs w:val="22"/>
                <w:color w:val="auto"/>
              </w:rPr>
            </w:pPr>
          </w:p>
        </w:tc>
      </w:tr>
      <w:tr>
        <w:trPr>
          <w:trHeight w:val="243"/>
        </w:trPr>
        <w:tc>
          <w:tcPr>
            <w:tcW w:w="4700" w:type="dxa"/>
            <w:vAlign w:val="bottom"/>
          </w:tcPr>
          <w:p>
            <w:pPr>
              <w:ind w:left="440"/>
              <w:spacing w:after="0"/>
              <w:rPr>
                <w:sz w:val="20"/>
                <w:szCs w:val="20"/>
                <w:color w:val="auto"/>
              </w:rPr>
            </w:pPr>
            <w:r>
              <w:rPr>
                <w:rFonts w:ascii="Arial" w:cs="Arial" w:eastAsia="Arial" w:hAnsi="Arial"/>
                <w:sz w:val="18"/>
                <w:szCs w:val="18"/>
                <w:color w:val="auto"/>
              </w:rPr>
              <w:t>(e)</w:t>
            </w:r>
          </w:p>
        </w:tc>
        <w:tc>
          <w:tcPr>
            <w:tcW w:w="6660" w:type="dxa"/>
            <w:vAlign w:val="bottom"/>
          </w:tcPr>
          <w:p>
            <w:pPr>
              <w:ind w:left="3860"/>
              <w:spacing w:after="0"/>
              <w:rPr>
                <w:sz w:val="20"/>
                <w:szCs w:val="20"/>
                <w:color w:val="auto"/>
              </w:rPr>
            </w:pPr>
            <w:r>
              <w:rPr>
                <w:rFonts w:ascii="Arial" w:cs="Arial" w:eastAsia="Arial" w:hAnsi="Arial"/>
                <w:sz w:val="18"/>
                <w:szCs w:val="18"/>
                <w:color w:val="auto"/>
              </w:rPr>
              <w:t>102</w:t>
            </w:r>
          </w:p>
        </w:tc>
      </w:tr>
      <w:tr>
        <w:trPr>
          <w:trHeight w:val="257"/>
        </w:trPr>
        <w:tc>
          <w:tcPr>
            <w:tcW w:w="4700" w:type="dxa"/>
            <w:vAlign w:val="bottom"/>
          </w:tcPr>
          <w:p>
            <w:pPr>
              <w:spacing w:after="0"/>
              <w:rPr>
                <w:sz w:val="22"/>
                <w:szCs w:val="22"/>
                <w:color w:val="auto"/>
              </w:rPr>
            </w:pPr>
          </w:p>
        </w:tc>
        <w:tc>
          <w:tcPr>
            <w:tcW w:w="6660" w:type="dxa"/>
            <w:vAlign w:val="bottom"/>
          </w:tcPr>
          <w:p>
            <w:pPr>
              <w:spacing w:after="0"/>
              <w:rPr>
                <w:sz w:val="22"/>
                <w:szCs w:val="22"/>
                <w:color w:val="auto"/>
              </w:rPr>
            </w:pPr>
          </w:p>
        </w:tc>
      </w:tr>
      <w:tr>
        <w:trPr>
          <w:trHeight w:val="243"/>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315(a)</w:t>
            </w:r>
          </w:p>
        </w:tc>
        <w:tc>
          <w:tcPr>
            <w:tcW w:w="6660" w:type="dxa"/>
            <w:vAlign w:val="bottom"/>
            <w:shd w:val="clear" w:color="auto" w:fill="CCEEFF"/>
          </w:tcPr>
          <w:p>
            <w:pPr>
              <w:ind w:left="3860"/>
              <w:spacing w:after="0"/>
              <w:rPr>
                <w:sz w:val="20"/>
                <w:szCs w:val="20"/>
                <w:color w:val="auto"/>
              </w:rPr>
            </w:pPr>
            <w:r>
              <w:rPr>
                <w:rFonts w:ascii="Arial" w:cs="Arial" w:eastAsia="Arial" w:hAnsi="Arial"/>
                <w:sz w:val="18"/>
                <w:szCs w:val="18"/>
                <w:color w:val="auto"/>
              </w:rPr>
              <w:t>601(a)</w:t>
            </w:r>
          </w:p>
        </w:tc>
      </w:tr>
      <w:tr>
        <w:trPr>
          <w:trHeight w:val="257"/>
        </w:trPr>
        <w:tc>
          <w:tcPr>
            <w:tcW w:w="4700" w:type="dxa"/>
            <w:vAlign w:val="bottom"/>
            <w:shd w:val="clear" w:color="auto" w:fill="CCEEFF"/>
          </w:tcPr>
          <w:p>
            <w:pPr>
              <w:spacing w:after="0"/>
              <w:rPr>
                <w:sz w:val="22"/>
                <w:szCs w:val="22"/>
                <w:color w:val="auto"/>
              </w:rPr>
            </w:pPr>
          </w:p>
        </w:tc>
        <w:tc>
          <w:tcPr>
            <w:tcW w:w="6660" w:type="dxa"/>
            <w:vAlign w:val="bottom"/>
            <w:shd w:val="clear" w:color="auto" w:fill="CCEEFF"/>
          </w:tcPr>
          <w:p>
            <w:pPr>
              <w:spacing w:after="0"/>
              <w:rPr>
                <w:sz w:val="22"/>
                <w:szCs w:val="22"/>
                <w:color w:val="auto"/>
              </w:rPr>
            </w:pPr>
          </w:p>
        </w:tc>
      </w:tr>
      <w:tr>
        <w:trPr>
          <w:trHeight w:val="243"/>
        </w:trPr>
        <w:tc>
          <w:tcPr>
            <w:tcW w:w="4700" w:type="dxa"/>
            <w:vAlign w:val="bottom"/>
          </w:tcPr>
          <w:p>
            <w:pPr>
              <w:ind w:left="440"/>
              <w:spacing w:after="0"/>
              <w:rPr>
                <w:sz w:val="20"/>
                <w:szCs w:val="20"/>
                <w:color w:val="auto"/>
              </w:rPr>
            </w:pPr>
            <w:r>
              <w:rPr>
                <w:rFonts w:ascii="Arial" w:cs="Arial" w:eastAsia="Arial" w:hAnsi="Arial"/>
                <w:sz w:val="18"/>
                <w:szCs w:val="18"/>
                <w:color w:val="auto"/>
              </w:rPr>
              <w:t>(b)</w:t>
            </w:r>
          </w:p>
        </w:tc>
        <w:tc>
          <w:tcPr>
            <w:tcW w:w="6660" w:type="dxa"/>
            <w:vAlign w:val="bottom"/>
          </w:tcPr>
          <w:p>
            <w:pPr>
              <w:ind w:left="3860"/>
              <w:spacing w:after="0"/>
              <w:rPr>
                <w:sz w:val="20"/>
                <w:szCs w:val="20"/>
                <w:color w:val="auto"/>
              </w:rPr>
            </w:pPr>
            <w:r>
              <w:rPr>
                <w:rFonts w:ascii="Arial" w:cs="Arial" w:eastAsia="Arial" w:hAnsi="Arial"/>
                <w:sz w:val="18"/>
                <w:szCs w:val="18"/>
                <w:color w:val="auto"/>
              </w:rPr>
              <w:t>602</w:t>
            </w:r>
          </w:p>
        </w:tc>
      </w:tr>
      <w:tr>
        <w:trPr>
          <w:trHeight w:val="257"/>
        </w:trPr>
        <w:tc>
          <w:tcPr>
            <w:tcW w:w="4700" w:type="dxa"/>
            <w:vAlign w:val="bottom"/>
          </w:tcPr>
          <w:p>
            <w:pPr>
              <w:spacing w:after="0"/>
              <w:rPr>
                <w:sz w:val="22"/>
                <w:szCs w:val="22"/>
                <w:color w:val="auto"/>
              </w:rPr>
            </w:pPr>
          </w:p>
        </w:tc>
        <w:tc>
          <w:tcPr>
            <w:tcW w:w="6660" w:type="dxa"/>
            <w:vAlign w:val="bottom"/>
          </w:tcPr>
          <w:p>
            <w:pPr>
              <w:spacing w:after="0"/>
              <w:rPr>
                <w:sz w:val="22"/>
                <w:szCs w:val="22"/>
                <w:color w:val="auto"/>
              </w:rPr>
            </w:pPr>
          </w:p>
        </w:tc>
      </w:tr>
      <w:tr>
        <w:trPr>
          <w:trHeight w:val="243"/>
        </w:trPr>
        <w:tc>
          <w:tcPr>
            <w:tcW w:w="4700" w:type="dxa"/>
            <w:vAlign w:val="bottom"/>
            <w:shd w:val="clear" w:color="auto" w:fill="CCEEFF"/>
          </w:tcPr>
          <w:p>
            <w:pPr>
              <w:spacing w:after="0"/>
              <w:rPr>
                <w:sz w:val="21"/>
                <w:szCs w:val="21"/>
                <w:color w:val="auto"/>
              </w:rPr>
            </w:pPr>
          </w:p>
        </w:tc>
        <w:tc>
          <w:tcPr>
            <w:tcW w:w="6660" w:type="dxa"/>
            <w:vAlign w:val="bottom"/>
            <w:shd w:val="clear" w:color="auto" w:fill="CCEEFF"/>
          </w:tcPr>
          <w:p>
            <w:pPr>
              <w:ind w:left="3860"/>
              <w:spacing w:after="0"/>
              <w:rPr>
                <w:sz w:val="20"/>
                <w:szCs w:val="20"/>
                <w:color w:val="auto"/>
              </w:rPr>
            </w:pPr>
            <w:r>
              <w:rPr>
                <w:rFonts w:ascii="Arial" w:cs="Arial" w:eastAsia="Arial" w:hAnsi="Arial"/>
                <w:sz w:val="18"/>
                <w:szCs w:val="18"/>
                <w:color w:val="auto"/>
              </w:rPr>
              <w:t>703(a)(7)</w:t>
            </w:r>
          </w:p>
        </w:tc>
      </w:tr>
      <w:tr>
        <w:trPr>
          <w:trHeight w:val="257"/>
        </w:trPr>
        <w:tc>
          <w:tcPr>
            <w:tcW w:w="4700" w:type="dxa"/>
            <w:vAlign w:val="bottom"/>
            <w:shd w:val="clear" w:color="auto" w:fill="CCEEFF"/>
          </w:tcPr>
          <w:p>
            <w:pPr>
              <w:spacing w:after="0"/>
              <w:rPr>
                <w:sz w:val="22"/>
                <w:szCs w:val="22"/>
                <w:color w:val="auto"/>
              </w:rPr>
            </w:pPr>
          </w:p>
        </w:tc>
        <w:tc>
          <w:tcPr>
            <w:tcW w:w="6660" w:type="dxa"/>
            <w:vAlign w:val="bottom"/>
            <w:shd w:val="clear" w:color="auto" w:fill="CCEEFF"/>
          </w:tcPr>
          <w:p>
            <w:pPr>
              <w:spacing w:after="0"/>
              <w:rPr>
                <w:sz w:val="22"/>
                <w:szCs w:val="22"/>
                <w:color w:val="auto"/>
              </w:rPr>
            </w:pPr>
          </w:p>
        </w:tc>
      </w:tr>
      <w:tr>
        <w:trPr>
          <w:trHeight w:val="243"/>
        </w:trPr>
        <w:tc>
          <w:tcPr>
            <w:tcW w:w="4700" w:type="dxa"/>
            <w:vAlign w:val="bottom"/>
          </w:tcPr>
          <w:p>
            <w:pPr>
              <w:ind w:left="440"/>
              <w:spacing w:after="0"/>
              <w:rPr>
                <w:sz w:val="20"/>
                <w:szCs w:val="20"/>
                <w:color w:val="auto"/>
              </w:rPr>
            </w:pPr>
            <w:r>
              <w:rPr>
                <w:rFonts w:ascii="Arial" w:cs="Arial" w:eastAsia="Arial" w:hAnsi="Arial"/>
                <w:sz w:val="18"/>
                <w:szCs w:val="18"/>
                <w:color w:val="auto"/>
              </w:rPr>
              <w:t>(c)</w:t>
            </w:r>
          </w:p>
        </w:tc>
        <w:tc>
          <w:tcPr>
            <w:tcW w:w="6660" w:type="dxa"/>
            <w:vAlign w:val="bottom"/>
          </w:tcPr>
          <w:p>
            <w:pPr>
              <w:ind w:left="3860"/>
              <w:spacing w:after="0"/>
              <w:rPr>
                <w:sz w:val="20"/>
                <w:szCs w:val="20"/>
                <w:color w:val="auto"/>
              </w:rPr>
            </w:pPr>
            <w:r>
              <w:rPr>
                <w:rFonts w:ascii="Arial" w:cs="Arial" w:eastAsia="Arial" w:hAnsi="Arial"/>
                <w:sz w:val="18"/>
                <w:szCs w:val="18"/>
                <w:color w:val="auto"/>
              </w:rPr>
              <w:t>601(b)</w:t>
            </w:r>
          </w:p>
        </w:tc>
      </w:tr>
      <w:tr>
        <w:trPr>
          <w:trHeight w:val="257"/>
        </w:trPr>
        <w:tc>
          <w:tcPr>
            <w:tcW w:w="4700" w:type="dxa"/>
            <w:vAlign w:val="bottom"/>
          </w:tcPr>
          <w:p>
            <w:pPr>
              <w:spacing w:after="0"/>
              <w:rPr>
                <w:sz w:val="22"/>
                <w:szCs w:val="22"/>
                <w:color w:val="auto"/>
              </w:rPr>
            </w:pPr>
          </w:p>
        </w:tc>
        <w:tc>
          <w:tcPr>
            <w:tcW w:w="6660" w:type="dxa"/>
            <w:vAlign w:val="bottom"/>
          </w:tcPr>
          <w:p>
            <w:pPr>
              <w:spacing w:after="0"/>
              <w:rPr>
                <w:sz w:val="22"/>
                <w:szCs w:val="22"/>
                <w:color w:val="auto"/>
              </w:rPr>
            </w:pPr>
          </w:p>
        </w:tc>
      </w:tr>
      <w:tr>
        <w:trPr>
          <w:trHeight w:val="243"/>
        </w:trPr>
        <w:tc>
          <w:tcPr>
            <w:tcW w:w="4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w:t>
            </w:r>
          </w:p>
        </w:tc>
        <w:tc>
          <w:tcPr>
            <w:tcW w:w="6660" w:type="dxa"/>
            <w:vAlign w:val="bottom"/>
            <w:shd w:val="clear" w:color="auto" w:fill="CCEEFF"/>
          </w:tcPr>
          <w:p>
            <w:pPr>
              <w:ind w:left="3860"/>
              <w:spacing w:after="0"/>
              <w:rPr>
                <w:sz w:val="20"/>
                <w:szCs w:val="20"/>
                <w:color w:val="auto"/>
              </w:rPr>
            </w:pPr>
            <w:r>
              <w:rPr>
                <w:rFonts w:ascii="Arial" w:cs="Arial" w:eastAsia="Arial" w:hAnsi="Arial"/>
                <w:sz w:val="18"/>
                <w:szCs w:val="18"/>
                <w:color w:val="auto"/>
              </w:rPr>
              <w:t>601(c)</w:t>
            </w:r>
          </w:p>
        </w:tc>
      </w:tr>
      <w:tr>
        <w:trPr>
          <w:trHeight w:val="257"/>
        </w:trPr>
        <w:tc>
          <w:tcPr>
            <w:tcW w:w="4700" w:type="dxa"/>
            <w:vAlign w:val="bottom"/>
            <w:shd w:val="clear" w:color="auto" w:fill="CCEEFF"/>
          </w:tcPr>
          <w:p>
            <w:pPr>
              <w:spacing w:after="0"/>
              <w:rPr>
                <w:sz w:val="22"/>
                <w:szCs w:val="22"/>
                <w:color w:val="auto"/>
              </w:rPr>
            </w:pPr>
          </w:p>
        </w:tc>
        <w:tc>
          <w:tcPr>
            <w:tcW w:w="6660" w:type="dxa"/>
            <w:vAlign w:val="bottom"/>
            <w:shd w:val="clear" w:color="auto" w:fill="CCEEFF"/>
          </w:tcPr>
          <w:p>
            <w:pPr>
              <w:spacing w:after="0"/>
              <w:rPr>
                <w:sz w:val="22"/>
                <w:szCs w:val="22"/>
                <w:color w:val="auto"/>
              </w:rPr>
            </w:pPr>
          </w:p>
        </w:tc>
      </w:tr>
    </w:tbl>
    <w:p>
      <w:pPr>
        <w:sectPr>
          <w:pgSz w:w="11900" w:h="16838" w:orient="portrait"/>
          <w:cols w:equalWidth="0" w:num="1">
            <w:col w:w="11360"/>
          </w:cols>
          <w:pgMar w:left="300" w:top="530" w:right="239" w:bottom="1440" w:gutter="0" w:footer="0" w:header="0"/>
        </w:sectPr>
      </w:pPr>
    </w:p>
    <w:bookmarkStart w:id="27" w:name="page28"/>
    <w:bookmarkEnd w:id="27"/>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4820" w:type="dxa"/>
            <w:vAlign w:val="bottom"/>
          </w:tcPr>
          <w:p>
            <w:pPr>
              <w:ind w:left="440"/>
              <w:spacing w:after="0"/>
              <w:rPr>
                <w:sz w:val="20"/>
                <w:szCs w:val="20"/>
                <w:color w:val="auto"/>
              </w:rPr>
            </w:pPr>
            <w:r>
              <w:rPr>
                <w:rFonts w:ascii="Arial" w:cs="Arial" w:eastAsia="Arial" w:hAnsi="Arial"/>
                <w:sz w:val="18"/>
                <w:szCs w:val="18"/>
                <w:color w:val="auto"/>
              </w:rPr>
              <w:t>(d)(l)</w:t>
            </w:r>
          </w:p>
        </w:tc>
        <w:tc>
          <w:tcPr>
            <w:tcW w:w="6540" w:type="dxa"/>
            <w:vAlign w:val="bottom"/>
          </w:tcPr>
          <w:p>
            <w:pPr>
              <w:ind w:left="3740"/>
              <w:spacing w:after="0"/>
              <w:rPr>
                <w:sz w:val="20"/>
                <w:szCs w:val="20"/>
                <w:color w:val="auto"/>
              </w:rPr>
            </w:pPr>
            <w:r>
              <w:rPr>
                <w:rFonts w:ascii="Arial" w:cs="Arial" w:eastAsia="Arial" w:hAnsi="Arial"/>
                <w:sz w:val="18"/>
                <w:szCs w:val="18"/>
                <w:color w:val="auto"/>
              </w:rPr>
              <w:t>601(a)(1)</w:t>
            </w:r>
          </w:p>
        </w:tc>
      </w:tr>
      <w:tr>
        <w:trPr>
          <w:trHeight w:val="257"/>
        </w:trPr>
        <w:tc>
          <w:tcPr>
            <w:tcW w:w="4820" w:type="dxa"/>
            <w:vAlign w:val="bottom"/>
          </w:tcPr>
          <w:p>
            <w:pPr>
              <w:spacing w:after="0"/>
              <w:rPr>
                <w:sz w:val="22"/>
                <w:szCs w:val="22"/>
                <w:color w:val="auto"/>
              </w:rPr>
            </w:pPr>
          </w:p>
        </w:tc>
        <w:tc>
          <w:tcPr>
            <w:tcW w:w="6540" w:type="dxa"/>
            <w:vAlign w:val="bottom"/>
          </w:tcPr>
          <w:p>
            <w:pPr>
              <w:spacing w:after="0"/>
              <w:rPr>
                <w:sz w:val="22"/>
                <w:szCs w:val="22"/>
                <w:color w:val="auto"/>
              </w:rPr>
            </w:pPr>
          </w:p>
        </w:tc>
      </w:tr>
      <w:tr>
        <w:trPr>
          <w:trHeight w:val="243"/>
        </w:trPr>
        <w:tc>
          <w:tcPr>
            <w:tcW w:w="4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(d)(2)</w:t>
            </w:r>
          </w:p>
        </w:tc>
        <w:tc>
          <w:tcPr>
            <w:tcW w:w="6540" w:type="dxa"/>
            <w:vAlign w:val="bottom"/>
            <w:shd w:val="clear" w:color="auto" w:fill="CCEEFF"/>
          </w:tcPr>
          <w:p>
            <w:pPr>
              <w:ind w:left="3740"/>
              <w:spacing w:after="0"/>
              <w:rPr>
                <w:sz w:val="20"/>
                <w:szCs w:val="20"/>
                <w:color w:val="auto"/>
              </w:rPr>
            </w:pPr>
            <w:r>
              <w:rPr>
                <w:rFonts w:ascii="Arial" w:cs="Arial" w:eastAsia="Arial" w:hAnsi="Arial"/>
                <w:sz w:val="18"/>
                <w:szCs w:val="18"/>
                <w:color w:val="auto"/>
              </w:rPr>
              <w:t>601(c)(2)</w:t>
            </w:r>
          </w:p>
        </w:tc>
      </w:tr>
      <w:tr>
        <w:trPr>
          <w:trHeight w:val="257"/>
        </w:trPr>
        <w:tc>
          <w:tcPr>
            <w:tcW w:w="4820" w:type="dxa"/>
            <w:vAlign w:val="bottom"/>
            <w:shd w:val="clear" w:color="auto" w:fill="CCEEFF"/>
          </w:tcPr>
          <w:p>
            <w:pPr>
              <w:spacing w:after="0"/>
              <w:rPr>
                <w:sz w:val="22"/>
                <w:szCs w:val="22"/>
                <w:color w:val="auto"/>
              </w:rPr>
            </w:pPr>
          </w:p>
        </w:tc>
        <w:tc>
          <w:tcPr>
            <w:tcW w:w="6540" w:type="dxa"/>
            <w:vAlign w:val="bottom"/>
            <w:shd w:val="clear" w:color="auto" w:fill="CCEEFF"/>
          </w:tcPr>
          <w:p>
            <w:pPr>
              <w:spacing w:after="0"/>
              <w:rPr>
                <w:sz w:val="22"/>
                <w:szCs w:val="22"/>
                <w:color w:val="auto"/>
              </w:rPr>
            </w:pPr>
          </w:p>
        </w:tc>
      </w:tr>
      <w:tr>
        <w:trPr>
          <w:trHeight w:val="243"/>
        </w:trPr>
        <w:tc>
          <w:tcPr>
            <w:tcW w:w="4820" w:type="dxa"/>
            <w:vAlign w:val="bottom"/>
          </w:tcPr>
          <w:p>
            <w:pPr>
              <w:ind w:left="440"/>
              <w:spacing w:after="0"/>
              <w:rPr>
                <w:sz w:val="20"/>
                <w:szCs w:val="20"/>
                <w:color w:val="auto"/>
              </w:rPr>
            </w:pPr>
            <w:r>
              <w:rPr>
                <w:rFonts w:ascii="Arial" w:cs="Arial" w:eastAsia="Arial" w:hAnsi="Arial"/>
                <w:sz w:val="18"/>
                <w:szCs w:val="18"/>
                <w:color w:val="auto"/>
              </w:rPr>
              <w:t>(d)(3)</w:t>
            </w:r>
          </w:p>
        </w:tc>
        <w:tc>
          <w:tcPr>
            <w:tcW w:w="6540" w:type="dxa"/>
            <w:vAlign w:val="bottom"/>
          </w:tcPr>
          <w:p>
            <w:pPr>
              <w:ind w:left="3740"/>
              <w:spacing w:after="0"/>
              <w:rPr>
                <w:sz w:val="20"/>
                <w:szCs w:val="20"/>
                <w:color w:val="auto"/>
              </w:rPr>
            </w:pPr>
            <w:r>
              <w:rPr>
                <w:rFonts w:ascii="Arial" w:cs="Arial" w:eastAsia="Arial" w:hAnsi="Arial"/>
                <w:sz w:val="18"/>
                <w:szCs w:val="18"/>
                <w:color w:val="auto"/>
              </w:rPr>
              <w:t>601(c)(3)</w:t>
            </w:r>
          </w:p>
        </w:tc>
      </w:tr>
      <w:tr>
        <w:trPr>
          <w:trHeight w:val="257"/>
        </w:trPr>
        <w:tc>
          <w:tcPr>
            <w:tcW w:w="4820" w:type="dxa"/>
            <w:vAlign w:val="bottom"/>
          </w:tcPr>
          <w:p>
            <w:pPr>
              <w:spacing w:after="0"/>
              <w:rPr>
                <w:sz w:val="22"/>
                <w:szCs w:val="22"/>
                <w:color w:val="auto"/>
              </w:rPr>
            </w:pPr>
          </w:p>
        </w:tc>
        <w:tc>
          <w:tcPr>
            <w:tcW w:w="6540" w:type="dxa"/>
            <w:vAlign w:val="bottom"/>
          </w:tcPr>
          <w:p>
            <w:pPr>
              <w:spacing w:after="0"/>
              <w:rPr>
                <w:sz w:val="22"/>
                <w:szCs w:val="22"/>
                <w:color w:val="auto"/>
              </w:rPr>
            </w:pPr>
          </w:p>
        </w:tc>
      </w:tr>
      <w:tr>
        <w:trPr>
          <w:trHeight w:val="243"/>
        </w:trPr>
        <w:tc>
          <w:tcPr>
            <w:tcW w:w="4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w:t>
            </w:r>
          </w:p>
        </w:tc>
        <w:tc>
          <w:tcPr>
            <w:tcW w:w="6540" w:type="dxa"/>
            <w:vAlign w:val="bottom"/>
            <w:shd w:val="clear" w:color="auto" w:fill="CCEEFF"/>
          </w:tcPr>
          <w:p>
            <w:pPr>
              <w:ind w:left="3740"/>
              <w:spacing w:after="0"/>
              <w:rPr>
                <w:sz w:val="20"/>
                <w:szCs w:val="20"/>
                <w:color w:val="auto"/>
              </w:rPr>
            </w:pPr>
            <w:r>
              <w:rPr>
                <w:rFonts w:ascii="Arial" w:cs="Arial" w:eastAsia="Arial" w:hAnsi="Arial"/>
                <w:sz w:val="18"/>
                <w:szCs w:val="18"/>
                <w:color w:val="auto"/>
              </w:rPr>
              <w:t>514</w:t>
            </w:r>
          </w:p>
        </w:tc>
      </w:tr>
      <w:tr>
        <w:trPr>
          <w:trHeight w:val="257"/>
        </w:trPr>
        <w:tc>
          <w:tcPr>
            <w:tcW w:w="4820" w:type="dxa"/>
            <w:vAlign w:val="bottom"/>
            <w:shd w:val="clear" w:color="auto" w:fill="CCEEFF"/>
          </w:tcPr>
          <w:p>
            <w:pPr>
              <w:spacing w:after="0"/>
              <w:rPr>
                <w:sz w:val="22"/>
                <w:szCs w:val="22"/>
                <w:color w:val="auto"/>
              </w:rPr>
            </w:pPr>
          </w:p>
        </w:tc>
        <w:tc>
          <w:tcPr>
            <w:tcW w:w="6540" w:type="dxa"/>
            <w:vAlign w:val="bottom"/>
            <w:shd w:val="clear" w:color="auto" w:fill="CCEEFF"/>
          </w:tcPr>
          <w:p>
            <w:pPr>
              <w:spacing w:after="0"/>
              <w:rPr>
                <w:sz w:val="22"/>
                <w:szCs w:val="22"/>
                <w:color w:val="auto"/>
              </w:rPr>
            </w:pPr>
          </w:p>
        </w:tc>
      </w:tr>
      <w:tr>
        <w:trPr>
          <w:trHeight w:val="243"/>
        </w:trPr>
        <w:tc>
          <w:tcPr>
            <w:tcW w:w="4820" w:type="dxa"/>
            <w:vAlign w:val="bottom"/>
          </w:tcPr>
          <w:p>
            <w:pPr>
              <w:ind w:left="20"/>
              <w:spacing w:after="0"/>
              <w:rPr>
                <w:sz w:val="20"/>
                <w:szCs w:val="20"/>
                <w:color w:val="auto"/>
              </w:rPr>
            </w:pPr>
            <w:r>
              <w:rPr>
                <w:rFonts w:ascii="Arial" w:cs="Arial" w:eastAsia="Arial" w:hAnsi="Arial"/>
                <w:sz w:val="18"/>
                <w:szCs w:val="18"/>
                <w:color w:val="auto"/>
              </w:rPr>
              <w:t>§ 316(a)</w:t>
            </w:r>
          </w:p>
        </w:tc>
        <w:tc>
          <w:tcPr>
            <w:tcW w:w="6540" w:type="dxa"/>
            <w:vAlign w:val="bottom"/>
          </w:tcPr>
          <w:p>
            <w:pPr>
              <w:ind w:left="3740"/>
              <w:spacing w:after="0"/>
              <w:rPr>
                <w:sz w:val="20"/>
                <w:szCs w:val="20"/>
                <w:color w:val="auto"/>
              </w:rPr>
            </w:pPr>
            <w:r>
              <w:rPr>
                <w:rFonts w:ascii="Arial" w:cs="Arial" w:eastAsia="Arial" w:hAnsi="Arial"/>
                <w:sz w:val="18"/>
                <w:szCs w:val="18"/>
                <w:color w:val="auto"/>
              </w:rPr>
              <w:t>101</w:t>
            </w:r>
          </w:p>
        </w:tc>
      </w:tr>
      <w:tr>
        <w:trPr>
          <w:trHeight w:val="257"/>
        </w:trPr>
        <w:tc>
          <w:tcPr>
            <w:tcW w:w="4820" w:type="dxa"/>
            <w:vAlign w:val="bottom"/>
          </w:tcPr>
          <w:p>
            <w:pPr>
              <w:spacing w:after="0"/>
              <w:rPr>
                <w:sz w:val="22"/>
                <w:szCs w:val="22"/>
                <w:color w:val="auto"/>
              </w:rPr>
            </w:pPr>
          </w:p>
        </w:tc>
        <w:tc>
          <w:tcPr>
            <w:tcW w:w="6540" w:type="dxa"/>
            <w:vAlign w:val="bottom"/>
          </w:tcPr>
          <w:p>
            <w:pPr>
              <w:spacing w:after="0"/>
              <w:rPr>
                <w:sz w:val="22"/>
                <w:szCs w:val="22"/>
                <w:color w:val="auto"/>
              </w:rPr>
            </w:pPr>
          </w:p>
        </w:tc>
      </w:tr>
      <w:tr>
        <w:trPr>
          <w:trHeight w:val="243"/>
        </w:trPr>
        <w:tc>
          <w:tcPr>
            <w:tcW w:w="4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(a)(1)(A)</w:t>
            </w:r>
          </w:p>
        </w:tc>
        <w:tc>
          <w:tcPr>
            <w:tcW w:w="6540" w:type="dxa"/>
            <w:vAlign w:val="bottom"/>
            <w:shd w:val="clear" w:color="auto" w:fill="CCEEFF"/>
          </w:tcPr>
          <w:p>
            <w:pPr>
              <w:ind w:left="3740"/>
              <w:spacing w:after="0"/>
              <w:rPr>
                <w:sz w:val="20"/>
                <w:szCs w:val="20"/>
                <w:color w:val="auto"/>
              </w:rPr>
            </w:pPr>
            <w:r>
              <w:rPr>
                <w:rFonts w:ascii="Arial" w:cs="Arial" w:eastAsia="Arial" w:hAnsi="Arial"/>
                <w:sz w:val="18"/>
                <w:szCs w:val="18"/>
                <w:color w:val="auto"/>
              </w:rPr>
              <w:t>502</w:t>
            </w:r>
          </w:p>
        </w:tc>
      </w:tr>
      <w:tr>
        <w:trPr>
          <w:trHeight w:val="257"/>
        </w:trPr>
        <w:tc>
          <w:tcPr>
            <w:tcW w:w="4820" w:type="dxa"/>
            <w:vAlign w:val="bottom"/>
            <w:shd w:val="clear" w:color="auto" w:fill="CCEEFF"/>
          </w:tcPr>
          <w:p>
            <w:pPr>
              <w:spacing w:after="0"/>
              <w:rPr>
                <w:sz w:val="22"/>
                <w:szCs w:val="22"/>
                <w:color w:val="auto"/>
              </w:rPr>
            </w:pPr>
          </w:p>
        </w:tc>
        <w:tc>
          <w:tcPr>
            <w:tcW w:w="6540" w:type="dxa"/>
            <w:vAlign w:val="bottom"/>
            <w:shd w:val="clear" w:color="auto" w:fill="CCEEFF"/>
          </w:tcPr>
          <w:p>
            <w:pPr>
              <w:spacing w:after="0"/>
              <w:rPr>
                <w:sz w:val="22"/>
                <w:szCs w:val="22"/>
                <w:color w:val="auto"/>
              </w:rPr>
            </w:pPr>
          </w:p>
        </w:tc>
      </w:tr>
      <w:tr>
        <w:trPr>
          <w:trHeight w:val="243"/>
        </w:trPr>
        <w:tc>
          <w:tcPr>
            <w:tcW w:w="4820" w:type="dxa"/>
            <w:vAlign w:val="bottom"/>
          </w:tcPr>
          <w:p>
            <w:pPr>
              <w:spacing w:after="0"/>
              <w:rPr>
                <w:sz w:val="21"/>
                <w:szCs w:val="21"/>
                <w:color w:val="auto"/>
              </w:rPr>
            </w:pPr>
          </w:p>
        </w:tc>
        <w:tc>
          <w:tcPr>
            <w:tcW w:w="6540" w:type="dxa"/>
            <w:vAlign w:val="bottom"/>
          </w:tcPr>
          <w:p>
            <w:pPr>
              <w:ind w:left="3740"/>
              <w:spacing w:after="0"/>
              <w:rPr>
                <w:sz w:val="20"/>
                <w:szCs w:val="20"/>
                <w:color w:val="auto"/>
              </w:rPr>
            </w:pPr>
            <w:r>
              <w:rPr>
                <w:rFonts w:ascii="Arial" w:cs="Arial" w:eastAsia="Arial" w:hAnsi="Arial"/>
                <w:sz w:val="18"/>
                <w:szCs w:val="18"/>
                <w:color w:val="auto"/>
              </w:rPr>
              <w:t>512</w:t>
            </w:r>
          </w:p>
        </w:tc>
      </w:tr>
      <w:tr>
        <w:trPr>
          <w:trHeight w:val="257"/>
        </w:trPr>
        <w:tc>
          <w:tcPr>
            <w:tcW w:w="4820" w:type="dxa"/>
            <w:vAlign w:val="bottom"/>
          </w:tcPr>
          <w:p>
            <w:pPr>
              <w:spacing w:after="0"/>
              <w:rPr>
                <w:sz w:val="22"/>
                <w:szCs w:val="22"/>
                <w:color w:val="auto"/>
              </w:rPr>
            </w:pPr>
          </w:p>
        </w:tc>
        <w:tc>
          <w:tcPr>
            <w:tcW w:w="6540" w:type="dxa"/>
            <w:vAlign w:val="bottom"/>
          </w:tcPr>
          <w:p>
            <w:pPr>
              <w:spacing w:after="0"/>
              <w:rPr>
                <w:sz w:val="22"/>
                <w:szCs w:val="22"/>
                <w:color w:val="auto"/>
              </w:rPr>
            </w:pPr>
          </w:p>
        </w:tc>
      </w:tr>
      <w:tr>
        <w:trPr>
          <w:trHeight w:val="243"/>
        </w:trPr>
        <w:tc>
          <w:tcPr>
            <w:tcW w:w="4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(a)(1)(B)</w:t>
            </w:r>
          </w:p>
        </w:tc>
        <w:tc>
          <w:tcPr>
            <w:tcW w:w="6540" w:type="dxa"/>
            <w:vAlign w:val="bottom"/>
            <w:shd w:val="clear" w:color="auto" w:fill="CCEEFF"/>
          </w:tcPr>
          <w:p>
            <w:pPr>
              <w:ind w:left="3740"/>
              <w:spacing w:after="0"/>
              <w:rPr>
                <w:sz w:val="20"/>
                <w:szCs w:val="20"/>
                <w:color w:val="auto"/>
              </w:rPr>
            </w:pPr>
            <w:r>
              <w:rPr>
                <w:rFonts w:ascii="Arial" w:cs="Arial" w:eastAsia="Arial" w:hAnsi="Arial"/>
                <w:sz w:val="18"/>
                <w:szCs w:val="18"/>
                <w:color w:val="auto"/>
              </w:rPr>
              <w:t>513</w:t>
            </w:r>
          </w:p>
        </w:tc>
      </w:tr>
      <w:tr>
        <w:trPr>
          <w:trHeight w:val="257"/>
        </w:trPr>
        <w:tc>
          <w:tcPr>
            <w:tcW w:w="4820" w:type="dxa"/>
            <w:vAlign w:val="bottom"/>
            <w:shd w:val="clear" w:color="auto" w:fill="CCEEFF"/>
          </w:tcPr>
          <w:p>
            <w:pPr>
              <w:spacing w:after="0"/>
              <w:rPr>
                <w:sz w:val="22"/>
                <w:szCs w:val="22"/>
                <w:color w:val="auto"/>
              </w:rPr>
            </w:pPr>
          </w:p>
        </w:tc>
        <w:tc>
          <w:tcPr>
            <w:tcW w:w="6540" w:type="dxa"/>
            <w:vAlign w:val="bottom"/>
            <w:shd w:val="clear" w:color="auto" w:fill="CCEEFF"/>
          </w:tcPr>
          <w:p>
            <w:pPr>
              <w:spacing w:after="0"/>
              <w:rPr>
                <w:sz w:val="22"/>
                <w:szCs w:val="22"/>
                <w:color w:val="auto"/>
              </w:rPr>
            </w:pPr>
          </w:p>
        </w:tc>
      </w:tr>
      <w:tr>
        <w:trPr>
          <w:trHeight w:val="243"/>
        </w:trPr>
        <w:tc>
          <w:tcPr>
            <w:tcW w:w="4820" w:type="dxa"/>
            <w:vAlign w:val="bottom"/>
          </w:tcPr>
          <w:p>
            <w:pPr>
              <w:ind w:left="440"/>
              <w:spacing w:after="0"/>
              <w:rPr>
                <w:sz w:val="20"/>
                <w:szCs w:val="20"/>
                <w:color w:val="auto"/>
              </w:rPr>
            </w:pPr>
            <w:r>
              <w:rPr>
                <w:rFonts w:ascii="Arial" w:cs="Arial" w:eastAsia="Arial" w:hAnsi="Arial"/>
                <w:sz w:val="18"/>
                <w:szCs w:val="18"/>
                <w:color w:val="auto"/>
              </w:rPr>
              <w:t>(a)(2)</w:t>
            </w:r>
          </w:p>
        </w:tc>
        <w:tc>
          <w:tcPr>
            <w:tcW w:w="6540" w:type="dxa"/>
            <w:vAlign w:val="bottom"/>
          </w:tcPr>
          <w:p>
            <w:pPr>
              <w:ind w:left="3740"/>
              <w:spacing w:after="0"/>
              <w:rPr>
                <w:sz w:val="20"/>
                <w:szCs w:val="20"/>
                <w:color w:val="auto"/>
              </w:rPr>
            </w:pPr>
            <w:r>
              <w:rPr>
                <w:rFonts w:ascii="Arial" w:cs="Arial" w:eastAsia="Arial" w:hAnsi="Arial"/>
                <w:sz w:val="18"/>
                <w:szCs w:val="18"/>
                <w:color w:val="auto"/>
              </w:rPr>
              <w:t>Not Applicable</w:t>
            </w:r>
          </w:p>
        </w:tc>
      </w:tr>
      <w:tr>
        <w:trPr>
          <w:trHeight w:val="257"/>
        </w:trPr>
        <w:tc>
          <w:tcPr>
            <w:tcW w:w="4820" w:type="dxa"/>
            <w:vAlign w:val="bottom"/>
          </w:tcPr>
          <w:p>
            <w:pPr>
              <w:spacing w:after="0"/>
              <w:rPr>
                <w:sz w:val="22"/>
                <w:szCs w:val="22"/>
                <w:color w:val="auto"/>
              </w:rPr>
            </w:pPr>
          </w:p>
        </w:tc>
        <w:tc>
          <w:tcPr>
            <w:tcW w:w="6540" w:type="dxa"/>
            <w:vAlign w:val="bottom"/>
          </w:tcPr>
          <w:p>
            <w:pPr>
              <w:spacing w:after="0"/>
              <w:rPr>
                <w:sz w:val="22"/>
                <w:szCs w:val="22"/>
                <w:color w:val="auto"/>
              </w:rPr>
            </w:pPr>
          </w:p>
        </w:tc>
      </w:tr>
      <w:tr>
        <w:trPr>
          <w:trHeight w:val="243"/>
        </w:trPr>
        <w:tc>
          <w:tcPr>
            <w:tcW w:w="4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w:t>
            </w:r>
          </w:p>
        </w:tc>
        <w:tc>
          <w:tcPr>
            <w:tcW w:w="6540" w:type="dxa"/>
            <w:vAlign w:val="bottom"/>
            <w:shd w:val="clear" w:color="auto" w:fill="CCEEFF"/>
          </w:tcPr>
          <w:p>
            <w:pPr>
              <w:ind w:left="3740"/>
              <w:spacing w:after="0"/>
              <w:rPr>
                <w:sz w:val="20"/>
                <w:szCs w:val="20"/>
                <w:color w:val="auto"/>
              </w:rPr>
            </w:pPr>
            <w:r>
              <w:rPr>
                <w:rFonts w:ascii="Arial" w:cs="Arial" w:eastAsia="Arial" w:hAnsi="Arial"/>
                <w:sz w:val="18"/>
                <w:szCs w:val="18"/>
                <w:color w:val="auto"/>
              </w:rPr>
              <w:t>508</w:t>
            </w:r>
          </w:p>
        </w:tc>
      </w:tr>
      <w:tr>
        <w:trPr>
          <w:trHeight w:val="257"/>
        </w:trPr>
        <w:tc>
          <w:tcPr>
            <w:tcW w:w="4820" w:type="dxa"/>
            <w:vAlign w:val="bottom"/>
            <w:shd w:val="clear" w:color="auto" w:fill="CCEEFF"/>
          </w:tcPr>
          <w:p>
            <w:pPr>
              <w:spacing w:after="0"/>
              <w:rPr>
                <w:sz w:val="22"/>
                <w:szCs w:val="22"/>
                <w:color w:val="auto"/>
              </w:rPr>
            </w:pPr>
          </w:p>
        </w:tc>
        <w:tc>
          <w:tcPr>
            <w:tcW w:w="6540" w:type="dxa"/>
            <w:vAlign w:val="bottom"/>
            <w:shd w:val="clear" w:color="auto" w:fill="CCEEFF"/>
          </w:tcPr>
          <w:p>
            <w:pPr>
              <w:spacing w:after="0"/>
              <w:rPr>
                <w:sz w:val="22"/>
                <w:szCs w:val="22"/>
                <w:color w:val="auto"/>
              </w:rPr>
            </w:pPr>
          </w:p>
        </w:tc>
      </w:tr>
      <w:tr>
        <w:trPr>
          <w:trHeight w:val="243"/>
        </w:trPr>
        <w:tc>
          <w:tcPr>
            <w:tcW w:w="4820" w:type="dxa"/>
            <w:vAlign w:val="bottom"/>
          </w:tcPr>
          <w:p>
            <w:pPr>
              <w:ind w:left="440"/>
              <w:spacing w:after="0"/>
              <w:rPr>
                <w:sz w:val="20"/>
                <w:szCs w:val="20"/>
                <w:color w:val="auto"/>
              </w:rPr>
            </w:pPr>
            <w:r>
              <w:rPr>
                <w:rFonts w:ascii="Arial" w:cs="Arial" w:eastAsia="Arial" w:hAnsi="Arial"/>
                <w:sz w:val="18"/>
                <w:szCs w:val="18"/>
                <w:color w:val="auto"/>
              </w:rPr>
              <w:t>(c)</w:t>
            </w:r>
          </w:p>
        </w:tc>
        <w:tc>
          <w:tcPr>
            <w:tcW w:w="6540" w:type="dxa"/>
            <w:vAlign w:val="bottom"/>
          </w:tcPr>
          <w:p>
            <w:pPr>
              <w:ind w:left="3740"/>
              <w:spacing w:after="0"/>
              <w:rPr>
                <w:sz w:val="20"/>
                <w:szCs w:val="20"/>
                <w:color w:val="auto"/>
              </w:rPr>
            </w:pPr>
            <w:r>
              <w:rPr>
                <w:rFonts w:ascii="Arial" w:cs="Arial" w:eastAsia="Arial" w:hAnsi="Arial"/>
                <w:sz w:val="18"/>
                <w:szCs w:val="18"/>
                <w:color w:val="auto"/>
              </w:rPr>
              <w:t>104(e)</w:t>
            </w:r>
          </w:p>
        </w:tc>
      </w:tr>
      <w:tr>
        <w:trPr>
          <w:trHeight w:val="257"/>
        </w:trPr>
        <w:tc>
          <w:tcPr>
            <w:tcW w:w="4820" w:type="dxa"/>
            <w:vAlign w:val="bottom"/>
          </w:tcPr>
          <w:p>
            <w:pPr>
              <w:spacing w:after="0"/>
              <w:rPr>
                <w:sz w:val="22"/>
                <w:szCs w:val="22"/>
                <w:color w:val="auto"/>
              </w:rPr>
            </w:pPr>
          </w:p>
        </w:tc>
        <w:tc>
          <w:tcPr>
            <w:tcW w:w="6540" w:type="dxa"/>
            <w:vAlign w:val="bottom"/>
          </w:tcPr>
          <w:p>
            <w:pPr>
              <w:spacing w:after="0"/>
              <w:rPr>
                <w:sz w:val="22"/>
                <w:szCs w:val="22"/>
                <w:color w:val="auto"/>
              </w:rPr>
            </w:pPr>
          </w:p>
        </w:tc>
      </w:tr>
      <w:tr>
        <w:trPr>
          <w:trHeight w:val="243"/>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317(a)(l)</w:t>
            </w:r>
          </w:p>
        </w:tc>
        <w:tc>
          <w:tcPr>
            <w:tcW w:w="6540" w:type="dxa"/>
            <w:vAlign w:val="bottom"/>
            <w:shd w:val="clear" w:color="auto" w:fill="CCEEFF"/>
          </w:tcPr>
          <w:p>
            <w:pPr>
              <w:ind w:left="3740"/>
              <w:spacing w:after="0"/>
              <w:rPr>
                <w:sz w:val="20"/>
                <w:szCs w:val="20"/>
                <w:color w:val="auto"/>
              </w:rPr>
            </w:pPr>
            <w:r>
              <w:rPr>
                <w:rFonts w:ascii="Arial" w:cs="Arial" w:eastAsia="Arial" w:hAnsi="Arial"/>
                <w:sz w:val="18"/>
                <w:szCs w:val="18"/>
                <w:color w:val="auto"/>
              </w:rPr>
              <w:t>503</w:t>
            </w:r>
          </w:p>
        </w:tc>
      </w:tr>
      <w:tr>
        <w:trPr>
          <w:trHeight w:val="257"/>
        </w:trPr>
        <w:tc>
          <w:tcPr>
            <w:tcW w:w="4820" w:type="dxa"/>
            <w:vAlign w:val="bottom"/>
            <w:shd w:val="clear" w:color="auto" w:fill="CCEEFF"/>
          </w:tcPr>
          <w:p>
            <w:pPr>
              <w:spacing w:after="0"/>
              <w:rPr>
                <w:sz w:val="22"/>
                <w:szCs w:val="22"/>
                <w:color w:val="auto"/>
              </w:rPr>
            </w:pPr>
          </w:p>
        </w:tc>
        <w:tc>
          <w:tcPr>
            <w:tcW w:w="6540" w:type="dxa"/>
            <w:vAlign w:val="bottom"/>
            <w:shd w:val="clear" w:color="auto" w:fill="CCEEFF"/>
          </w:tcPr>
          <w:p>
            <w:pPr>
              <w:spacing w:after="0"/>
              <w:rPr>
                <w:sz w:val="22"/>
                <w:szCs w:val="22"/>
                <w:color w:val="auto"/>
              </w:rPr>
            </w:pPr>
          </w:p>
        </w:tc>
      </w:tr>
      <w:tr>
        <w:trPr>
          <w:trHeight w:val="243"/>
        </w:trPr>
        <w:tc>
          <w:tcPr>
            <w:tcW w:w="4820" w:type="dxa"/>
            <w:vAlign w:val="bottom"/>
          </w:tcPr>
          <w:p>
            <w:pPr>
              <w:ind w:left="440"/>
              <w:spacing w:after="0"/>
              <w:rPr>
                <w:sz w:val="20"/>
                <w:szCs w:val="20"/>
                <w:color w:val="auto"/>
              </w:rPr>
            </w:pPr>
            <w:r>
              <w:rPr>
                <w:rFonts w:ascii="Arial" w:cs="Arial" w:eastAsia="Arial" w:hAnsi="Arial"/>
                <w:sz w:val="18"/>
                <w:szCs w:val="18"/>
                <w:color w:val="auto"/>
              </w:rPr>
              <w:t>(a)(2)</w:t>
            </w:r>
          </w:p>
        </w:tc>
        <w:tc>
          <w:tcPr>
            <w:tcW w:w="6540" w:type="dxa"/>
            <w:vAlign w:val="bottom"/>
          </w:tcPr>
          <w:p>
            <w:pPr>
              <w:ind w:left="3740"/>
              <w:spacing w:after="0"/>
              <w:rPr>
                <w:sz w:val="20"/>
                <w:szCs w:val="20"/>
                <w:color w:val="auto"/>
              </w:rPr>
            </w:pPr>
            <w:r>
              <w:rPr>
                <w:rFonts w:ascii="Arial" w:cs="Arial" w:eastAsia="Arial" w:hAnsi="Arial"/>
                <w:sz w:val="18"/>
                <w:szCs w:val="18"/>
                <w:color w:val="auto"/>
              </w:rPr>
              <w:t>504</w:t>
            </w:r>
          </w:p>
        </w:tc>
      </w:tr>
      <w:tr>
        <w:trPr>
          <w:trHeight w:val="257"/>
        </w:trPr>
        <w:tc>
          <w:tcPr>
            <w:tcW w:w="4820" w:type="dxa"/>
            <w:vAlign w:val="bottom"/>
          </w:tcPr>
          <w:p>
            <w:pPr>
              <w:spacing w:after="0"/>
              <w:rPr>
                <w:sz w:val="22"/>
                <w:szCs w:val="22"/>
                <w:color w:val="auto"/>
              </w:rPr>
            </w:pPr>
          </w:p>
        </w:tc>
        <w:tc>
          <w:tcPr>
            <w:tcW w:w="6540" w:type="dxa"/>
            <w:vAlign w:val="bottom"/>
          </w:tcPr>
          <w:p>
            <w:pPr>
              <w:spacing w:after="0"/>
              <w:rPr>
                <w:sz w:val="22"/>
                <w:szCs w:val="22"/>
                <w:color w:val="auto"/>
              </w:rPr>
            </w:pPr>
          </w:p>
        </w:tc>
      </w:tr>
      <w:tr>
        <w:trPr>
          <w:trHeight w:val="243"/>
        </w:trPr>
        <w:tc>
          <w:tcPr>
            <w:tcW w:w="4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w:t>
            </w:r>
          </w:p>
        </w:tc>
        <w:tc>
          <w:tcPr>
            <w:tcW w:w="6540" w:type="dxa"/>
            <w:vAlign w:val="bottom"/>
            <w:shd w:val="clear" w:color="auto" w:fill="CCEEFF"/>
          </w:tcPr>
          <w:p>
            <w:pPr>
              <w:ind w:left="3740"/>
              <w:spacing w:after="0"/>
              <w:rPr>
                <w:sz w:val="20"/>
                <w:szCs w:val="20"/>
                <w:color w:val="auto"/>
              </w:rPr>
            </w:pPr>
            <w:r>
              <w:rPr>
                <w:rFonts w:ascii="Arial" w:cs="Arial" w:eastAsia="Arial" w:hAnsi="Arial"/>
                <w:sz w:val="18"/>
                <w:szCs w:val="18"/>
                <w:color w:val="auto"/>
              </w:rPr>
              <w:t>1003</w:t>
            </w:r>
          </w:p>
        </w:tc>
      </w:tr>
      <w:tr>
        <w:trPr>
          <w:trHeight w:val="257"/>
        </w:trPr>
        <w:tc>
          <w:tcPr>
            <w:tcW w:w="4820" w:type="dxa"/>
            <w:vAlign w:val="bottom"/>
            <w:shd w:val="clear" w:color="auto" w:fill="CCEEFF"/>
          </w:tcPr>
          <w:p>
            <w:pPr>
              <w:spacing w:after="0"/>
              <w:rPr>
                <w:sz w:val="22"/>
                <w:szCs w:val="22"/>
                <w:color w:val="auto"/>
              </w:rPr>
            </w:pPr>
          </w:p>
        </w:tc>
        <w:tc>
          <w:tcPr>
            <w:tcW w:w="6540" w:type="dxa"/>
            <w:vAlign w:val="bottom"/>
            <w:shd w:val="clear" w:color="auto" w:fill="CCEEFF"/>
          </w:tcPr>
          <w:p>
            <w:pPr>
              <w:spacing w:after="0"/>
              <w:rPr>
                <w:sz w:val="22"/>
                <w:szCs w:val="22"/>
                <w:color w:val="auto"/>
              </w:rPr>
            </w:pPr>
          </w:p>
        </w:tc>
      </w:tr>
      <w:tr>
        <w:trPr>
          <w:trHeight w:val="243"/>
        </w:trPr>
        <w:tc>
          <w:tcPr>
            <w:tcW w:w="4820" w:type="dxa"/>
            <w:vAlign w:val="bottom"/>
          </w:tcPr>
          <w:p>
            <w:pPr>
              <w:ind w:left="20"/>
              <w:spacing w:after="0"/>
              <w:rPr>
                <w:sz w:val="20"/>
                <w:szCs w:val="20"/>
                <w:color w:val="auto"/>
              </w:rPr>
            </w:pPr>
            <w:r>
              <w:rPr>
                <w:rFonts w:ascii="Arial" w:cs="Arial" w:eastAsia="Arial" w:hAnsi="Arial"/>
                <w:sz w:val="18"/>
                <w:szCs w:val="18"/>
                <w:color w:val="auto"/>
              </w:rPr>
              <w:t>§ 318(a)</w:t>
            </w:r>
          </w:p>
        </w:tc>
        <w:tc>
          <w:tcPr>
            <w:tcW w:w="6540" w:type="dxa"/>
            <w:vAlign w:val="bottom"/>
          </w:tcPr>
          <w:p>
            <w:pPr>
              <w:ind w:left="3740"/>
              <w:spacing w:after="0"/>
              <w:rPr>
                <w:sz w:val="20"/>
                <w:szCs w:val="20"/>
                <w:color w:val="auto"/>
              </w:rPr>
            </w:pPr>
            <w:r>
              <w:rPr>
                <w:rFonts w:ascii="Arial" w:cs="Arial" w:eastAsia="Arial" w:hAnsi="Arial"/>
                <w:sz w:val="18"/>
                <w:szCs w:val="18"/>
                <w:color w:val="auto"/>
              </w:rPr>
              <w:t>107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Note: This reconciliation and tie shall not, for any purpose, be deemed to be a part of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353695</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10620"/>
        <w:spacing w:after="0"/>
        <w:rPr>
          <w:sz w:val="20"/>
          <w:szCs w:val="20"/>
          <w:color w:val="auto"/>
        </w:rPr>
      </w:pPr>
      <w:r>
        <w:rPr>
          <w:rFonts w:ascii="Arial" w:cs="Arial" w:eastAsia="Arial" w:hAnsi="Arial"/>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6480810</wp:posOffset>
            </wp:positionH>
            <wp:positionV relativeFrom="paragraph">
              <wp:posOffset>169545</wp:posOffset>
            </wp:positionV>
            <wp:extent cx="7200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ONE</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 AND OTHER PROVISIONS OF GENERAL APPLICATION</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60" w:type="dxa"/>
            <w:vAlign w:val="bottom"/>
          </w:tcPr>
          <w:p>
            <w:pPr>
              <w:spacing w:after="0"/>
              <w:rPr>
                <w:sz w:val="20"/>
                <w:szCs w:val="20"/>
                <w:color w:val="auto"/>
              </w:rPr>
            </w:pPr>
            <w:r>
              <w:rPr>
                <w:rFonts w:ascii="Arial" w:cs="Arial" w:eastAsia="Arial" w:hAnsi="Arial"/>
                <w:sz w:val="18"/>
                <w:szCs w:val="18"/>
                <w:color w:val="auto"/>
              </w:rPr>
              <w:t>SECTION 101.</w:t>
            </w:r>
          </w:p>
        </w:tc>
        <w:tc>
          <w:tcPr>
            <w:tcW w:w="6540" w:type="dxa"/>
            <w:vAlign w:val="bottom"/>
          </w:tcPr>
          <w:p>
            <w:pPr>
              <w:ind w:left="240"/>
              <w:spacing w:after="0"/>
              <w:rPr>
                <w:sz w:val="20"/>
                <w:szCs w:val="20"/>
                <w:color w:val="auto"/>
              </w:rPr>
            </w:pPr>
            <w:r>
              <w:rPr>
                <w:rFonts w:ascii="Arial" w:cs="Arial" w:eastAsia="Arial" w:hAnsi="Arial"/>
                <w:sz w:val="18"/>
                <w:szCs w:val="18"/>
                <w:i w:val="1"/>
                <w:iCs w:val="1"/>
                <w:color w:val="auto"/>
              </w:rPr>
              <w:t>Definitions</w:t>
            </w:r>
          </w:p>
        </w:tc>
        <w:tc>
          <w:tcPr>
            <w:tcW w:w="34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500"/>
        </w:trPr>
        <w:tc>
          <w:tcPr>
            <w:tcW w:w="1360" w:type="dxa"/>
            <w:vAlign w:val="bottom"/>
          </w:tcPr>
          <w:p>
            <w:pPr>
              <w:spacing w:after="0"/>
              <w:rPr>
                <w:sz w:val="20"/>
                <w:szCs w:val="20"/>
                <w:color w:val="auto"/>
              </w:rPr>
            </w:pPr>
            <w:r>
              <w:rPr>
                <w:rFonts w:ascii="Arial" w:cs="Arial" w:eastAsia="Arial" w:hAnsi="Arial"/>
                <w:sz w:val="18"/>
                <w:szCs w:val="18"/>
                <w:color w:val="auto"/>
              </w:rPr>
              <w:t>SECTION 102.</w:t>
            </w:r>
          </w:p>
        </w:tc>
        <w:tc>
          <w:tcPr>
            <w:tcW w:w="6540" w:type="dxa"/>
            <w:vAlign w:val="bottom"/>
          </w:tcPr>
          <w:p>
            <w:pPr>
              <w:ind w:left="240"/>
              <w:spacing w:after="0"/>
              <w:rPr>
                <w:sz w:val="20"/>
                <w:szCs w:val="20"/>
                <w:color w:val="auto"/>
              </w:rPr>
            </w:pPr>
            <w:r>
              <w:rPr>
                <w:rFonts w:ascii="Arial" w:cs="Arial" w:eastAsia="Arial" w:hAnsi="Arial"/>
                <w:sz w:val="18"/>
                <w:szCs w:val="18"/>
                <w:i w:val="1"/>
                <w:iCs w:val="1"/>
                <w:color w:val="auto"/>
              </w:rPr>
              <w:t>Compliance Certificates and Opinions</w:t>
            </w:r>
          </w:p>
        </w:tc>
        <w:tc>
          <w:tcPr>
            <w:tcW w:w="34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500"/>
        </w:trPr>
        <w:tc>
          <w:tcPr>
            <w:tcW w:w="1360" w:type="dxa"/>
            <w:vAlign w:val="bottom"/>
          </w:tcPr>
          <w:p>
            <w:pPr>
              <w:spacing w:after="0"/>
              <w:rPr>
                <w:sz w:val="20"/>
                <w:szCs w:val="20"/>
                <w:color w:val="auto"/>
              </w:rPr>
            </w:pPr>
            <w:r>
              <w:rPr>
                <w:rFonts w:ascii="Arial" w:cs="Arial" w:eastAsia="Arial" w:hAnsi="Arial"/>
                <w:sz w:val="18"/>
                <w:szCs w:val="18"/>
                <w:color w:val="auto"/>
              </w:rPr>
              <w:t>SECTION 103.</w:t>
            </w:r>
          </w:p>
        </w:tc>
        <w:tc>
          <w:tcPr>
            <w:tcW w:w="6540" w:type="dxa"/>
            <w:vAlign w:val="bottom"/>
          </w:tcPr>
          <w:p>
            <w:pPr>
              <w:ind w:left="240"/>
              <w:spacing w:after="0"/>
              <w:rPr>
                <w:sz w:val="20"/>
                <w:szCs w:val="20"/>
                <w:color w:val="auto"/>
              </w:rPr>
            </w:pPr>
            <w:r>
              <w:rPr>
                <w:rFonts w:ascii="Arial" w:cs="Arial" w:eastAsia="Arial" w:hAnsi="Arial"/>
                <w:sz w:val="18"/>
                <w:szCs w:val="18"/>
                <w:i w:val="1"/>
                <w:iCs w:val="1"/>
                <w:color w:val="auto"/>
              </w:rPr>
              <w:t>Form of Documents Delivered to Trustee</w:t>
            </w:r>
          </w:p>
        </w:tc>
        <w:tc>
          <w:tcPr>
            <w:tcW w:w="34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500"/>
        </w:trPr>
        <w:tc>
          <w:tcPr>
            <w:tcW w:w="1360" w:type="dxa"/>
            <w:vAlign w:val="bottom"/>
          </w:tcPr>
          <w:p>
            <w:pPr>
              <w:spacing w:after="0"/>
              <w:rPr>
                <w:sz w:val="20"/>
                <w:szCs w:val="20"/>
                <w:color w:val="auto"/>
              </w:rPr>
            </w:pPr>
            <w:r>
              <w:rPr>
                <w:rFonts w:ascii="Arial" w:cs="Arial" w:eastAsia="Arial" w:hAnsi="Arial"/>
                <w:sz w:val="18"/>
                <w:szCs w:val="18"/>
                <w:color w:val="auto"/>
              </w:rPr>
              <w:t>SECTION 104.</w:t>
            </w:r>
          </w:p>
        </w:tc>
        <w:tc>
          <w:tcPr>
            <w:tcW w:w="6540" w:type="dxa"/>
            <w:vAlign w:val="bottom"/>
          </w:tcPr>
          <w:p>
            <w:pPr>
              <w:ind w:left="240"/>
              <w:spacing w:after="0"/>
              <w:rPr>
                <w:sz w:val="20"/>
                <w:szCs w:val="20"/>
                <w:color w:val="auto"/>
              </w:rPr>
            </w:pPr>
            <w:r>
              <w:rPr>
                <w:rFonts w:ascii="Arial" w:cs="Arial" w:eastAsia="Arial" w:hAnsi="Arial"/>
                <w:sz w:val="18"/>
                <w:szCs w:val="18"/>
                <w:i w:val="1"/>
                <w:iCs w:val="1"/>
                <w:color w:val="auto"/>
              </w:rPr>
              <w:t>Acts of Holders</w:t>
            </w:r>
          </w:p>
        </w:tc>
        <w:tc>
          <w:tcPr>
            <w:tcW w:w="34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500"/>
        </w:trPr>
        <w:tc>
          <w:tcPr>
            <w:tcW w:w="1360" w:type="dxa"/>
            <w:vAlign w:val="bottom"/>
          </w:tcPr>
          <w:p>
            <w:pPr>
              <w:spacing w:after="0"/>
              <w:rPr>
                <w:sz w:val="20"/>
                <w:szCs w:val="20"/>
                <w:color w:val="auto"/>
              </w:rPr>
            </w:pPr>
            <w:r>
              <w:rPr>
                <w:rFonts w:ascii="Arial" w:cs="Arial" w:eastAsia="Arial" w:hAnsi="Arial"/>
                <w:sz w:val="18"/>
                <w:szCs w:val="18"/>
                <w:color w:val="auto"/>
              </w:rPr>
              <w:t>SECTION 105.</w:t>
            </w:r>
          </w:p>
        </w:tc>
        <w:tc>
          <w:tcPr>
            <w:tcW w:w="6540" w:type="dxa"/>
            <w:vAlign w:val="bottom"/>
          </w:tcPr>
          <w:p>
            <w:pPr>
              <w:ind w:left="240"/>
              <w:spacing w:after="0"/>
              <w:rPr>
                <w:sz w:val="20"/>
                <w:szCs w:val="20"/>
                <w:color w:val="auto"/>
              </w:rPr>
            </w:pPr>
            <w:r>
              <w:rPr>
                <w:rFonts w:ascii="Arial" w:cs="Arial" w:eastAsia="Arial" w:hAnsi="Arial"/>
                <w:sz w:val="18"/>
                <w:szCs w:val="18"/>
                <w:i w:val="1"/>
                <w:iCs w:val="1"/>
                <w:color w:val="auto"/>
              </w:rPr>
              <w:t>Notices, Etc. to Trustee and Company</w:t>
            </w:r>
          </w:p>
        </w:tc>
        <w:tc>
          <w:tcPr>
            <w:tcW w:w="34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500"/>
        </w:trPr>
        <w:tc>
          <w:tcPr>
            <w:tcW w:w="1360" w:type="dxa"/>
            <w:vAlign w:val="bottom"/>
          </w:tcPr>
          <w:p>
            <w:pPr>
              <w:spacing w:after="0"/>
              <w:rPr>
                <w:sz w:val="20"/>
                <w:szCs w:val="20"/>
                <w:color w:val="auto"/>
              </w:rPr>
            </w:pPr>
            <w:r>
              <w:rPr>
                <w:rFonts w:ascii="Arial" w:cs="Arial" w:eastAsia="Arial" w:hAnsi="Arial"/>
                <w:sz w:val="18"/>
                <w:szCs w:val="18"/>
                <w:color w:val="auto"/>
              </w:rPr>
              <w:t>SECTION 106.</w:t>
            </w:r>
          </w:p>
        </w:tc>
        <w:tc>
          <w:tcPr>
            <w:tcW w:w="6540" w:type="dxa"/>
            <w:vAlign w:val="bottom"/>
          </w:tcPr>
          <w:p>
            <w:pPr>
              <w:ind w:left="240"/>
              <w:spacing w:after="0"/>
              <w:rPr>
                <w:sz w:val="20"/>
                <w:szCs w:val="20"/>
                <w:color w:val="auto"/>
              </w:rPr>
            </w:pPr>
            <w:r>
              <w:rPr>
                <w:rFonts w:ascii="Arial" w:cs="Arial" w:eastAsia="Arial" w:hAnsi="Arial"/>
                <w:sz w:val="18"/>
                <w:szCs w:val="18"/>
                <w:i w:val="1"/>
                <w:iCs w:val="1"/>
                <w:color w:val="auto"/>
              </w:rPr>
              <w:t>Notice to Holders; Waiver</w:t>
            </w:r>
          </w:p>
        </w:tc>
        <w:tc>
          <w:tcPr>
            <w:tcW w:w="34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500"/>
        </w:trPr>
        <w:tc>
          <w:tcPr>
            <w:tcW w:w="1360" w:type="dxa"/>
            <w:vAlign w:val="bottom"/>
          </w:tcPr>
          <w:p>
            <w:pPr>
              <w:spacing w:after="0"/>
              <w:rPr>
                <w:sz w:val="20"/>
                <w:szCs w:val="20"/>
                <w:color w:val="auto"/>
              </w:rPr>
            </w:pPr>
            <w:r>
              <w:rPr>
                <w:rFonts w:ascii="Arial" w:cs="Arial" w:eastAsia="Arial" w:hAnsi="Arial"/>
                <w:sz w:val="18"/>
                <w:szCs w:val="18"/>
                <w:color w:val="auto"/>
              </w:rPr>
              <w:t>SECTION 107.</w:t>
            </w:r>
          </w:p>
        </w:tc>
        <w:tc>
          <w:tcPr>
            <w:tcW w:w="6540" w:type="dxa"/>
            <w:vAlign w:val="bottom"/>
          </w:tcPr>
          <w:p>
            <w:pPr>
              <w:ind w:left="240"/>
              <w:spacing w:after="0"/>
              <w:rPr>
                <w:sz w:val="20"/>
                <w:szCs w:val="20"/>
                <w:color w:val="auto"/>
              </w:rPr>
            </w:pPr>
            <w:r>
              <w:rPr>
                <w:rFonts w:ascii="Arial" w:cs="Arial" w:eastAsia="Arial" w:hAnsi="Arial"/>
                <w:sz w:val="18"/>
                <w:szCs w:val="18"/>
                <w:i w:val="1"/>
                <w:iCs w:val="1"/>
                <w:color w:val="auto"/>
              </w:rPr>
              <w:t>Conflict With Trust Indenture Act</w:t>
            </w:r>
          </w:p>
        </w:tc>
        <w:tc>
          <w:tcPr>
            <w:tcW w:w="34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500"/>
        </w:trPr>
        <w:tc>
          <w:tcPr>
            <w:tcW w:w="1360" w:type="dxa"/>
            <w:vAlign w:val="bottom"/>
          </w:tcPr>
          <w:p>
            <w:pPr>
              <w:spacing w:after="0"/>
              <w:rPr>
                <w:sz w:val="20"/>
                <w:szCs w:val="20"/>
                <w:color w:val="auto"/>
              </w:rPr>
            </w:pPr>
            <w:r>
              <w:rPr>
                <w:rFonts w:ascii="Arial" w:cs="Arial" w:eastAsia="Arial" w:hAnsi="Arial"/>
                <w:sz w:val="18"/>
                <w:szCs w:val="18"/>
                <w:color w:val="auto"/>
              </w:rPr>
              <w:t>SECTION 108.</w:t>
            </w:r>
          </w:p>
        </w:tc>
        <w:tc>
          <w:tcPr>
            <w:tcW w:w="6540" w:type="dxa"/>
            <w:vAlign w:val="bottom"/>
          </w:tcPr>
          <w:p>
            <w:pPr>
              <w:ind w:left="240"/>
              <w:spacing w:after="0"/>
              <w:rPr>
                <w:sz w:val="20"/>
                <w:szCs w:val="20"/>
                <w:color w:val="auto"/>
              </w:rPr>
            </w:pPr>
            <w:r>
              <w:rPr>
                <w:rFonts w:ascii="Arial" w:cs="Arial" w:eastAsia="Arial" w:hAnsi="Arial"/>
                <w:sz w:val="18"/>
                <w:szCs w:val="18"/>
                <w:i w:val="1"/>
                <w:iCs w:val="1"/>
                <w:color w:val="auto"/>
              </w:rPr>
              <w:t>Effect of Headings and Table of Contents</w:t>
            </w:r>
          </w:p>
        </w:tc>
        <w:tc>
          <w:tcPr>
            <w:tcW w:w="34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500"/>
        </w:trPr>
        <w:tc>
          <w:tcPr>
            <w:tcW w:w="1360" w:type="dxa"/>
            <w:vAlign w:val="bottom"/>
          </w:tcPr>
          <w:p>
            <w:pPr>
              <w:spacing w:after="0"/>
              <w:rPr>
                <w:sz w:val="20"/>
                <w:szCs w:val="20"/>
                <w:color w:val="auto"/>
              </w:rPr>
            </w:pPr>
            <w:r>
              <w:rPr>
                <w:rFonts w:ascii="Arial" w:cs="Arial" w:eastAsia="Arial" w:hAnsi="Arial"/>
                <w:sz w:val="18"/>
                <w:szCs w:val="18"/>
                <w:color w:val="auto"/>
              </w:rPr>
              <w:t>SECTION 109.</w:t>
            </w:r>
          </w:p>
        </w:tc>
        <w:tc>
          <w:tcPr>
            <w:tcW w:w="6540" w:type="dxa"/>
            <w:vAlign w:val="bottom"/>
          </w:tcPr>
          <w:p>
            <w:pPr>
              <w:ind w:left="240"/>
              <w:spacing w:after="0"/>
              <w:rPr>
                <w:sz w:val="20"/>
                <w:szCs w:val="20"/>
                <w:color w:val="auto"/>
              </w:rPr>
            </w:pPr>
            <w:r>
              <w:rPr>
                <w:rFonts w:ascii="Arial" w:cs="Arial" w:eastAsia="Arial" w:hAnsi="Arial"/>
                <w:sz w:val="18"/>
                <w:szCs w:val="18"/>
                <w:i w:val="1"/>
                <w:iCs w:val="1"/>
                <w:color w:val="auto"/>
              </w:rPr>
              <w:t>Successors and Assigns</w:t>
            </w:r>
          </w:p>
        </w:tc>
        <w:tc>
          <w:tcPr>
            <w:tcW w:w="34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500"/>
        </w:trPr>
        <w:tc>
          <w:tcPr>
            <w:tcW w:w="1360" w:type="dxa"/>
            <w:vAlign w:val="bottom"/>
          </w:tcPr>
          <w:p>
            <w:pPr>
              <w:spacing w:after="0"/>
              <w:rPr>
                <w:sz w:val="20"/>
                <w:szCs w:val="20"/>
                <w:color w:val="auto"/>
              </w:rPr>
            </w:pPr>
            <w:r>
              <w:rPr>
                <w:rFonts w:ascii="Arial" w:cs="Arial" w:eastAsia="Arial" w:hAnsi="Arial"/>
                <w:sz w:val="18"/>
                <w:szCs w:val="18"/>
                <w:color w:val="auto"/>
              </w:rPr>
              <w:t>SECTION 110.</w:t>
            </w:r>
          </w:p>
        </w:tc>
        <w:tc>
          <w:tcPr>
            <w:tcW w:w="6540" w:type="dxa"/>
            <w:vAlign w:val="bottom"/>
          </w:tcPr>
          <w:p>
            <w:pPr>
              <w:ind w:left="240"/>
              <w:spacing w:after="0"/>
              <w:rPr>
                <w:sz w:val="20"/>
                <w:szCs w:val="20"/>
                <w:color w:val="auto"/>
              </w:rPr>
            </w:pPr>
            <w:r>
              <w:rPr>
                <w:rFonts w:ascii="Arial" w:cs="Arial" w:eastAsia="Arial" w:hAnsi="Arial"/>
                <w:sz w:val="18"/>
                <w:szCs w:val="18"/>
                <w:i w:val="1"/>
                <w:iCs w:val="1"/>
                <w:color w:val="auto"/>
              </w:rPr>
              <w:t>Separability Clause</w:t>
            </w:r>
          </w:p>
        </w:tc>
        <w:tc>
          <w:tcPr>
            <w:tcW w:w="3420" w:type="dxa"/>
            <w:vAlign w:val="bottom"/>
          </w:tcPr>
          <w:p>
            <w:pPr>
              <w:jc w:val="right"/>
              <w:spacing w:after="0"/>
              <w:rPr>
                <w:sz w:val="20"/>
                <w:szCs w:val="20"/>
                <w:color w:val="auto"/>
              </w:rPr>
            </w:pPr>
            <w:r>
              <w:rPr>
                <w:rFonts w:ascii="Arial" w:cs="Arial" w:eastAsia="Arial" w:hAnsi="Arial"/>
                <w:sz w:val="18"/>
                <w:szCs w:val="18"/>
                <w:color w:val="auto"/>
              </w:rPr>
              <w:t>9</w:t>
            </w:r>
          </w:p>
        </w:tc>
      </w:tr>
    </w:tbl>
    <w:p>
      <w:pPr>
        <w:sectPr>
          <w:pgSz w:w="11900" w:h="16838" w:orient="portrait"/>
          <w:cols w:equalWidth="0" w:num="1">
            <w:col w:w="11320"/>
          </w:cols>
          <w:pgMar w:left="320" w:top="742" w:right="259" w:bottom="1440" w:gutter="0" w:footer="0" w:header="0"/>
        </w:sectPr>
      </w:pPr>
    </w:p>
    <w:bookmarkStart w:id="29" w:name="page30"/>
    <w:bookmarkEnd w:id="2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60" w:type="dxa"/>
            <w:vAlign w:val="bottom"/>
          </w:tcPr>
          <w:p>
            <w:pPr>
              <w:spacing w:after="0"/>
              <w:rPr>
                <w:sz w:val="20"/>
                <w:szCs w:val="20"/>
                <w:color w:val="auto"/>
              </w:rPr>
            </w:pPr>
            <w:r>
              <w:rPr>
                <w:rFonts w:ascii="Arial" w:cs="Arial" w:eastAsia="Arial" w:hAnsi="Arial"/>
                <w:sz w:val="18"/>
                <w:szCs w:val="18"/>
                <w:color w:val="auto"/>
              </w:rPr>
              <w:t>SECTION 111.</w:t>
            </w:r>
          </w:p>
        </w:tc>
        <w:tc>
          <w:tcPr>
            <w:tcW w:w="6080" w:type="dxa"/>
            <w:vAlign w:val="bottom"/>
          </w:tcPr>
          <w:p>
            <w:pPr>
              <w:ind w:left="240"/>
              <w:spacing w:after="0"/>
              <w:rPr>
                <w:sz w:val="20"/>
                <w:szCs w:val="20"/>
                <w:color w:val="auto"/>
              </w:rPr>
            </w:pPr>
            <w:r>
              <w:rPr>
                <w:rFonts w:ascii="Arial" w:cs="Arial" w:eastAsia="Arial" w:hAnsi="Arial"/>
                <w:sz w:val="18"/>
                <w:szCs w:val="18"/>
                <w:i w:val="1"/>
                <w:iCs w:val="1"/>
                <w:color w:val="auto"/>
              </w:rPr>
              <w:t>Benefits of Indenture</w:t>
            </w:r>
          </w:p>
        </w:tc>
        <w:tc>
          <w:tcPr>
            <w:tcW w:w="38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500"/>
        </w:trPr>
        <w:tc>
          <w:tcPr>
            <w:tcW w:w="1360" w:type="dxa"/>
            <w:vAlign w:val="bottom"/>
          </w:tcPr>
          <w:p>
            <w:pPr>
              <w:spacing w:after="0"/>
              <w:rPr>
                <w:sz w:val="20"/>
                <w:szCs w:val="20"/>
                <w:color w:val="auto"/>
              </w:rPr>
            </w:pPr>
            <w:r>
              <w:rPr>
                <w:rFonts w:ascii="Arial" w:cs="Arial" w:eastAsia="Arial" w:hAnsi="Arial"/>
                <w:sz w:val="18"/>
                <w:szCs w:val="18"/>
                <w:color w:val="auto"/>
              </w:rPr>
              <w:t>SECTION 112.</w:t>
            </w:r>
          </w:p>
        </w:tc>
        <w:tc>
          <w:tcPr>
            <w:tcW w:w="6080" w:type="dxa"/>
            <w:vAlign w:val="bottom"/>
          </w:tcPr>
          <w:p>
            <w:pPr>
              <w:ind w:left="240"/>
              <w:spacing w:after="0"/>
              <w:rPr>
                <w:sz w:val="20"/>
                <w:szCs w:val="20"/>
                <w:color w:val="auto"/>
              </w:rPr>
            </w:pPr>
            <w:r>
              <w:rPr>
                <w:rFonts w:ascii="Arial" w:cs="Arial" w:eastAsia="Arial" w:hAnsi="Arial"/>
                <w:sz w:val="18"/>
                <w:szCs w:val="18"/>
                <w:i w:val="1"/>
                <w:iCs w:val="1"/>
                <w:color w:val="auto"/>
              </w:rPr>
              <w:t>Governing Law</w:t>
            </w:r>
          </w:p>
        </w:tc>
        <w:tc>
          <w:tcPr>
            <w:tcW w:w="38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500"/>
        </w:trPr>
        <w:tc>
          <w:tcPr>
            <w:tcW w:w="1360" w:type="dxa"/>
            <w:vAlign w:val="bottom"/>
          </w:tcPr>
          <w:p>
            <w:pPr>
              <w:spacing w:after="0"/>
              <w:rPr>
                <w:sz w:val="20"/>
                <w:szCs w:val="20"/>
                <w:color w:val="auto"/>
              </w:rPr>
            </w:pPr>
            <w:r>
              <w:rPr>
                <w:rFonts w:ascii="Arial" w:cs="Arial" w:eastAsia="Arial" w:hAnsi="Arial"/>
                <w:sz w:val="18"/>
                <w:szCs w:val="18"/>
                <w:color w:val="auto"/>
              </w:rPr>
              <w:t>SECTION 113.</w:t>
            </w:r>
          </w:p>
        </w:tc>
        <w:tc>
          <w:tcPr>
            <w:tcW w:w="6080" w:type="dxa"/>
            <w:vAlign w:val="bottom"/>
          </w:tcPr>
          <w:p>
            <w:pPr>
              <w:ind w:left="240"/>
              <w:spacing w:after="0"/>
              <w:rPr>
                <w:sz w:val="20"/>
                <w:szCs w:val="20"/>
                <w:color w:val="auto"/>
              </w:rPr>
            </w:pPr>
            <w:r>
              <w:rPr>
                <w:rFonts w:ascii="Arial" w:cs="Arial" w:eastAsia="Arial" w:hAnsi="Arial"/>
                <w:sz w:val="18"/>
                <w:szCs w:val="18"/>
                <w:i w:val="1"/>
                <w:iCs w:val="1"/>
                <w:color w:val="auto"/>
              </w:rPr>
              <w:t>Legal Holidays</w:t>
            </w:r>
          </w:p>
        </w:tc>
        <w:tc>
          <w:tcPr>
            <w:tcW w:w="38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500"/>
        </w:trPr>
        <w:tc>
          <w:tcPr>
            <w:tcW w:w="1360" w:type="dxa"/>
            <w:vAlign w:val="bottom"/>
          </w:tcPr>
          <w:p>
            <w:pPr>
              <w:spacing w:after="0"/>
              <w:rPr>
                <w:sz w:val="20"/>
                <w:szCs w:val="20"/>
                <w:color w:val="auto"/>
              </w:rPr>
            </w:pPr>
            <w:r>
              <w:rPr>
                <w:rFonts w:ascii="Arial" w:cs="Arial" w:eastAsia="Arial" w:hAnsi="Arial"/>
                <w:sz w:val="18"/>
                <w:szCs w:val="18"/>
                <w:color w:val="auto"/>
              </w:rPr>
              <w:t>SECTION 114.</w:t>
            </w:r>
          </w:p>
        </w:tc>
        <w:tc>
          <w:tcPr>
            <w:tcW w:w="6080" w:type="dxa"/>
            <w:vAlign w:val="bottom"/>
          </w:tcPr>
          <w:p>
            <w:pPr>
              <w:ind w:left="240"/>
              <w:spacing w:after="0"/>
              <w:rPr>
                <w:sz w:val="20"/>
                <w:szCs w:val="20"/>
                <w:color w:val="auto"/>
              </w:rPr>
            </w:pPr>
            <w:r>
              <w:rPr>
                <w:rFonts w:ascii="Arial" w:cs="Arial" w:eastAsia="Arial" w:hAnsi="Arial"/>
                <w:sz w:val="18"/>
                <w:szCs w:val="18"/>
                <w:i w:val="1"/>
                <w:iCs w:val="1"/>
                <w:color w:val="auto"/>
              </w:rPr>
              <w:t>Rules by Trustee and Agents</w:t>
            </w:r>
          </w:p>
        </w:tc>
        <w:tc>
          <w:tcPr>
            <w:tcW w:w="38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500"/>
        </w:trPr>
        <w:tc>
          <w:tcPr>
            <w:tcW w:w="1360" w:type="dxa"/>
            <w:vAlign w:val="bottom"/>
          </w:tcPr>
          <w:p>
            <w:pPr>
              <w:spacing w:after="0"/>
              <w:rPr>
                <w:sz w:val="20"/>
                <w:szCs w:val="20"/>
                <w:color w:val="auto"/>
              </w:rPr>
            </w:pPr>
            <w:r>
              <w:rPr>
                <w:rFonts w:ascii="Arial" w:cs="Arial" w:eastAsia="Arial" w:hAnsi="Arial"/>
                <w:sz w:val="18"/>
                <w:szCs w:val="18"/>
                <w:color w:val="auto"/>
              </w:rPr>
              <w:t>SECTION 115.</w:t>
            </w:r>
          </w:p>
        </w:tc>
        <w:tc>
          <w:tcPr>
            <w:tcW w:w="6080" w:type="dxa"/>
            <w:vAlign w:val="bottom"/>
          </w:tcPr>
          <w:p>
            <w:pPr>
              <w:ind w:left="240"/>
              <w:spacing w:after="0"/>
              <w:rPr>
                <w:sz w:val="20"/>
                <w:szCs w:val="20"/>
                <w:color w:val="auto"/>
              </w:rPr>
            </w:pPr>
            <w:r>
              <w:rPr>
                <w:rFonts w:ascii="Arial" w:cs="Arial" w:eastAsia="Arial" w:hAnsi="Arial"/>
                <w:sz w:val="18"/>
                <w:szCs w:val="18"/>
                <w:i w:val="1"/>
                <w:iCs w:val="1"/>
                <w:color w:val="auto"/>
              </w:rPr>
              <w:t>No Recourse Against Others</w:t>
            </w:r>
          </w:p>
        </w:tc>
        <w:tc>
          <w:tcPr>
            <w:tcW w:w="3880" w:type="dxa"/>
            <w:vAlign w:val="bottom"/>
          </w:tcPr>
          <w:p>
            <w:pPr>
              <w:jc w:val="right"/>
              <w:spacing w:after="0"/>
              <w:rPr>
                <w:sz w:val="20"/>
                <w:szCs w:val="20"/>
                <w:color w:val="auto"/>
              </w:rPr>
            </w:pPr>
            <w:r>
              <w:rPr>
                <w:rFonts w:ascii="Arial" w:cs="Arial" w:eastAsia="Arial" w:hAnsi="Arial"/>
                <w:sz w:val="18"/>
                <w:szCs w:val="18"/>
                <w:color w:val="auto"/>
              </w:rPr>
              <w:t>9</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TWO</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SECURITY FORMS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60" w:type="dxa"/>
            <w:vAlign w:val="bottom"/>
          </w:tcPr>
          <w:p>
            <w:pPr>
              <w:spacing w:after="0"/>
              <w:rPr>
                <w:sz w:val="20"/>
                <w:szCs w:val="20"/>
                <w:color w:val="auto"/>
              </w:rPr>
            </w:pPr>
            <w:r>
              <w:rPr>
                <w:rFonts w:ascii="Arial" w:cs="Arial" w:eastAsia="Arial" w:hAnsi="Arial"/>
                <w:sz w:val="18"/>
                <w:szCs w:val="18"/>
                <w:color w:val="auto"/>
              </w:rPr>
              <w:t>SECTION 201.</w:t>
            </w:r>
          </w:p>
        </w:tc>
        <w:tc>
          <w:tcPr>
            <w:tcW w:w="6700" w:type="dxa"/>
            <w:vAlign w:val="bottom"/>
          </w:tcPr>
          <w:p>
            <w:pPr>
              <w:ind w:left="240"/>
              <w:spacing w:after="0"/>
              <w:rPr>
                <w:sz w:val="20"/>
                <w:szCs w:val="20"/>
                <w:color w:val="auto"/>
              </w:rPr>
            </w:pPr>
            <w:r>
              <w:rPr>
                <w:rFonts w:ascii="Arial" w:cs="Arial" w:eastAsia="Arial" w:hAnsi="Arial"/>
                <w:sz w:val="18"/>
                <w:szCs w:val="18"/>
                <w:i w:val="1"/>
                <w:iCs w:val="1"/>
                <w:color w:val="auto"/>
              </w:rPr>
              <w:t>Forms Generally</w:t>
            </w:r>
          </w:p>
        </w:tc>
        <w:tc>
          <w:tcPr>
            <w:tcW w:w="32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500"/>
        </w:trPr>
        <w:tc>
          <w:tcPr>
            <w:tcW w:w="1360" w:type="dxa"/>
            <w:vAlign w:val="bottom"/>
          </w:tcPr>
          <w:p>
            <w:pPr>
              <w:spacing w:after="0"/>
              <w:rPr>
                <w:sz w:val="20"/>
                <w:szCs w:val="20"/>
                <w:color w:val="auto"/>
              </w:rPr>
            </w:pPr>
            <w:r>
              <w:rPr>
                <w:rFonts w:ascii="Arial" w:cs="Arial" w:eastAsia="Arial" w:hAnsi="Arial"/>
                <w:sz w:val="18"/>
                <w:szCs w:val="18"/>
                <w:color w:val="auto"/>
              </w:rPr>
              <w:t>SECTION 202.</w:t>
            </w:r>
          </w:p>
        </w:tc>
        <w:tc>
          <w:tcPr>
            <w:tcW w:w="6700" w:type="dxa"/>
            <w:vAlign w:val="bottom"/>
          </w:tcPr>
          <w:p>
            <w:pPr>
              <w:ind w:left="240"/>
              <w:spacing w:after="0"/>
              <w:rPr>
                <w:sz w:val="20"/>
                <w:szCs w:val="20"/>
                <w:color w:val="auto"/>
              </w:rPr>
            </w:pPr>
            <w:r>
              <w:rPr>
                <w:rFonts w:ascii="Arial" w:cs="Arial" w:eastAsia="Arial" w:hAnsi="Arial"/>
                <w:sz w:val="18"/>
                <w:szCs w:val="18"/>
                <w:i w:val="1"/>
                <w:iCs w:val="1"/>
                <w:color w:val="auto"/>
              </w:rPr>
              <w:t>Form of Trustee’s Certificate of Authentication</w:t>
            </w:r>
          </w:p>
        </w:tc>
        <w:tc>
          <w:tcPr>
            <w:tcW w:w="3260" w:type="dxa"/>
            <w:vAlign w:val="bottom"/>
          </w:tcPr>
          <w:p>
            <w:pPr>
              <w:jc w:val="right"/>
              <w:spacing w:after="0"/>
              <w:rPr>
                <w:sz w:val="20"/>
                <w:szCs w:val="20"/>
                <w:color w:val="auto"/>
              </w:rPr>
            </w:pPr>
            <w:r>
              <w:rPr>
                <w:rFonts w:ascii="Arial" w:cs="Arial" w:eastAsia="Arial" w:hAnsi="Arial"/>
                <w:sz w:val="18"/>
                <w:szCs w:val="18"/>
                <w:color w:val="auto"/>
              </w:rPr>
              <w:t>10</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THREE</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SECURITIES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tabs>
          <w:tab w:leader="none" w:pos="1580" w:val="left"/>
          <w:tab w:leader="none" w:pos="11120" w:val="left"/>
        </w:tabs>
        <w:rPr>
          <w:sz w:val="20"/>
          <w:szCs w:val="20"/>
          <w:color w:val="auto"/>
        </w:rPr>
      </w:pPr>
      <w:r>
        <w:rPr>
          <w:rFonts w:ascii="Arial" w:cs="Arial" w:eastAsia="Arial" w:hAnsi="Arial"/>
          <w:sz w:val="18"/>
          <w:szCs w:val="18"/>
          <w:color w:val="auto"/>
        </w:rPr>
        <w:t>SECTION 301.</w:t>
      </w:r>
      <w:r>
        <w:rPr>
          <w:sz w:val="20"/>
          <w:szCs w:val="20"/>
          <w:color w:val="auto"/>
        </w:rPr>
        <w:tab/>
      </w:r>
      <w:r>
        <w:rPr>
          <w:rFonts w:ascii="Arial" w:cs="Arial" w:eastAsia="Arial" w:hAnsi="Arial"/>
          <w:sz w:val="18"/>
          <w:szCs w:val="18"/>
          <w:i w:val="1"/>
          <w:iCs w:val="1"/>
          <w:color w:val="auto"/>
        </w:rPr>
        <w:t>Amount Unlimited; Issuable in Series</w:t>
      </w:r>
      <w:r>
        <w:rPr>
          <w:sz w:val="20"/>
          <w:szCs w:val="20"/>
          <w:color w:val="auto"/>
        </w:rPr>
        <w:tab/>
      </w:r>
      <w:r>
        <w:rPr>
          <w:rFonts w:ascii="Arial" w:cs="Arial" w:eastAsia="Arial" w:hAnsi="Arial"/>
          <w:sz w:val="16"/>
          <w:szCs w:val="16"/>
          <w:color w:val="auto"/>
        </w:rPr>
        <w:t>10</w:t>
      </w:r>
    </w:p>
    <w:p>
      <w:pPr>
        <w:sectPr>
          <w:pgSz w:w="11900" w:h="16838" w:orient="portrait"/>
          <w:cols w:equalWidth="0" w:num="1">
            <w:col w:w="11320"/>
          </w:cols>
          <w:pgMar w:left="320" w:top="530" w:right="25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30"/>
        </w:trPr>
        <w:tc>
          <w:tcPr>
            <w:tcW w:w="1360" w:type="dxa"/>
            <w:vAlign w:val="bottom"/>
          </w:tcPr>
          <w:p>
            <w:pPr>
              <w:spacing w:after="0"/>
              <w:rPr>
                <w:sz w:val="20"/>
                <w:szCs w:val="20"/>
                <w:color w:val="auto"/>
              </w:rPr>
            </w:pPr>
            <w:r>
              <w:rPr>
                <w:rFonts w:ascii="Arial" w:cs="Arial" w:eastAsia="Arial" w:hAnsi="Arial"/>
                <w:sz w:val="18"/>
                <w:szCs w:val="18"/>
                <w:color w:val="auto"/>
              </w:rPr>
              <w:t>SECTION 302.</w:t>
            </w:r>
          </w:p>
        </w:tc>
        <w:tc>
          <w:tcPr>
            <w:tcW w:w="7620" w:type="dxa"/>
            <w:vAlign w:val="bottom"/>
          </w:tcPr>
          <w:p>
            <w:pPr>
              <w:ind w:left="240"/>
              <w:spacing w:after="0"/>
              <w:rPr>
                <w:sz w:val="20"/>
                <w:szCs w:val="20"/>
                <w:color w:val="auto"/>
              </w:rPr>
            </w:pPr>
            <w:r>
              <w:rPr>
                <w:rFonts w:ascii="Arial" w:cs="Arial" w:eastAsia="Arial" w:hAnsi="Arial"/>
                <w:sz w:val="18"/>
                <w:szCs w:val="18"/>
                <w:i w:val="1"/>
                <w:iCs w:val="1"/>
                <w:color w:val="auto"/>
              </w:rPr>
              <w:t>Denominations</w:t>
            </w:r>
          </w:p>
        </w:tc>
        <w:tc>
          <w:tcPr>
            <w:tcW w:w="23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500"/>
        </w:trPr>
        <w:tc>
          <w:tcPr>
            <w:tcW w:w="1360" w:type="dxa"/>
            <w:vAlign w:val="bottom"/>
          </w:tcPr>
          <w:p>
            <w:pPr>
              <w:spacing w:after="0"/>
              <w:rPr>
                <w:sz w:val="20"/>
                <w:szCs w:val="20"/>
                <w:color w:val="auto"/>
              </w:rPr>
            </w:pPr>
            <w:r>
              <w:rPr>
                <w:rFonts w:ascii="Arial" w:cs="Arial" w:eastAsia="Arial" w:hAnsi="Arial"/>
                <w:sz w:val="18"/>
                <w:szCs w:val="18"/>
                <w:color w:val="auto"/>
              </w:rPr>
              <w:t>SECTION 303.</w:t>
            </w:r>
          </w:p>
        </w:tc>
        <w:tc>
          <w:tcPr>
            <w:tcW w:w="7620" w:type="dxa"/>
            <w:vAlign w:val="bottom"/>
          </w:tcPr>
          <w:p>
            <w:pPr>
              <w:ind w:left="240"/>
              <w:spacing w:after="0"/>
              <w:rPr>
                <w:sz w:val="20"/>
                <w:szCs w:val="20"/>
                <w:color w:val="auto"/>
              </w:rPr>
            </w:pPr>
            <w:r>
              <w:rPr>
                <w:rFonts w:ascii="Arial" w:cs="Arial" w:eastAsia="Arial" w:hAnsi="Arial"/>
                <w:sz w:val="18"/>
                <w:szCs w:val="18"/>
                <w:i w:val="1"/>
                <w:iCs w:val="1"/>
                <w:color w:val="auto"/>
              </w:rPr>
              <w:t>Execution, Authentication, Delivery and Dating</w:t>
            </w:r>
          </w:p>
        </w:tc>
        <w:tc>
          <w:tcPr>
            <w:tcW w:w="23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500"/>
        </w:trPr>
        <w:tc>
          <w:tcPr>
            <w:tcW w:w="1360" w:type="dxa"/>
            <w:vAlign w:val="bottom"/>
          </w:tcPr>
          <w:p>
            <w:pPr>
              <w:spacing w:after="0"/>
              <w:rPr>
                <w:sz w:val="20"/>
                <w:szCs w:val="20"/>
                <w:color w:val="auto"/>
              </w:rPr>
            </w:pPr>
            <w:r>
              <w:rPr>
                <w:rFonts w:ascii="Arial" w:cs="Arial" w:eastAsia="Arial" w:hAnsi="Arial"/>
                <w:sz w:val="18"/>
                <w:szCs w:val="18"/>
                <w:color w:val="auto"/>
              </w:rPr>
              <w:t>SECTION 304.</w:t>
            </w:r>
          </w:p>
        </w:tc>
        <w:tc>
          <w:tcPr>
            <w:tcW w:w="7620" w:type="dxa"/>
            <w:vAlign w:val="bottom"/>
          </w:tcPr>
          <w:p>
            <w:pPr>
              <w:ind w:left="240"/>
              <w:spacing w:after="0"/>
              <w:rPr>
                <w:sz w:val="20"/>
                <w:szCs w:val="20"/>
                <w:color w:val="auto"/>
              </w:rPr>
            </w:pPr>
            <w:r>
              <w:rPr>
                <w:rFonts w:ascii="Arial" w:cs="Arial" w:eastAsia="Arial" w:hAnsi="Arial"/>
                <w:sz w:val="18"/>
                <w:szCs w:val="18"/>
                <w:i w:val="1"/>
                <w:iCs w:val="1"/>
                <w:color w:val="auto"/>
              </w:rPr>
              <w:t>Temporary Securities</w:t>
            </w:r>
          </w:p>
        </w:tc>
        <w:tc>
          <w:tcPr>
            <w:tcW w:w="23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500"/>
        </w:trPr>
        <w:tc>
          <w:tcPr>
            <w:tcW w:w="1360" w:type="dxa"/>
            <w:vAlign w:val="bottom"/>
          </w:tcPr>
          <w:p>
            <w:pPr>
              <w:spacing w:after="0"/>
              <w:rPr>
                <w:sz w:val="20"/>
                <w:szCs w:val="20"/>
                <w:color w:val="auto"/>
              </w:rPr>
            </w:pPr>
            <w:r>
              <w:rPr>
                <w:rFonts w:ascii="Arial" w:cs="Arial" w:eastAsia="Arial" w:hAnsi="Arial"/>
                <w:sz w:val="18"/>
                <w:szCs w:val="18"/>
                <w:color w:val="auto"/>
              </w:rPr>
              <w:t>SECTION 305.</w:t>
            </w:r>
          </w:p>
        </w:tc>
        <w:tc>
          <w:tcPr>
            <w:tcW w:w="7620" w:type="dxa"/>
            <w:vAlign w:val="bottom"/>
          </w:tcPr>
          <w:p>
            <w:pPr>
              <w:ind w:left="240"/>
              <w:spacing w:after="0"/>
              <w:rPr>
                <w:sz w:val="20"/>
                <w:szCs w:val="20"/>
                <w:color w:val="auto"/>
              </w:rPr>
            </w:pPr>
            <w:r>
              <w:rPr>
                <w:rFonts w:ascii="Arial" w:cs="Arial" w:eastAsia="Arial" w:hAnsi="Arial"/>
                <w:sz w:val="18"/>
                <w:szCs w:val="18"/>
                <w:i w:val="1"/>
                <w:iCs w:val="1"/>
                <w:color w:val="auto"/>
              </w:rPr>
              <w:t>Registration, Registration of Transfer and Exchange</w:t>
            </w:r>
          </w:p>
        </w:tc>
        <w:tc>
          <w:tcPr>
            <w:tcW w:w="23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500"/>
        </w:trPr>
        <w:tc>
          <w:tcPr>
            <w:tcW w:w="1360" w:type="dxa"/>
            <w:vAlign w:val="bottom"/>
          </w:tcPr>
          <w:p>
            <w:pPr>
              <w:spacing w:after="0"/>
              <w:rPr>
                <w:sz w:val="20"/>
                <w:szCs w:val="20"/>
                <w:color w:val="auto"/>
              </w:rPr>
            </w:pPr>
            <w:r>
              <w:rPr>
                <w:rFonts w:ascii="Arial" w:cs="Arial" w:eastAsia="Arial" w:hAnsi="Arial"/>
                <w:sz w:val="18"/>
                <w:szCs w:val="18"/>
                <w:color w:val="auto"/>
              </w:rPr>
              <w:t>SECTION 306.</w:t>
            </w:r>
          </w:p>
        </w:tc>
        <w:tc>
          <w:tcPr>
            <w:tcW w:w="7620" w:type="dxa"/>
            <w:vAlign w:val="bottom"/>
          </w:tcPr>
          <w:p>
            <w:pPr>
              <w:ind w:left="240"/>
              <w:spacing w:after="0"/>
              <w:rPr>
                <w:sz w:val="20"/>
                <w:szCs w:val="20"/>
                <w:color w:val="auto"/>
              </w:rPr>
            </w:pPr>
            <w:r>
              <w:rPr>
                <w:rFonts w:ascii="Arial" w:cs="Arial" w:eastAsia="Arial" w:hAnsi="Arial"/>
                <w:sz w:val="18"/>
                <w:szCs w:val="18"/>
                <w:i w:val="1"/>
                <w:iCs w:val="1"/>
                <w:color w:val="auto"/>
              </w:rPr>
              <w:t>Mutilated, Destroyed, Lost and Stolen Securities</w:t>
            </w:r>
          </w:p>
        </w:tc>
        <w:tc>
          <w:tcPr>
            <w:tcW w:w="23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500"/>
        </w:trPr>
        <w:tc>
          <w:tcPr>
            <w:tcW w:w="1360" w:type="dxa"/>
            <w:vAlign w:val="bottom"/>
          </w:tcPr>
          <w:p>
            <w:pPr>
              <w:spacing w:after="0"/>
              <w:rPr>
                <w:sz w:val="20"/>
                <w:szCs w:val="20"/>
                <w:color w:val="auto"/>
              </w:rPr>
            </w:pPr>
            <w:r>
              <w:rPr>
                <w:rFonts w:ascii="Arial" w:cs="Arial" w:eastAsia="Arial" w:hAnsi="Arial"/>
                <w:sz w:val="18"/>
                <w:szCs w:val="18"/>
                <w:color w:val="auto"/>
              </w:rPr>
              <w:t>SECTION 307.</w:t>
            </w:r>
          </w:p>
        </w:tc>
        <w:tc>
          <w:tcPr>
            <w:tcW w:w="7620" w:type="dxa"/>
            <w:vAlign w:val="bottom"/>
          </w:tcPr>
          <w:p>
            <w:pPr>
              <w:ind w:left="240"/>
              <w:spacing w:after="0"/>
              <w:rPr>
                <w:sz w:val="20"/>
                <w:szCs w:val="20"/>
                <w:color w:val="auto"/>
              </w:rPr>
            </w:pPr>
            <w:r>
              <w:rPr>
                <w:rFonts w:ascii="Arial" w:cs="Arial" w:eastAsia="Arial" w:hAnsi="Arial"/>
                <w:sz w:val="18"/>
                <w:szCs w:val="18"/>
                <w:i w:val="1"/>
                <w:iCs w:val="1"/>
                <w:color w:val="auto"/>
              </w:rPr>
              <w:t>Payment of Interest; Interest Rights Preserved</w:t>
            </w:r>
          </w:p>
        </w:tc>
        <w:tc>
          <w:tcPr>
            <w:tcW w:w="23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500"/>
        </w:trPr>
        <w:tc>
          <w:tcPr>
            <w:tcW w:w="1360" w:type="dxa"/>
            <w:vAlign w:val="bottom"/>
          </w:tcPr>
          <w:p>
            <w:pPr>
              <w:spacing w:after="0"/>
              <w:rPr>
                <w:sz w:val="20"/>
                <w:szCs w:val="20"/>
                <w:color w:val="auto"/>
              </w:rPr>
            </w:pPr>
            <w:r>
              <w:rPr>
                <w:rFonts w:ascii="Arial" w:cs="Arial" w:eastAsia="Arial" w:hAnsi="Arial"/>
                <w:sz w:val="18"/>
                <w:szCs w:val="18"/>
                <w:color w:val="auto"/>
              </w:rPr>
              <w:t>SECTION 308.</w:t>
            </w:r>
          </w:p>
        </w:tc>
        <w:tc>
          <w:tcPr>
            <w:tcW w:w="7620" w:type="dxa"/>
            <w:vAlign w:val="bottom"/>
          </w:tcPr>
          <w:p>
            <w:pPr>
              <w:ind w:left="240"/>
              <w:spacing w:after="0"/>
              <w:rPr>
                <w:sz w:val="20"/>
                <w:szCs w:val="20"/>
                <w:color w:val="auto"/>
              </w:rPr>
            </w:pPr>
            <w:r>
              <w:rPr>
                <w:rFonts w:ascii="Arial" w:cs="Arial" w:eastAsia="Arial" w:hAnsi="Arial"/>
                <w:sz w:val="18"/>
                <w:szCs w:val="18"/>
                <w:i w:val="1"/>
                <w:iCs w:val="1"/>
                <w:color w:val="auto"/>
              </w:rPr>
              <w:t>Persons Deemed Owners</w:t>
            </w:r>
          </w:p>
        </w:tc>
        <w:tc>
          <w:tcPr>
            <w:tcW w:w="23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500"/>
        </w:trPr>
        <w:tc>
          <w:tcPr>
            <w:tcW w:w="1360" w:type="dxa"/>
            <w:vAlign w:val="bottom"/>
          </w:tcPr>
          <w:p>
            <w:pPr>
              <w:spacing w:after="0"/>
              <w:rPr>
                <w:sz w:val="20"/>
                <w:szCs w:val="20"/>
                <w:color w:val="auto"/>
              </w:rPr>
            </w:pPr>
            <w:r>
              <w:rPr>
                <w:rFonts w:ascii="Arial" w:cs="Arial" w:eastAsia="Arial" w:hAnsi="Arial"/>
                <w:sz w:val="18"/>
                <w:szCs w:val="18"/>
                <w:color w:val="auto"/>
              </w:rPr>
              <w:t>SECTION 309.</w:t>
            </w:r>
          </w:p>
        </w:tc>
        <w:tc>
          <w:tcPr>
            <w:tcW w:w="7620" w:type="dxa"/>
            <w:vAlign w:val="bottom"/>
          </w:tcPr>
          <w:p>
            <w:pPr>
              <w:ind w:left="240"/>
              <w:spacing w:after="0"/>
              <w:rPr>
                <w:sz w:val="20"/>
                <w:szCs w:val="20"/>
                <w:color w:val="auto"/>
              </w:rPr>
            </w:pPr>
            <w:r>
              <w:rPr>
                <w:rFonts w:ascii="Arial" w:cs="Arial" w:eastAsia="Arial" w:hAnsi="Arial"/>
                <w:sz w:val="18"/>
                <w:szCs w:val="18"/>
                <w:i w:val="1"/>
                <w:iCs w:val="1"/>
                <w:color w:val="auto"/>
              </w:rPr>
              <w:t>Cancellation</w:t>
            </w:r>
          </w:p>
        </w:tc>
        <w:tc>
          <w:tcPr>
            <w:tcW w:w="23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500"/>
        </w:trPr>
        <w:tc>
          <w:tcPr>
            <w:tcW w:w="1360" w:type="dxa"/>
            <w:vAlign w:val="bottom"/>
          </w:tcPr>
          <w:p>
            <w:pPr>
              <w:spacing w:after="0"/>
              <w:rPr>
                <w:sz w:val="20"/>
                <w:szCs w:val="20"/>
                <w:color w:val="auto"/>
              </w:rPr>
            </w:pPr>
            <w:r>
              <w:rPr>
                <w:rFonts w:ascii="Arial" w:cs="Arial" w:eastAsia="Arial" w:hAnsi="Arial"/>
                <w:sz w:val="18"/>
                <w:szCs w:val="18"/>
                <w:color w:val="auto"/>
              </w:rPr>
              <w:t>SECTION 310.</w:t>
            </w:r>
          </w:p>
        </w:tc>
        <w:tc>
          <w:tcPr>
            <w:tcW w:w="7620" w:type="dxa"/>
            <w:vAlign w:val="bottom"/>
          </w:tcPr>
          <w:p>
            <w:pPr>
              <w:ind w:left="240"/>
              <w:spacing w:after="0"/>
              <w:rPr>
                <w:sz w:val="20"/>
                <w:szCs w:val="20"/>
                <w:color w:val="auto"/>
              </w:rPr>
            </w:pPr>
            <w:r>
              <w:rPr>
                <w:rFonts w:ascii="Arial" w:cs="Arial" w:eastAsia="Arial" w:hAnsi="Arial"/>
                <w:sz w:val="18"/>
                <w:szCs w:val="18"/>
                <w:i w:val="1"/>
                <w:iCs w:val="1"/>
                <w:color w:val="auto"/>
              </w:rPr>
              <w:t>Computation of Interest</w:t>
            </w:r>
          </w:p>
        </w:tc>
        <w:tc>
          <w:tcPr>
            <w:tcW w:w="23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500"/>
        </w:trPr>
        <w:tc>
          <w:tcPr>
            <w:tcW w:w="1360" w:type="dxa"/>
            <w:vAlign w:val="bottom"/>
          </w:tcPr>
          <w:p>
            <w:pPr>
              <w:spacing w:after="0"/>
              <w:rPr>
                <w:sz w:val="20"/>
                <w:szCs w:val="20"/>
                <w:color w:val="auto"/>
              </w:rPr>
            </w:pPr>
            <w:r>
              <w:rPr>
                <w:rFonts w:ascii="Arial" w:cs="Arial" w:eastAsia="Arial" w:hAnsi="Arial"/>
                <w:sz w:val="18"/>
                <w:szCs w:val="18"/>
                <w:color w:val="auto"/>
              </w:rPr>
              <w:t>SECTION 311.</w:t>
            </w:r>
          </w:p>
        </w:tc>
        <w:tc>
          <w:tcPr>
            <w:tcW w:w="7620" w:type="dxa"/>
            <w:vAlign w:val="bottom"/>
          </w:tcPr>
          <w:p>
            <w:pPr>
              <w:ind w:left="240"/>
              <w:spacing w:after="0"/>
              <w:rPr>
                <w:sz w:val="20"/>
                <w:szCs w:val="20"/>
                <w:color w:val="auto"/>
              </w:rPr>
            </w:pPr>
            <w:r>
              <w:rPr>
                <w:rFonts w:ascii="Arial" w:cs="Arial" w:eastAsia="Arial" w:hAnsi="Arial"/>
                <w:sz w:val="18"/>
                <w:szCs w:val="18"/>
                <w:i w:val="1"/>
                <w:iCs w:val="1"/>
                <w:color w:val="auto"/>
              </w:rPr>
              <w:t>Global Securities; Exchanges; Registration and Registration of Transfer</w:t>
            </w:r>
          </w:p>
        </w:tc>
        <w:tc>
          <w:tcPr>
            <w:tcW w:w="2340" w:type="dxa"/>
            <w:vAlign w:val="bottom"/>
          </w:tcPr>
          <w:p>
            <w:pPr>
              <w:jc w:val="right"/>
              <w:spacing w:after="0"/>
              <w:rPr>
                <w:sz w:val="20"/>
                <w:szCs w:val="20"/>
                <w:color w:val="auto"/>
              </w:rPr>
            </w:pPr>
            <w:r>
              <w:rPr>
                <w:rFonts w:ascii="Arial" w:cs="Arial" w:eastAsia="Arial" w:hAnsi="Arial"/>
                <w:sz w:val="18"/>
                <w:szCs w:val="18"/>
                <w:color w:val="auto"/>
              </w:rPr>
              <w:t>17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216535</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20"/>
          </w:cols>
          <w:pgMar w:left="320" w:top="530" w:right="259" w:bottom="1440" w:gutter="0" w:footer="0" w:header="0"/>
        </w:sectPr>
      </w:pPr>
    </w:p>
    <w:bookmarkStart w:id="31" w:name="page32"/>
    <w:bookmarkEnd w:id="31"/>
    <w:p>
      <w:pPr>
        <w:spacing w:after="0"/>
        <w:tabs>
          <w:tab w:leader="none" w:pos="1580" w:val="left"/>
          <w:tab w:leader="none" w:pos="11120" w:val="left"/>
        </w:tabs>
        <w:rPr>
          <w:sz w:val="20"/>
          <w:szCs w:val="20"/>
          <w:color w:val="auto"/>
        </w:rPr>
      </w:pPr>
      <w:r>
        <w:rPr>
          <w:rFonts w:ascii="Arial" w:cs="Arial" w:eastAsia="Arial" w:hAnsi="Arial"/>
          <w:sz w:val="18"/>
          <w:szCs w:val="18"/>
          <w:color w:val="auto"/>
        </w:rPr>
        <w:t>SECTION 312.</w:t>
      </w:r>
      <w:r>
        <w:rPr>
          <w:sz w:val="20"/>
          <w:szCs w:val="20"/>
          <w:color w:val="auto"/>
        </w:rPr>
        <w:tab/>
      </w:r>
      <w:r>
        <w:rPr>
          <w:rFonts w:ascii="Arial" w:cs="Arial" w:eastAsia="Arial" w:hAnsi="Arial"/>
          <w:sz w:val="18"/>
          <w:szCs w:val="18"/>
          <w:i w:val="1"/>
          <w:iCs w:val="1"/>
          <w:color w:val="auto"/>
        </w:rPr>
        <w:t>Extension of Interest Payment</w:t>
      </w:r>
      <w:r>
        <w:rPr>
          <w:sz w:val="20"/>
          <w:szCs w:val="20"/>
          <w:color w:val="auto"/>
        </w:rPr>
        <w:tab/>
      </w:r>
      <w:r>
        <w:rPr>
          <w:rFonts w:ascii="Arial" w:cs="Arial" w:eastAsia="Arial" w:hAnsi="Arial"/>
          <w:sz w:val="16"/>
          <w:szCs w:val="16"/>
          <w:color w:val="auto"/>
        </w:rPr>
        <w:t>17</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FOUR</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SATISFACTION AND DISCHARGE; DEFEASANCE</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60" w:type="dxa"/>
            <w:vAlign w:val="bottom"/>
          </w:tcPr>
          <w:p>
            <w:pPr>
              <w:spacing w:after="0"/>
              <w:rPr>
                <w:sz w:val="20"/>
                <w:szCs w:val="20"/>
                <w:color w:val="auto"/>
              </w:rPr>
            </w:pPr>
            <w:r>
              <w:rPr>
                <w:rFonts w:ascii="Arial" w:cs="Arial" w:eastAsia="Arial" w:hAnsi="Arial"/>
                <w:sz w:val="18"/>
                <w:szCs w:val="18"/>
                <w:color w:val="auto"/>
              </w:rPr>
              <w:t>SECTION 401.</w:t>
            </w:r>
          </w:p>
        </w:tc>
        <w:tc>
          <w:tcPr>
            <w:tcW w:w="6440" w:type="dxa"/>
            <w:vAlign w:val="bottom"/>
          </w:tcPr>
          <w:p>
            <w:pPr>
              <w:ind w:left="240"/>
              <w:spacing w:after="0"/>
              <w:rPr>
                <w:sz w:val="20"/>
                <w:szCs w:val="20"/>
                <w:color w:val="auto"/>
              </w:rPr>
            </w:pPr>
            <w:r>
              <w:rPr>
                <w:rFonts w:ascii="Arial" w:cs="Arial" w:eastAsia="Arial" w:hAnsi="Arial"/>
                <w:sz w:val="18"/>
                <w:szCs w:val="18"/>
                <w:i w:val="1"/>
                <w:iCs w:val="1"/>
                <w:color w:val="auto"/>
              </w:rPr>
              <w:t>Termination of Company’s Obligations</w:t>
            </w:r>
          </w:p>
        </w:tc>
        <w:tc>
          <w:tcPr>
            <w:tcW w:w="35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500"/>
        </w:trPr>
        <w:tc>
          <w:tcPr>
            <w:tcW w:w="1360" w:type="dxa"/>
            <w:vAlign w:val="bottom"/>
          </w:tcPr>
          <w:p>
            <w:pPr>
              <w:spacing w:after="0"/>
              <w:rPr>
                <w:sz w:val="20"/>
                <w:szCs w:val="20"/>
                <w:color w:val="auto"/>
              </w:rPr>
            </w:pPr>
            <w:r>
              <w:rPr>
                <w:rFonts w:ascii="Arial" w:cs="Arial" w:eastAsia="Arial" w:hAnsi="Arial"/>
                <w:sz w:val="18"/>
                <w:szCs w:val="18"/>
                <w:color w:val="auto"/>
              </w:rPr>
              <w:t>SECTION 402.</w:t>
            </w:r>
          </w:p>
        </w:tc>
        <w:tc>
          <w:tcPr>
            <w:tcW w:w="6440" w:type="dxa"/>
            <w:vAlign w:val="bottom"/>
          </w:tcPr>
          <w:p>
            <w:pPr>
              <w:ind w:left="240"/>
              <w:spacing w:after="0"/>
              <w:rPr>
                <w:sz w:val="20"/>
                <w:szCs w:val="20"/>
                <w:color w:val="auto"/>
              </w:rPr>
            </w:pPr>
            <w:r>
              <w:rPr>
                <w:rFonts w:ascii="Arial" w:cs="Arial" w:eastAsia="Arial" w:hAnsi="Arial"/>
                <w:sz w:val="18"/>
                <w:szCs w:val="18"/>
                <w:i w:val="1"/>
                <w:iCs w:val="1"/>
                <w:color w:val="auto"/>
              </w:rPr>
              <w:t>Defeasance and Discharge of Indenture</w:t>
            </w:r>
          </w:p>
        </w:tc>
        <w:tc>
          <w:tcPr>
            <w:tcW w:w="35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500"/>
        </w:trPr>
        <w:tc>
          <w:tcPr>
            <w:tcW w:w="1360" w:type="dxa"/>
            <w:vAlign w:val="bottom"/>
          </w:tcPr>
          <w:p>
            <w:pPr>
              <w:spacing w:after="0"/>
              <w:rPr>
                <w:sz w:val="20"/>
                <w:szCs w:val="20"/>
                <w:color w:val="auto"/>
              </w:rPr>
            </w:pPr>
            <w:r>
              <w:rPr>
                <w:rFonts w:ascii="Arial" w:cs="Arial" w:eastAsia="Arial" w:hAnsi="Arial"/>
                <w:sz w:val="18"/>
                <w:szCs w:val="18"/>
                <w:color w:val="auto"/>
              </w:rPr>
              <w:t>SECTION 403.</w:t>
            </w:r>
          </w:p>
        </w:tc>
        <w:tc>
          <w:tcPr>
            <w:tcW w:w="6440" w:type="dxa"/>
            <w:vAlign w:val="bottom"/>
          </w:tcPr>
          <w:p>
            <w:pPr>
              <w:ind w:left="240"/>
              <w:spacing w:after="0"/>
              <w:rPr>
                <w:sz w:val="20"/>
                <w:szCs w:val="20"/>
                <w:color w:val="auto"/>
              </w:rPr>
            </w:pPr>
            <w:r>
              <w:rPr>
                <w:rFonts w:ascii="Arial" w:cs="Arial" w:eastAsia="Arial" w:hAnsi="Arial"/>
                <w:sz w:val="18"/>
                <w:szCs w:val="18"/>
                <w:i w:val="1"/>
                <w:iCs w:val="1"/>
                <w:color w:val="auto"/>
              </w:rPr>
              <w:t>Defeasance of Certain Obligations</w:t>
            </w:r>
          </w:p>
        </w:tc>
        <w:tc>
          <w:tcPr>
            <w:tcW w:w="35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500"/>
        </w:trPr>
        <w:tc>
          <w:tcPr>
            <w:tcW w:w="1360" w:type="dxa"/>
            <w:vAlign w:val="bottom"/>
          </w:tcPr>
          <w:p>
            <w:pPr>
              <w:spacing w:after="0"/>
              <w:rPr>
                <w:sz w:val="20"/>
                <w:szCs w:val="20"/>
                <w:color w:val="auto"/>
              </w:rPr>
            </w:pPr>
            <w:r>
              <w:rPr>
                <w:rFonts w:ascii="Arial" w:cs="Arial" w:eastAsia="Arial" w:hAnsi="Arial"/>
                <w:sz w:val="18"/>
                <w:szCs w:val="18"/>
                <w:color w:val="auto"/>
              </w:rPr>
              <w:t>SECTION 404.</w:t>
            </w:r>
          </w:p>
        </w:tc>
        <w:tc>
          <w:tcPr>
            <w:tcW w:w="6440" w:type="dxa"/>
            <w:vAlign w:val="bottom"/>
          </w:tcPr>
          <w:p>
            <w:pPr>
              <w:ind w:left="240"/>
              <w:spacing w:after="0"/>
              <w:rPr>
                <w:sz w:val="20"/>
                <w:szCs w:val="20"/>
                <w:color w:val="auto"/>
              </w:rPr>
            </w:pPr>
            <w:r>
              <w:rPr>
                <w:rFonts w:ascii="Arial" w:cs="Arial" w:eastAsia="Arial" w:hAnsi="Arial"/>
                <w:sz w:val="18"/>
                <w:szCs w:val="18"/>
                <w:i w:val="1"/>
                <w:iCs w:val="1"/>
                <w:color w:val="auto"/>
              </w:rPr>
              <w:t>Conditions to Defeasance</w:t>
            </w:r>
          </w:p>
        </w:tc>
        <w:tc>
          <w:tcPr>
            <w:tcW w:w="35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500"/>
        </w:trPr>
        <w:tc>
          <w:tcPr>
            <w:tcW w:w="1360" w:type="dxa"/>
            <w:vAlign w:val="bottom"/>
          </w:tcPr>
          <w:p>
            <w:pPr>
              <w:spacing w:after="0"/>
              <w:rPr>
                <w:sz w:val="20"/>
                <w:szCs w:val="20"/>
                <w:color w:val="auto"/>
              </w:rPr>
            </w:pPr>
            <w:r>
              <w:rPr>
                <w:rFonts w:ascii="Arial" w:cs="Arial" w:eastAsia="Arial" w:hAnsi="Arial"/>
                <w:sz w:val="18"/>
                <w:szCs w:val="18"/>
                <w:color w:val="auto"/>
              </w:rPr>
              <w:t>SECTION 405.</w:t>
            </w:r>
          </w:p>
        </w:tc>
        <w:tc>
          <w:tcPr>
            <w:tcW w:w="6440" w:type="dxa"/>
            <w:vAlign w:val="bottom"/>
          </w:tcPr>
          <w:p>
            <w:pPr>
              <w:ind w:left="240"/>
              <w:spacing w:after="0"/>
              <w:rPr>
                <w:sz w:val="20"/>
                <w:szCs w:val="20"/>
                <w:color w:val="auto"/>
              </w:rPr>
            </w:pPr>
            <w:r>
              <w:rPr>
                <w:rFonts w:ascii="Arial" w:cs="Arial" w:eastAsia="Arial" w:hAnsi="Arial"/>
                <w:sz w:val="18"/>
                <w:szCs w:val="18"/>
                <w:i w:val="1"/>
                <w:iCs w:val="1"/>
                <w:color w:val="auto"/>
              </w:rPr>
              <w:t>Application of Trust Money</w:t>
            </w:r>
          </w:p>
        </w:tc>
        <w:tc>
          <w:tcPr>
            <w:tcW w:w="35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500"/>
        </w:trPr>
        <w:tc>
          <w:tcPr>
            <w:tcW w:w="1360" w:type="dxa"/>
            <w:vAlign w:val="bottom"/>
          </w:tcPr>
          <w:p>
            <w:pPr>
              <w:spacing w:after="0"/>
              <w:rPr>
                <w:sz w:val="20"/>
                <w:szCs w:val="20"/>
                <w:color w:val="auto"/>
              </w:rPr>
            </w:pPr>
            <w:r>
              <w:rPr>
                <w:rFonts w:ascii="Arial" w:cs="Arial" w:eastAsia="Arial" w:hAnsi="Arial"/>
                <w:sz w:val="18"/>
                <w:szCs w:val="18"/>
                <w:color w:val="auto"/>
              </w:rPr>
              <w:t>SECTION 406.</w:t>
            </w:r>
          </w:p>
        </w:tc>
        <w:tc>
          <w:tcPr>
            <w:tcW w:w="6440" w:type="dxa"/>
            <w:vAlign w:val="bottom"/>
          </w:tcPr>
          <w:p>
            <w:pPr>
              <w:ind w:left="240"/>
              <w:spacing w:after="0"/>
              <w:rPr>
                <w:sz w:val="20"/>
                <w:szCs w:val="20"/>
                <w:color w:val="auto"/>
              </w:rPr>
            </w:pPr>
            <w:r>
              <w:rPr>
                <w:rFonts w:ascii="Arial" w:cs="Arial" w:eastAsia="Arial" w:hAnsi="Arial"/>
                <w:sz w:val="18"/>
                <w:szCs w:val="18"/>
                <w:i w:val="1"/>
                <w:iCs w:val="1"/>
                <w:color w:val="auto"/>
              </w:rPr>
              <w:t>Reinstatement</w:t>
            </w:r>
          </w:p>
        </w:tc>
        <w:tc>
          <w:tcPr>
            <w:tcW w:w="3520" w:type="dxa"/>
            <w:vAlign w:val="bottom"/>
          </w:tcPr>
          <w:p>
            <w:pPr>
              <w:jc w:val="right"/>
              <w:spacing w:after="0"/>
              <w:rPr>
                <w:sz w:val="20"/>
                <w:szCs w:val="20"/>
                <w:color w:val="auto"/>
              </w:rPr>
            </w:pPr>
            <w:r>
              <w:rPr>
                <w:rFonts w:ascii="Arial" w:cs="Arial" w:eastAsia="Arial" w:hAnsi="Arial"/>
                <w:sz w:val="18"/>
                <w:szCs w:val="18"/>
                <w:color w:val="auto"/>
              </w:rPr>
              <w:t>21</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FIVE</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REMEDIES</w:t>
      </w:r>
    </w:p>
    <w:p>
      <w:pPr>
        <w:sectPr>
          <w:pgSz w:w="11900" w:h="16838" w:orient="portrait"/>
          <w:cols w:equalWidth="0" w:num="1">
            <w:col w:w="11320"/>
          </w:cols>
          <w:pgMar w:left="320" w:top="746" w:right="25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30"/>
        </w:trPr>
        <w:tc>
          <w:tcPr>
            <w:tcW w:w="1360" w:type="dxa"/>
            <w:vAlign w:val="bottom"/>
          </w:tcPr>
          <w:p>
            <w:pPr>
              <w:spacing w:after="0"/>
              <w:rPr>
                <w:sz w:val="20"/>
                <w:szCs w:val="20"/>
                <w:color w:val="auto"/>
              </w:rPr>
            </w:pPr>
            <w:r>
              <w:rPr>
                <w:rFonts w:ascii="Arial" w:cs="Arial" w:eastAsia="Arial" w:hAnsi="Arial"/>
                <w:sz w:val="18"/>
                <w:szCs w:val="18"/>
                <w:color w:val="auto"/>
              </w:rPr>
              <w:t>SECTION 501.</w:t>
            </w:r>
          </w:p>
        </w:tc>
        <w:tc>
          <w:tcPr>
            <w:tcW w:w="7740" w:type="dxa"/>
            <w:vAlign w:val="bottom"/>
          </w:tcPr>
          <w:p>
            <w:pPr>
              <w:ind w:left="240"/>
              <w:spacing w:after="0"/>
              <w:rPr>
                <w:sz w:val="20"/>
                <w:szCs w:val="20"/>
                <w:color w:val="auto"/>
              </w:rPr>
            </w:pPr>
            <w:r>
              <w:rPr>
                <w:rFonts w:ascii="Arial" w:cs="Arial" w:eastAsia="Arial" w:hAnsi="Arial"/>
                <w:sz w:val="18"/>
                <w:szCs w:val="18"/>
                <w:i w:val="1"/>
                <w:iCs w:val="1"/>
                <w:color w:val="auto"/>
              </w:rPr>
              <w:t>Events of Default</w:t>
            </w:r>
          </w:p>
        </w:tc>
        <w:tc>
          <w:tcPr>
            <w:tcW w:w="22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500"/>
        </w:trPr>
        <w:tc>
          <w:tcPr>
            <w:tcW w:w="1360" w:type="dxa"/>
            <w:vAlign w:val="bottom"/>
          </w:tcPr>
          <w:p>
            <w:pPr>
              <w:spacing w:after="0"/>
              <w:rPr>
                <w:sz w:val="20"/>
                <w:szCs w:val="20"/>
                <w:color w:val="auto"/>
              </w:rPr>
            </w:pPr>
            <w:r>
              <w:rPr>
                <w:rFonts w:ascii="Arial" w:cs="Arial" w:eastAsia="Arial" w:hAnsi="Arial"/>
                <w:sz w:val="18"/>
                <w:szCs w:val="18"/>
                <w:color w:val="auto"/>
              </w:rPr>
              <w:t>SECTION 502.</w:t>
            </w:r>
          </w:p>
        </w:tc>
        <w:tc>
          <w:tcPr>
            <w:tcW w:w="7740" w:type="dxa"/>
            <w:vAlign w:val="bottom"/>
          </w:tcPr>
          <w:p>
            <w:pPr>
              <w:ind w:left="240"/>
              <w:spacing w:after="0"/>
              <w:rPr>
                <w:sz w:val="20"/>
                <w:szCs w:val="20"/>
                <w:color w:val="auto"/>
              </w:rPr>
            </w:pPr>
            <w:r>
              <w:rPr>
                <w:rFonts w:ascii="Arial" w:cs="Arial" w:eastAsia="Arial" w:hAnsi="Arial"/>
                <w:sz w:val="18"/>
                <w:szCs w:val="18"/>
                <w:i w:val="1"/>
                <w:iCs w:val="1"/>
                <w:color w:val="auto"/>
              </w:rPr>
              <w:t>Acceleration of Maturity; Rescission and Annulment</w:t>
            </w:r>
          </w:p>
        </w:tc>
        <w:tc>
          <w:tcPr>
            <w:tcW w:w="22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500"/>
        </w:trPr>
        <w:tc>
          <w:tcPr>
            <w:tcW w:w="1360" w:type="dxa"/>
            <w:vAlign w:val="bottom"/>
          </w:tcPr>
          <w:p>
            <w:pPr>
              <w:spacing w:after="0"/>
              <w:rPr>
                <w:sz w:val="20"/>
                <w:szCs w:val="20"/>
                <w:color w:val="auto"/>
              </w:rPr>
            </w:pPr>
            <w:r>
              <w:rPr>
                <w:rFonts w:ascii="Arial" w:cs="Arial" w:eastAsia="Arial" w:hAnsi="Arial"/>
                <w:sz w:val="18"/>
                <w:szCs w:val="18"/>
                <w:color w:val="auto"/>
              </w:rPr>
              <w:t>SECTION 503.</w:t>
            </w:r>
          </w:p>
        </w:tc>
        <w:tc>
          <w:tcPr>
            <w:tcW w:w="7740" w:type="dxa"/>
            <w:vAlign w:val="bottom"/>
          </w:tcPr>
          <w:p>
            <w:pPr>
              <w:ind w:left="240"/>
              <w:spacing w:after="0"/>
              <w:rPr>
                <w:sz w:val="20"/>
                <w:szCs w:val="20"/>
                <w:color w:val="auto"/>
              </w:rPr>
            </w:pPr>
            <w:r>
              <w:rPr>
                <w:rFonts w:ascii="Arial" w:cs="Arial" w:eastAsia="Arial" w:hAnsi="Arial"/>
                <w:sz w:val="18"/>
                <w:szCs w:val="18"/>
                <w:i w:val="1"/>
                <w:iCs w:val="1"/>
                <w:color w:val="auto"/>
              </w:rPr>
              <w:t>Collection of Indebtedness and Suits for Enforcement by Trustee</w:t>
            </w:r>
          </w:p>
        </w:tc>
        <w:tc>
          <w:tcPr>
            <w:tcW w:w="22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500"/>
        </w:trPr>
        <w:tc>
          <w:tcPr>
            <w:tcW w:w="1360" w:type="dxa"/>
            <w:vAlign w:val="bottom"/>
          </w:tcPr>
          <w:p>
            <w:pPr>
              <w:spacing w:after="0"/>
              <w:rPr>
                <w:sz w:val="20"/>
                <w:szCs w:val="20"/>
                <w:color w:val="auto"/>
              </w:rPr>
            </w:pPr>
            <w:r>
              <w:rPr>
                <w:rFonts w:ascii="Arial" w:cs="Arial" w:eastAsia="Arial" w:hAnsi="Arial"/>
                <w:sz w:val="18"/>
                <w:szCs w:val="18"/>
                <w:color w:val="auto"/>
              </w:rPr>
              <w:t>SECTION 504.</w:t>
            </w:r>
          </w:p>
        </w:tc>
        <w:tc>
          <w:tcPr>
            <w:tcW w:w="7740" w:type="dxa"/>
            <w:vAlign w:val="bottom"/>
          </w:tcPr>
          <w:p>
            <w:pPr>
              <w:ind w:left="240"/>
              <w:spacing w:after="0"/>
              <w:rPr>
                <w:sz w:val="20"/>
                <w:szCs w:val="20"/>
                <w:color w:val="auto"/>
              </w:rPr>
            </w:pPr>
            <w:r>
              <w:rPr>
                <w:rFonts w:ascii="Arial" w:cs="Arial" w:eastAsia="Arial" w:hAnsi="Arial"/>
                <w:sz w:val="18"/>
                <w:szCs w:val="18"/>
                <w:i w:val="1"/>
                <w:iCs w:val="1"/>
                <w:color w:val="auto"/>
              </w:rPr>
              <w:t>Trustee May File Proofs of Claim</w:t>
            </w:r>
          </w:p>
        </w:tc>
        <w:tc>
          <w:tcPr>
            <w:tcW w:w="22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500"/>
        </w:trPr>
        <w:tc>
          <w:tcPr>
            <w:tcW w:w="1360" w:type="dxa"/>
            <w:vAlign w:val="bottom"/>
          </w:tcPr>
          <w:p>
            <w:pPr>
              <w:spacing w:after="0"/>
              <w:rPr>
                <w:sz w:val="20"/>
                <w:szCs w:val="20"/>
                <w:color w:val="auto"/>
              </w:rPr>
            </w:pPr>
            <w:r>
              <w:rPr>
                <w:rFonts w:ascii="Arial" w:cs="Arial" w:eastAsia="Arial" w:hAnsi="Arial"/>
                <w:sz w:val="18"/>
                <w:szCs w:val="18"/>
                <w:color w:val="auto"/>
              </w:rPr>
              <w:t>SECTION 505.</w:t>
            </w:r>
          </w:p>
        </w:tc>
        <w:tc>
          <w:tcPr>
            <w:tcW w:w="7740" w:type="dxa"/>
            <w:vAlign w:val="bottom"/>
          </w:tcPr>
          <w:p>
            <w:pPr>
              <w:ind w:left="240"/>
              <w:spacing w:after="0"/>
              <w:rPr>
                <w:sz w:val="20"/>
                <w:szCs w:val="20"/>
                <w:color w:val="auto"/>
              </w:rPr>
            </w:pPr>
            <w:r>
              <w:rPr>
                <w:rFonts w:ascii="Arial" w:cs="Arial" w:eastAsia="Arial" w:hAnsi="Arial"/>
                <w:sz w:val="18"/>
                <w:szCs w:val="18"/>
                <w:i w:val="1"/>
                <w:iCs w:val="1"/>
                <w:color w:val="auto"/>
              </w:rPr>
              <w:t>Trustee May Enforce Claims Without Possession of Securities</w:t>
            </w:r>
          </w:p>
        </w:tc>
        <w:tc>
          <w:tcPr>
            <w:tcW w:w="22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500"/>
        </w:trPr>
        <w:tc>
          <w:tcPr>
            <w:tcW w:w="1360" w:type="dxa"/>
            <w:vAlign w:val="bottom"/>
          </w:tcPr>
          <w:p>
            <w:pPr>
              <w:spacing w:after="0"/>
              <w:rPr>
                <w:sz w:val="20"/>
                <w:szCs w:val="20"/>
                <w:color w:val="auto"/>
              </w:rPr>
            </w:pPr>
            <w:r>
              <w:rPr>
                <w:rFonts w:ascii="Arial" w:cs="Arial" w:eastAsia="Arial" w:hAnsi="Arial"/>
                <w:sz w:val="18"/>
                <w:szCs w:val="18"/>
                <w:color w:val="auto"/>
              </w:rPr>
              <w:t>SECTION 506.</w:t>
            </w:r>
          </w:p>
        </w:tc>
        <w:tc>
          <w:tcPr>
            <w:tcW w:w="7740" w:type="dxa"/>
            <w:vAlign w:val="bottom"/>
          </w:tcPr>
          <w:p>
            <w:pPr>
              <w:ind w:left="240"/>
              <w:spacing w:after="0"/>
              <w:rPr>
                <w:sz w:val="20"/>
                <w:szCs w:val="20"/>
                <w:color w:val="auto"/>
              </w:rPr>
            </w:pPr>
            <w:r>
              <w:rPr>
                <w:rFonts w:ascii="Arial" w:cs="Arial" w:eastAsia="Arial" w:hAnsi="Arial"/>
                <w:sz w:val="18"/>
                <w:szCs w:val="18"/>
                <w:i w:val="1"/>
                <w:iCs w:val="1"/>
                <w:color w:val="auto"/>
              </w:rPr>
              <w:t>Application of Money Collected</w:t>
            </w:r>
          </w:p>
        </w:tc>
        <w:tc>
          <w:tcPr>
            <w:tcW w:w="22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500"/>
        </w:trPr>
        <w:tc>
          <w:tcPr>
            <w:tcW w:w="1360" w:type="dxa"/>
            <w:vAlign w:val="bottom"/>
          </w:tcPr>
          <w:p>
            <w:pPr>
              <w:spacing w:after="0"/>
              <w:rPr>
                <w:sz w:val="20"/>
                <w:szCs w:val="20"/>
                <w:color w:val="auto"/>
              </w:rPr>
            </w:pPr>
            <w:r>
              <w:rPr>
                <w:rFonts w:ascii="Arial" w:cs="Arial" w:eastAsia="Arial" w:hAnsi="Arial"/>
                <w:sz w:val="18"/>
                <w:szCs w:val="18"/>
                <w:color w:val="auto"/>
              </w:rPr>
              <w:t>SECTION 507.</w:t>
            </w:r>
          </w:p>
        </w:tc>
        <w:tc>
          <w:tcPr>
            <w:tcW w:w="7740" w:type="dxa"/>
            <w:vAlign w:val="bottom"/>
          </w:tcPr>
          <w:p>
            <w:pPr>
              <w:ind w:left="240"/>
              <w:spacing w:after="0"/>
              <w:rPr>
                <w:sz w:val="20"/>
                <w:szCs w:val="20"/>
                <w:color w:val="auto"/>
              </w:rPr>
            </w:pPr>
            <w:r>
              <w:rPr>
                <w:rFonts w:ascii="Arial" w:cs="Arial" w:eastAsia="Arial" w:hAnsi="Arial"/>
                <w:sz w:val="18"/>
                <w:szCs w:val="18"/>
                <w:i w:val="1"/>
                <w:iCs w:val="1"/>
                <w:color w:val="auto"/>
              </w:rPr>
              <w:t>Limitation on Suits</w:t>
            </w:r>
          </w:p>
        </w:tc>
        <w:tc>
          <w:tcPr>
            <w:tcW w:w="22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500"/>
        </w:trPr>
        <w:tc>
          <w:tcPr>
            <w:tcW w:w="1360" w:type="dxa"/>
            <w:vAlign w:val="bottom"/>
          </w:tcPr>
          <w:p>
            <w:pPr>
              <w:spacing w:after="0"/>
              <w:rPr>
                <w:sz w:val="20"/>
                <w:szCs w:val="20"/>
                <w:color w:val="auto"/>
              </w:rPr>
            </w:pPr>
            <w:r>
              <w:rPr>
                <w:rFonts w:ascii="Arial" w:cs="Arial" w:eastAsia="Arial" w:hAnsi="Arial"/>
                <w:sz w:val="18"/>
                <w:szCs w:val="18"/>
                <w:color w:val="auto"/>
              </w:rPr>
              <w:t>SECTION 508.</w:t>
            </w:r>
          </w:p>
        </w:tc>
        <w:tc>
          <w:tcPr>
            <w:tcW w:w="7740" w:type="dxa"/>
            <w:vAlign w:val="bottom"/>
          </w:tcPr>
          <w:p>
            <w:pPr>
              <w:ind w:left="240"/>
              <w:spacing w:after="0"/>
              <w:rPr>
                <w:sz w:val="20"/>
                <w:szCs w:val="20"/>
                <w:color w:val="auto"/>
              </w:rPr>
            </w:pPr>
            <w:r>
              <w:rPr>
                <w:rFonts w:ascii="Arial" w:cs="Arial" w:eastAsia="Arial" w:hAnsi="Arial"/>
                <w:sz w:val="18"/>
                <w:szCs w:val="18"/>
                <w:i w:val="1"/>
                <w:iCs w:val="1"/>
                <w:color w:val="auto"/>
              </w:rPr>
              <w:t>Unconditional Right of Holders to Receive Principal, Premium and Interest</w:t>
            </w:r>
          </w:p>
        </w:tc>
        <w:tc>
          <w:tcPr>
            <w:tcW w:w="22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500"/>
        </w:trPr>
        <w:tc>
          <w:tcPr>
            <w:tcW w:w="1360" w:type="dxa"/>
            <w:vAlign w:val="bottom"/>
          </w:tcPr>
          <w:p>
            <w:pPr>
              <w:spacing w:after="0"/>
              <w:rPr>
                <w:sz w:val="20"/>
                <w:szCs w:val="20"/>
                <w:color w:val="auto"/>
              </w:rPr>
            </w:pPr>
            <w:r>
              <w:rPr>
                <w:rFonts w:ascii="Arial" w:cs="Arial" w:eastAsia="Arial" w:hAnsi="Arial"/>
                <w:sz w:val="18"/>
                <w:szCs w:val="18"/>
                <w:color w:val="auto"/>
              </w:rPr>
              <w:t>SECTION 509.</w:t>
            </w:r>
          </w:p>
        </w:tc>
        <w:tc>
          <w:tcPr>
            <w:tcW w:w="7740" w:type="dxa"/>
            <w:vAlign w:val="bottom"/>
          </w:tcPr>
          <w:p>
            <w:pPr>
              <w:ind w:left="240"/>
              <w:spacing w:after="0"/>
              <w:rPr>
                <w:sz w:val="20"/>
                <w:szCs w:val="20"/>
                <w:color w:val="auto"/>
              </w:rPr>
            </w:pPr>
            <w:r>
              <w:rPr>
                <w:rFonts w:ascii="Arial" w:cs="Arial" w:eastAsia="Arial" w:hAnsi="Arial"/>
                <w:sz w:val="18"/>
                <w:szCs w:val="18"/>
                <w:i w:val="1"/>
                <w:iCs w:val="1"/>
                <w:color w:val="auto"/>
              </w:rPr>
              <w:t>Restoration of Rights and Remedies</w:t>
            </w:r>
          </w:p>
        </w:tc>
        <w:tc>
          <w:tcPr>
            <w:tcW w:w="22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500"/>
        </w:trPr>
        <w:tc>
          <w:tcPr>
            <w:tcW w:w="1360" w:type="dxa"/>
            <w:vAlign w:val="bottom"/>
          </w:tcPr>
          <w:p>
            <w:pPr>
              <w:spacing w:after="0"/>
              <w:rPr>
                <w:sz w:val="20"/>
                <w:szCs w:val="20"/>
                <w:color w:val="auto"/>
              </w:rPr>
            </w:pPr>
            <w:r>
              <w:rPr>
                <w:rFonts w:ascii="Arial" w:cs="Arial" w:eastAsia="Arial" w:hAnsi="Arial"/>
                <w:sz w:val="18"/>
                <w:szCs w:val="18"/>
                <w:color w:val="auto"/>
              </w:rPr>
              <w:t>SECTION 510.</w:t>
            </w:r>
          </w:p>
        </w:tc>
        <w:tc>
          <w:tcPr>
            <w:tcW w:w="7740" w:type="dxa"/>
            <w:vAlign w:val="bottom"/>
          </w:tcPr>
          <w:p>
            <w:pPr>
              <w:ind w:left="240"/>
              <w:spacing w:after="0"/>
              <w:rPr>
                <w:sz w:val="20"/>
                <w:szCs w:val="20"/>
                <w:color w:val="auto"/>
              </w:rPr>
            </w:pPr>
            <w:r>
              <w:rPr>
                <w:rFonts w:ascii="Arial" w:cs="Arial" w:eastAsia="Arial" w:hAnsi="Arial"/>
                <w:sz w:val="18"/>
                <w:szCs w:val="18"/>
                <w:i w:val="1"/>
                <w:iCs w:val="1"/>
                <w:color w:val="auto"/>
              </w:rPr>
              <w:t>Rights and Remedies Cumulative</w:t>
            </w:r>
          </w:p>
        </w:tc>
        <w:tc>
          <w:tcPr>
            <w:tcW w:w="22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500"/>
        </w:trPr>
        <w:tc>
          <w:tcPr>
            <w:tcW w:w="1360" w:type="dxa"/>
            <w:vAlign w:val="bottom"/>
          </w:tcPr>
          <w:p>
            <w:pPr>
              <w:spacing w:after="0"/>
              <w:rPr>
                <w:sz w:val="20"/>
                <w:szCs w:val="20"/>
                <w:color w:val="auto"/>
              </w:rPr>
            </w:pPr>
            <w:r>
              <w:rPr>
                <w:rFonts w:ascii="Arial" w:cs="Arial" w:eastAsia="Arial" w:hAnsi="Arial"/>
                <w:sz w:val="18"/>
                <w:szCs w:val="18"/>
                <w:color w:val="auto"/>
              </w:rPr>
              <w:t>SECTION 511.</w:t>
            </w:r>
          </w:p>
        </w:tc>
        <w:tc>
          <w:tcPr>
            <w:tcW w:w="7740" w:type="dxa"/>
            <w:vAlign w:val="bottom"/>
          </w:tcPr>
          <w:p>
            <w:pPr>
              <w:ind w:left="240"/>
              <w:spacing w:after="0"/>
              <w:rPr>
                <w:sz w:val="20"/>
                <w:szCs w:val="20"/>
                <w:color w:val="auto"/>
              </w:rPr>
            </w:pPr>
            <w:r>
              <w:rPr>
                <w:rFonts w:ascii="Arial" w:cs="Arial" w:eastAsia="Arial" w:hAnsi="Arial"/>
                <w:sz w:val="18"/>
                <w:szCs w:val="18"/>
                <w:i w:val="1"/>
                <w:iCs w:val="1"/>
                <w:color w:val="auto"/>
              </w:rPr>
              <w:t>Delay or Omission Not Waiver</w:t>
            </w:r>
          </w:p>
        </w:tc>
        <w:tc>
          <w:tcPr>
            <w:tcW w:w="22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500"/>
        </w:trPr>
        <w:tc>
          <w:tcPr>
            <w:tcW w:w="1360" w:type="dxa"/>
            <w:vAlign w:val="bottom"/>
          </w:tcPr>
          <w:p>
            <w:pPr>
              <w:spacing w:after="0"/>
              <w:rPr>
                <w:sz w:val="20"/>
                <w:szCs w:val="20"/>
                <w:color w:val="auto"/>
              </w:rPr>
            </w:pPr>
            <w:r>
              <w:rPr>
                <w:rFonts w:ascii="Arial" w:cs="Arial" w:eastAsia="Arial" w:hAnsi="Arial"/>
                <w:sz w:val="18"/>
                <w:szCs w:val="18"/>
                <w:color w:val="auto"/>
              </w:rPr>
              <w:t>SECTION 512.</w:t>
            </w:r>
          </w:p>
        </w:tc>
        <w:tc>
          <w:tcPr>
            <w:tcW w:w="7740" w:type="dxa"/>
            <w:vAlign w:val="bottom"/>
          </w:tcPr>
          <w:p>
            <w:pPr>
              <w:ind w:left="240"/>
              <w:spacing w:after="0"/>
              <w:rPr>
                <w:sz w:val="20"/>
                <w:szCs w:val="20"/>
                <w:color w:val="auto"/>
              </w:rPr>
            </w:pPr>
            <w:r>
              <w:rPr>
                <w:rFonts w:ascii="Arial" w:cs="Arial" w:eastAsia="Arial" w:hAnsi="Arial"/>
                <w:sz w:val="18"/>
                <w:szCs w:val="18"/>
                <w:i w:val="1"/>
                <w:iCs w:val="1"/>
                <w:color w:val="auto"/>
              </w:rPr>
              <w:t>Control by Holders</w:t>
            </w:r>
          </w:p>
        </w:tc>
        <w:tc>
          <w:tcPr>
            <w:tcW w:w="22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500"/>
        </w:trPr>
        <w:tc>
          <w:tcPr>
            <w:tcW w:w="1360" w:type="dxa"/>
            <w:vAlign w:val="bottom"/>
          </w:tcPr>
          <w:p>
            <w:pPr>
              <w:spacing w:after="0"/>
              <w:rPr>
                <w:sz w:val="20"/>
                <w:szCs w:val="20"/>
                <w:color w:val="auto"/>
              </w:rPr>
            </w:pPr>
            <w:r>
              <w:rPr>
                <w:rFonts w:ascii="Arial" w:cs="Arial" w:eastAsia="Arial" w:hAnsi="Arial"/>
                <w:sz w:val="18"/>
                <w:szCs w:val="18"/>
                <w:color w:val="auto"/>
              </w:rPr>
              <w:t>SECTION 513.</w:t>
            </w:r>
          </w:p>
        </w:tc>
        <w:tc>
          <w:tcPr>
            <w:tcW w:w="7740" w:type="dxa"/>
            <w:vAlign w:val="bottom"/>
          </w:tcPr>
          <w:p>
            <w:pPr>
              <w:ind w:left="240"/>
              <w:spacing w:after="0"/>
              <w:rPr>
                <w:sz w:val="20"/>
                <w:szCs w:val="20"/>
                <w:color w:val="auto"/>
              </w:rPr>
            </w:pPr>
            <w:r>
              <w:rPr>
                <w:rFonts w:ascii="Arial" w:cs="Arial" w:eastAsia="Arial" w:hAnsi="Arial"/>
                <w:sz w:val="18"/>
                <w:szCs w:val="18"/>
                <w:i w:val="1"/>
                <w:iCs w:val="1"/>
                <w:color w:val="auto"/>
              </w:rPr>
              <w:t>Waiver of Past Defaults</w:t>
            </w:r>
          </w:p>
        </w:tc>
        <w:tc>
          <w:tcPr>
            <w:tcW w:w="22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500"/>
        </w:trPr>
        <w:tc>
          <w:tcPr>
            <w:tcW w:w="1360" w:type="dxa"/>
            <w:vAlign w:val="bottom"/>
          </w:tcPr>
          <w:p>
            <w:pPr>
              <w:spacing w:after="0"/>
              <w:rPr>
                <w:sz w:val="20"/>
                <w:szCs w:val="20"/>
                <w:color w:val="auto"/>
              </w:rPr>
            </w:pPr>
            <w:r>
              <w:rPr>
                <w:rFonts w:ascii="Arial" w:cs="Arial" w:eastAsia="Arial" w:hAnsi="Arial"/>
                <w:sz w:val="18"/>
                <w:szCs w:val="18"/>
                <w:color w:val="auto"/>
              </w:rPr>
              <w:t>SECTION 514.</w:t>
            </w:r>
          </w:p>
        </w:tc>
        <w:tc>
          <w:tcPr>
            <w:tcW w:w="7740" w:type="dxa"/>
            <w:vAlign w:val="bottom"/>
          </w:tcPr>
          <w:p>
            <w:pPr>
              <w:ind w:left="240"/>
              <w:spacing w:after="0"/>
              <w:rPr>
                <w:sz w:val="20"/>
                <w:szCs w:val="20"/>
                <w:color w:val="auto"/>
              </w:rPr>
            </w:pPr>
            <w:r>
              <w:rPr>
                <w:rFonts w:ascii="Arial" w:cs="Arial" w:eastAsia="Arial" w:hAnsi="Arial"/>
                <w:sz w:val="18"/>
                <w:szCs w:val="18"/>
                <w:i w:val="1"/>
                <w:iCs w:val="1"/>
                <w:color w:val="auto"/>
              </w:rPr>
              <w:t>Undertaking for Costs</w:t>
            </w:r>
          </w:p>
        </w:tc>
        <w:tc>
          <w:tcPr>
            <w:tcW w:w="22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500"/>
        </w:trPr>
        <w:tc>
          <w:tcPr>
            <w:tcW w:w="1360" w:type="dxa"/>
            <w:vAlign w:val="bottom"/>
          </w:tcPr>
          <w:p>
            <w:pPr>
              <w:spacing w:after="0"/>
              <w:rPr>
                <w:sz w:val="20"/>
                <w:szCs w:val="20"/>
                <w:color w:val="auto"/>
              </w:rPr>
            </w:pPr>
            <w:r>
              <w:rPr>
                <w:rFonts w:ascii="Arial" w:cs="Arial" w:eastAsia="Arial" w:hAnsi="Arial"/>
                <w:sz w:val="18"/>
                <w:szCs w:val="18"/>
                <w:color w:val="auto"/>
              </w:rPr>
              <w:t>SECTION 515.</w:t>
            </w:r>
          </w:p>
        </w:tc>
        <w:tc>
          <w:tcPr>
            <w:tcW w:w="7740" w:type="dxa"/>
            <w:vAlign w:val="bottom"/>
          </w:tcPr>
          <w:p>
            <w:pPr>
              <w:ind w:left="240"/>
              <w:spacing w:after="0"/>
              <w:rPr>
                <w:sz w:val="20"/>
                <w:szCs w:val="20"/>
                <w:color w:val="auto"/>
              </w:rPr>
            </w:pPr>
            <w:r>
              <w:rPr>
                <w:rFonts w:ascii="Arial" w:cs="Arial" w:eastAsia="Arial" w:hAnsi="Arial"/>
                <w:sz w:val="18"/>
                <w:szCs w:val="18"/>
                <w:i w:val="1"/>
                <w:iCs w:val="1"/>
                <w:color w:val="auto"/>
              </w:rPr>
              <w:t>Waiver of Stay or Extension Laws</w:t>
            </w:r>
          </w:p>
        </w:tc>
        <w:tc>
          <w:tcPr>
            <w:tcW w:w="2220" w:type="dxa"/>
            <w:vAlign w:val="bottom"/>
          </w:tcPr>
          <w:p>
            <w:pPr>
              <w:jc w:val="right"/>
              <w:spacing w:after="0"/>
              <w:rPr>
                <w:sz w:val="20"/>
                <w:szCs w:val="20"/>
                <w:color w:val="auto"/>
              </w:rPr>
            </w:pPr>
            <w:r>
              <w:rPr>
                <w:rFonts w:ascii="Arial" w:cs="Arial" w:eastAsia="Arial" w:hAnsi="Arial"/>
                <w:sz w:val="18"/>
                <w:szCs w:val="18"/>
                <w:color w:val="auto"/>
              </w:rPr>
              <w:t>26</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SIX</w:t>
      </w:r>
    </w:p>
    <w:p>
      <w:pPr>
        <w:sectPr>
          <w:pgSz w:w="11900" w:h="16838" w:orient="portrait"/>
          <w:cols w:equalWidth="0" w:num="1">
            <w:col w:w="11320"/>
          </w:cols>
          <w:pgMar w:left="320" w:top="530" w:right="25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color w:val="auto"/>
        </w:rPr>
        <w:t>THE TRUSTEE</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60" w:type="dxa"/>
            <w:vAlign w:val="bottom"/>
          </w:tcPr>
          <w:p>
            <w:pPr>
              <w:spacing w:after="0"/>
              <w:rPr>
                <w:sz w:val="20"/>
                <w:szCs w:val="20"/>
                <w:color w:val="auto"/>
              </w:rPr>
            </w:pPr>
            <w:r>
              <w:rPr>
                <w:rFonts w:ascii="Arial" w:cs="Arial" w:eastAsia="Arial" w:hAnsi="Arial"/>
                <w:sz w:val="18"/>
                <w:szCs w:val="18"/>
                <w:color w:val="auto"/>
              </w:rPr>
              <w:t>SECTION 601.</w:t>
            </w:r>
          </w:p>
        </w:tc>
        <w:tc>
          <w:tcPr>
            <w:tcW w:w="6940" w:type="dxa"/>
            <w:vAlign w:val="bottom"/>
          </w:tcPr>
          <w:p>
            <w:pPr>
              <w:ind w:left="240"/>
              <w:spacing w:after="0"/>
              <w:rPr>
                <w:sz w:val="20"/>
                <w:szCs w:val="20"/>
                <w:color w:val="auto"/>
              </w:rPr>
            </w:pPr>
            <w:r>
              <w:rPr>
                <w:rFonts w:ascii="Arial" w:cs="Arial" w:eastAsia="Arial" w:hAnsi="Arial"/>
                <w:sz w:val="18"/>
                <w:szCs w:val="18"/>
                <w:i w:val="1"/>
                <w:iCs w:val="1"/>
                <w:color w:val="auto"/>
              </w:rPr>
              <w:t>Certain Duties and Responsibilities</w:t>
            </w:r>
          </w:p>
        </w:tc>
        <w:tc>
          <w:tcPr>
            <w:tcW w:w="30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500"/>
        </w:trPr>
        <w:tc>
          <w:tcPr>
            <w:tcW w:w="1360" w:type="dxa"/>
            <w:vAlign w:val="bottom"/>
          </w:tcPr>
          <w:p>
            <w:pPr>
              <w:spacing w:after="0"/>
              <w:rPr>
                <w:sz w:val="20"/>
                <w:szCs w:val="20"/>
                <w:color w:val="auto"/>
              </w:rPr>
            </w:pPr>
            <w:r>
              <w:rPr>
                <w:rFonts w:ascii="Arial" w:cs="Arial" w:eastAsia="Arial" w:hAnsi="Arial"/>
                <w:sz w:val="18"/>
                <w:szCs w:val="18"/>
                <w:color w:val="auto"/>
              </w:rPr>
              <w:t>SECTION 602.</w:t>
            </w:r>
          </w:p>
        </w:tc>
        <w:tc>
          <w:tcPr>
            <w:tcW w:w="6940" w:type="dxa"/>
            <w:vAlign w:val="bottom"/>
          </w:tcPr>
          <w:p>
            <w:pPr>
              <w:ind w:left="240"/>
              <w:spacing w:after="0"/>
              <w:rPr>
                <w:sz w:val="20"/>
                <w:szCs w:val="20"/>
                <w:color w:val="auto"/>
              </w:rPr>
            </w:pPr>
            <w:r>
              <w:rPr>
                <w:rFonts w:ascii="Arial" w:cs="Arial" w:eastAsia="Arial" w:hAnsi="Arial"/>
                <w:sz w:val="18"/>
                <w:szCs w:val="18"/>
                <w:i w:val="1"/>
                <w:iCs w:val="1"/>
                <w:color w:val="auto"/>
              </w:rPr>
              <w:t>Notice of Defaults</w:t>
            </w:r>
          </w:p>
        </w:tc>
        <w:tc>
          <w:tcPr>
            <w:tcW w:w="30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500"/>
        </w:trPr>
        <w:tc>
          <w:tcPr>
            <w:tcW w:w="1360" w:type="dxa"/>
            <w:vAlign w:val="bottom"/>
          </w:tcPr>
          <w:p>
            <w:pPr>
              <w:spacing w:after="0"/>
              <w:rPr>
                <w:sz w:val="20"/>
                <w:szCs w:val="20"/>
                <w:color w:val="auto"/>
              </w:rPr>
            </w:pPr>
            <w:r>
              <w:rPr>
                <w:rFonts w:ascii="Arial" w:cs="Arial" w:eastAsia="Arial" w:hAnsi="Arial"/>
                <w:sz w:val="18"/>
                <w:szCs w:val="18"/>
                <w:color w:val="auto"/>
              </w:rPr>
              <w:t>SECTION 603.</w:t>
            </w:r>
          </w:p>
        </w:tc>
        <w:tc>
          <w:tcPr>
            <w:tcW w:w="6940" w:type="dxa"/>
            <w:vAlign w:val="bottom"/>
          </w:tcPr>
          <w:p>
            <w:pPr>
              <w:ind w:left="240"/>
              <w:spacing w:after="0"/>
              <w:rPr>
                <w:sz w:val="20"/>
                <w:szCs w:val="20"/>
                <w:color w:val="auto"/>
              </w:rPr>
            </w:pPr>
            <w:r>
              <w:rPr>
                <w:rFonts w:ascii="Arial" w:cs="Arial" w:eastAsia="Arial" w:hAnsi="Arial"/>
                <w:sz w:val="18"/>
                <w:szCs w:val="18"/>
                <w:i w:val="1"/>
                <w:iCs w:val="1"/>
                <w:color w:val="auto"/>
              </w:rPr>
              <w:t>Certain Rights of Trustee</w:t>
            </w:r>
          </w:p>
        </w:tc>
        <w:tc>
          <w:tcPr>
            <w:tcW w:w="30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500"/>
        </w:trPr>
        <w:tc>
          <w:tcPr>
            <w:tcW w:w="1360" w:type="dxa"/>
            <w:vAlign w:val="bottom"/>
          </w:tcPr>
          <w:p>
            <w:pPr>
              <w:spacing w:after="0"/>
              <w:rPr>
                <w:sz w:val="20"/>
                <w:szCs w:val="20"/>
                <w:color w:val="auto"/>
              </w:rPr>
            </w:pPr>
            <w:r>
              <w:rPr>
                <w:rFonts w:ascii="Arial" w:cs="Arial" w:eastAsia="Arial" w:hAnsi="Arial"/>
                <w:sz w:val="18"/>
                <w:szCs w:val="18"/>
                <w:color w:val="auto"/>
              </w:rPr>
              <w:t>SECTION 604.</w:t>
            </w:r>
          </w:p>
        </w:tc>
        <w:tc>
          <w:tcPr>
            <w:tcW w:w="6940" w:type="dxa"/>
            <w:vAlign w:val="bottom"/>
          </w:tcPr>
          <w:p>
            <w:pPr>
              <w:ind w:left="240"/>
              <w:spacing w:after="0"/>
              <w:rPr>
                <w:sz w:val="20"/>
                <w:szCs w:val="20"/>
                <w:color w:val="auto"/>
              </w:rPr>
            </w:pPr>
            <w:r>
              <w:rPr>
                <w:rFonts w:ascii="Arial" w:cs="Arial" w:eastAsia="Arial" w:hAnsi="Arial"/>
                <w:sz w:val="18"/>
                <w:szCs w:val="18"/>
                <w:i w:val="1"/>
                <w:iCs w:val="1"/>
                <w:color w:val="auto"/>
              </w:rPr>
              <w:t>Not Responsible for Recitals or Issuance of Securities</w:t>
            </w:r>
          </w:p>
        </w:tc>
        <w:tc>
          <w:tcPr>
            <w:tcW w:w="30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500"/>
        </w:trPr>
        <w:tc>
          <w:tcPr>
            <w:tcW w:w="1360" w:type="dxa"/>
            <w:vAlign w:val="bottom"/>
          </w:tcPr>
          <w:p>
            <w:pPr>
              <w:spacing w:after="0"/>
              <w:rPr>
                <w:sz w:val="20"/>
                <w:szCs w:val="20"/>
                <w:color w:val="auto"/>
              </w:rPr>
            </w:pPr>
            <w:r>
              <w:rPr>
                <w:rFonts w:ascii="Arial" w:cs="Arial" w:eastAsia="Arial" w:hAnsi="Arial"/>
                <w:sz w:val="18"/>
                <w:szCs w:val="18"/>
                <w:color w:val="auto"/>
              </w:rPr>
              <w:t>SECTION 605.</w:t>
            </w:r>
          </w:p>
        </w:tc>
        <w:tc>
          <w:tcPr>
            <w:tcW w:w="6940" w:type="dxa"/>
            <w:vAlign w:val="bottom"/>
          </w:tcPr>
          <w:p>
            <w:pPr>
              <w:ind w:left="240"/>
              <w:spacing w:after="0"/>
              <w:rPr>
                <w:sz w:val="20"/>
                <w:szCs w:val="20"/>
                <w:color w:val="auto"/>
              </w:rPr>
            </w:pPr>
            <w:r>
              <w:rPr>
                <w:rFonts w:ascii="Arial" w:cs="Arial" w:eastAsia="Arial" w:hAnsi="Arial"/>
                <w:sz w:val="18"/>
                <w:szCs w:val="18"/>
                <w:i w:val="1"/>
                <w:iCs w:val="1"/>
                <w:color w:val="auto"/>
              </w:rPr>
              <w:t>May Hold Securities</w:t>
            </w:r>
          </w:p>
        </w:tc>
        <w:tc>
          <w:tcPr>
            <w:tcW w:w="30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500"/>
        </w:trPr>
        <w:tc>
          <w:tcPr>
            <w:tcW w:w="1360" w:type="dxa"/>
            <w:vAlign w:val="bottom"/>
          </w:tcPr>
          <w:p>
            <w:pPr>
              <w:spacing w:after="0"/>
              <w:rPr>
                <w:sz w:val="20"/>
                <w:szCs w:val="20"/>
                <w:color w:val="auto"/>
              </w:rPr>
            </w:pPr>
            <w:r>
              <w:rPr>
                <w:rFonts w:ascii="Arial" w:cs="Arial" w:eastAsia="Arial" w:hAnsi="Arial"/>
                <w:sz w:val="18"/>
                <w:szCs w:val="18"/>
                <w:color w:val="auto"/>
              </w:rPr>
              <w:t>SECTION 606.</w:t>
            </w:r>
          </w:p>
        </w:tc>
        <w:tc>
          <w:tcPr>
            <w:tcW w:w="6940" w:type="dxa"/>
            <w:vAlign w:val="bottom"/>
          </w:tcPr>
          <w:p>
            <w:pPr>
              <w:ind w:left="240"/>
              <w:spacing w:after="0"/>
              <w:rPr>
                <w:sz w:val="20"/>
                <w:szCs w:val="20"/>
                <w:color w:val="auto"/>
              </w:rPr>
            </w:pPr>
            <w:r>
              <w:rPr>
                <w:rFonts w:ascii="Arial" w:cs="Arial" w:eastAsia="Arial" w:hAnsi="Arial"/>
                <w:sz w:val="18"/>
                <w:szCs w:val="18"/>
                <w:i w:val="1"/>
                <w:iCs w:val="1"/>
                <w:color w:val="auto"/>
              </w:rPr>
              <w:t>Money Held in Trust</w:t>
            </w:r>
          </w:p>
        </w:tc>
        <w:tc>
          <w:tcPr>
            <w:tcW w:w="30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500"/>
        </w:trPr>
        <w:tc>
          <w:tcPr>
            <w:tcW w:w="1360" w:type="dxa"/>
            <w:vAlign w:val="bottom"/>
          </w:tcPr>
          <w:p>
            <w:pPr>
              <w:spacing w:after="0"/>
              <w:rPr>
                <w:sz w:val="20"/>
                <w:szCs w:val="20"/>
                <w:color w:val="auto"/>
              </w:rPr>
            </w:pPr>
            <w:r>
              <w:rPr>
                <w:rFonts w:ascii="Arial" w:cs="Arial" w:eastAsia="Arial" w:hAnsi="Arial"/>
                <w:sz w:val="18"/>
                <w:szCs w:val="18"/>
                <w:color w:val="auto"/>
              </w:rPr>
              <w:t>SECTION 607.</w:t>
            </w:r>
          </w:p>
        </w:tc>
        <w:tc>
          <w:tcPr>
            <w:tcW w:w="6940" w:type="dxa"/>
            <w:vAlign w:val="bottom"/>
          </w:tcPr>
          <w:p>
            <w:pPr>
              <w:ind w:left="240"/>
              <w:spacing w:after="0"/>
              <w:rPr>
                <w:sz w:val="20"/>
                <w:szCs w:val="20"/>
                <w:color w:val="auto"/>
              </w:rPr>
            </w:pPr>
            <w:r>
              <w:rPr>
                <w:rFonts w:ascii="Arial" w:cs="Arial" w:eastAsia="Arial" w:hAnsi="Arial"/>
                <w:sz w:val="18"/>
                <w:szCs w:val="18"/>
                <w:i w:val="1"/>
                <w:iCs w:val="1"/>
                <w:color w:val="auto"/>
              </w:rPr>
              <w:t>Compensation and Reimbursement</w:t>
            </w:r>
          </w:p>
        </w:tc>
        <w:tc>
          <w:tcPr>
            <w:tcW w:w="30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500"/>
        </w:trPr>
        <w:tc>
          <w:tcPr>
            <w:tcW w:w="1360" w:type="dxa"/>
            <w:vAlign w:val="bottom"/>
          </w:tcPr>
          <w:p>
            <w:pPr>
              <w:spacing w:after="0"/>
              <w:rPr>
                <w:sz w:val="20"/>
                <w:szCs w:val="20"/>
                <w:color w:val="auto"/>
              </w:rPr>
            </w:pPr>
            <w:r>
              <w:rPr>
                <w:rFonts w:ascii="Arial" w:cs="Arial" w:eastAsia="Arial" w:hAnsi="Arial"/>
                <w:sz w:val="18"/>
                <w:szCs w:val="18"/>
                <w:color w:val="auto"/>
              </w:rPr>
              <w:t>SECTION 608.</w:t>
            </w:r>
          </w:p>
        </w:tc>
        <w:tc>
          <w:tcPr>
            <w:tcW w:w="6940" w:type="dxa"/>
            <w:vAlign w:val="bottom"/>
          </w:tcPr>
          <w:p>
            <w:pPr>
              <w:ind w:left="240"/>
              <w:spacing w:after="0"/>
              <w:rPr>
                <w:sz w:val="20"/>
                <w:szCs w:val="20"/>
                <w:color w:val="auto"/>
              </w:rPr>
            </w:pPr>
            <w:r>
              <w:rPr>
                <w:rFonts w:ascii="Arial" w:cs="Arial" w:eastAsia="Arial" w:hAnsi="Arial"/>
                <w:sz w:val="18"/>
                <w:szCs w:val="18"/>
                <w:i w:val="1"/>
                <w:iCs w:val="1"/>
                <w:color w:val="auto"/>
              </w:rPr>
              <w:t>Disqualification; Conflicting Interests</w:t>
            </w:r>
          </w:p>
        </w:tc>
        <w:tc>
          <w:tcPr>
            <w:tcW w:w="30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500"/>
        </w:trPr>
        <w:tc>
          <w:tcPr>
            <w:tcW w:w="1360" w:type="dxa"/>
            <w:vAlign w:val="bottom"/>
          </w:tcPr>
          <w:p>
            <w:pPr>
              <w:spacing w:after="0"/>
              <w:rPr>
                <w:sz w:val="20"/>
                <w:szCs w:val="20"/>
                <w:color w:val="auto"/>
              </w:rPr>
            </w:pPr>
            <w:r>
              <w:rPr>
                <w:rFonts w:ascii="Arial" w:cs="Arial" w:eastAsia="Arial" w:hAnsi="Arial"/>
                <w:sz w:val="18"/>
                <w:szCs w:val="18"/>
                <w:color w:val="auto"/>
              </w:rPr>
              <w:t>SECTION 609.</w:t>
            </w:r>
          </w:p>
        </w:tc>
        <w:tc>
          <w:tcPr>
            <w:tcW w:w="6940" w:type="dxa"/>
            <w:vAlign w:val="bottom"/>
          </w:tcPr>
          <w:p>
            <w:pPr>
              <w:ind w:left="240"/>
              <w:spacing w:after="0"/>
              <w:rPr>
                <w:sz w:val="20"/>
                <w:szCs w:val="20"/>
                <w:color w:val="auto"/>
              </w:rPr>
            </w:pPr>
            <w:r>
              <w:rPr>
                <w:rFonts w:ascii="Arial" w:cs="Arial" w:eastAsia="Arial" w:hAnsi="Arial"/>
                <w:sz w:val="18"/>
                <w:szCs w:val="18"/>
                <w:i w:val="1"/>
                <w:iCs w:val="1"/>
                <w:color w:val="auto"/>
              </w:rPr>
              <w:t>Corporate Trustee Required; Eligibility</w:t>
            </w:r>
          </w:p>
        </w:tc>
        <w:tc>
          <w:tcPr>
            <w:tcW w:w="3020" w:type="dxa"/>
            <w:vAlign w:val="bottom"/>
          </w:tcPr>
          <w:p>
            <w:pPr>
              <w:jc w:val="right"/>
              <w:spacing w:after="0"/>
              <w:rPr>
                <w:sz w:val="20"/>
                <w:szCs w:val="20"/>
                <w:color w:val="auto"/>
              </w:rPr>
            </w:pPr>
            <w:r>
              <w:rPr>
                <w:rFonts w:ascii="Arial" w:cs="Arial" w:eastAsia="Arial" w:hAnsi="Arial"/>
                <w:sz w:val="18"/>
                <w:szCs w:val="18"/>
                <w:color w:val="auto"/>
              </w:rPr>
              <w:t>29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216535</wp:posOffset>
            </wp:positionV>
            <wp:extent cx="72720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20"/>
          </w:cols>
          <w:pgMar w:left="320" w:top="530" w:right="25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30"/>
        </w:trPr>
        <w:tc>
          <w:tcPr>
            <w:tcW w:w="1360" w:type="dxa"/>
            <w:vAlign w:val="bottom"/>
          </w:tcPr>
          <w:p>
            <w:pPr>
              <w:spacing w:after="0"/>
              <w:rPr>
                <w:sz w:val="20"/>
                <w:szCs w:val="20"/>
                <w:color w:val="auto"/>
              </w:rPr>
            </w:pPr>
            <w:r>
              <w:rPr>
                <w:rFonts w:ascii="Arial" w:cs="Arial" w:eastAsia="Arial" w:hAnsi="Arial"/>
                <w:sz w:val="18"/>
                <w:szCs w:val="18"/>
                <w:color w:val="auto"/>
              </w:rPr>
              <w:t>SECTION 610.</w:t>
            </w:r>
          </w:p>
        </w:tc>
        <w:tc>
          <w:tcPr>
            <w:tcW w:w="7220" w:type="dxa"/>
            <w:vAlign w:val="bottom"/>
          </w:tcPr>
          <w:p>
            <w:pPr>
              <w:ind w:left="240"/>
              <w:spacing w:after="0"/>
              <w:rPr>
                <w:sz w:val="20"/>
                <w:szCs w:val="20"/>
                <w:color w:val="auto"/>
              </w:rPr>
            </w:pPr>
            <w:r>
              <w:rPr>
                <w:rFonts w:ascii="Arial" w:cs="Arial" w:eastAsia="Arial" w:hAnsi="Arial"/>
                <w:sz w:val="18"/>
                <w:szCs w:val="18"/>
                <w:i w:val="1"/>
                <w:iCs w:val="1"/>
                <w:color w:val="auto"/>
              </w:rPr>
              <w:t>Resignation and Removal; Appointment of Successor</w:t>
            </w:r>
          </w:p>
        </w:tc>
        <w:tc>
          <w:tcPr>
            <w:tcW w:w="27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500"/>
        </w:trPr>
        <w:tc>
          <w:tcPr>
            <w:tcW w:w="1360" w:type="dxa"/>
            <w:vAlign w:val="bottom"/>
          </w:tcPr>
          <w:p>
            <w:pPr>
              <w:spacing w:after="0"/>
              <w:rPr>
                <w:sz w:val="20"/>
                <w:szCs w:val="20"/>
                <w:color w:val="auto"/>
              </w:rPr>
            </w:pPr>
            <w:r>
              <w:rPr>
                <w:rFonts w:ascii="Arial" w:cs="Arial" w:eastAsia="Arial" w:hAnsi="Arial"/>
                <w:sz w:val="18"/>
                <w:szCs w:val="18"/>
                <w:color w:val="auto"/>
              </w:rPr>
              <w:t>SECTION 611.</w:t>
            </w:r>
          </w:p>
        </w:tc>
        <w:tc>
          <w:tcPr>
            <w:tcW w:w="7220" w:type="dxa"/>
            <w:vAlign w:val="bottom"/>
          </w:tcPr>
          <w:p>
            <w:pPr>
              <w:ind w:left="240"/>
              <w:spacing w:after="0"/>
              <w:rPr>
                <w:sz w:val="20"/>
                <w:szCs w:val="20"/>
                <w:color w:val="auto"/>
              </w:rPr>
            </w:pPr>
            <w:r>
              <w:rPr>
                <w:rFonts w:ascii="Arial" w:cs="Arial" w:eastAsia="Arial" w:hAnsi="Arial"/>
                <w:sz w:val="18"/>
                <w:szCs w:val="18"/>
                <w:i w:val="1"/>
                <w:iCs w:val="1"/>
                <w:color w:val="auto"/>
              </w:rPr>
              <w:t>Acceptance of Appointment by Successor</w:t>
            </w:r>
          </w:p>
        </w:tc>
        <w:tc>
          <w:tcPr>
            <w:tcW w:w="27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500"/>
        </w:trPr>
        <w:tc>
          <w:tcPr>
            <w:tcW w:w="1360" w:type="dxa"/>
            <w:vAlign w:val="bottom"/>
          </w:tcPr>
          <w:p>
            <w:pPr>
              <w:spacing w:after="0"/>
              <w:rPr>
                <w:sz w:val="20"/>
                <w:szCs w:val="20"/>
                <w:color w:val="auto"/>
              </w:rPr>
            </w:pPr>
            <w:r>
              <w:rPr>
                <w:rFonts w:ascii="Arial" w:cs="Arial" w:eastAsia="Arial" w:hAnsi="Arial"/>
                <w:sz w:val="18"/>
                <w:szCs w:val="18"/>
                <w:color w:val="auto"/>
              </w:rPr>
              <w:t>SECTION 612.</w:t>
            </w:r>
          </w:p>
        </w:tc>
        <w:tc>
          <w:tcPr>
            <w:tcW w:w="7220" w:type="dxa"/>
            <w:vAlign w:val="bottom"/>
          </w:tcPr>
          <w:p>
            <w:pPr>
              <w:ind w:left="240"/>
              <w:spacing w:after="0"/>
              <w:rPr>
                <w:sz w:val="20"/>
                <w:szCs w:val="20"/>
                <w:color w:val="auto"/>
              </w:rPr>
            </w:pPr>
            <w:r>
              <w:rPr>
                <w:rFonts w:ascii="Arial" w:cs="Arial" w:eastAsia="Arial" w:hAnsi="Arial"/>
                <w:sz w:val="18"/>
                <w:szCs w:val="18"/>
                <w:i w:val="1"/>
                <w:iCs w:val="1"/>
                <w:color w:val="auto"/>
              </w:rPr>
              <w:t>Merger, Conversion, Consolidation or Succession to Business</w:t>
            </w:r>
          </w:p>
        </w:tc>
        <w:tc>
          <w:tcPr>
            <w:tcW w:w="27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500"/>
        </w:trPr>
        <w:tc>
          <w:tcPr>
            <w:tcW w:w="1360" w:type="dxa"/>
            <w:vAlign w:val="bottom"/>
          </w:tcPr>
          <w:p>
            <w:pPr>
              <w:spacing w:after="0"/>
              <w:rPr>
                <w:sz w:val="20"/>
                <w:szCs w:val="20"/>
                <w:color w:val="auto"/>
              </w:rPr>
            </w:pPr>
            <w:r>
              <w:rPr>
                <w:rFonts w:ascii="Arial" w:cs="Arial" w:eastAsia="Arial" w:hAnsi="Arial"/>
                <w:sz w:val="18"/>
                <w:szCs w:val="18"/>
                <w:color w:val="auto"/>
              </w:rPr>
              <w:t>SECTION 613.</w:t>
            </w:r>
          </w:p>
        </w:tc>
        <w:tc>
          <w:tcPr>
            <w:tcW w:w="7220" w:type="dxa"/>
            <w:vAlign w:val="bottom"/>
          </w:tcPr>
          <w:p>
            <w:pPr>
              <w:ind w:left="240"/>
              <w:spacing w:after="0"/>
              <w:rPr>
                <w:sz w:val="20"/>
                <w:szCs w:val="20"/>
                <w:color w:val="auto"/>
              </w:rPr>
            </w:pPr>
            <w:r>
              <w:rPr>
                <w:rFonts w:ascii="Arial" w:cs="Arial" w:eastAsia="Arial" w:hAnsi="Arial"/>
                <w:sz w:val="18"/>
                <w:szCs w:val="18"/>
                <w:i w:val="1"/>
                <w:iCs w:val="1"/>
                <w:color w:val="auto"/>
              </w:rPr>
              <w:t>Preferential Collection of Claims Against Company</w:t>
            </w:r>
          </w:p>
        </w:tc>
        <w:tc>
          <w:tcPr>
            <w:tcW w:w="27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500"/>
        </w:trPr>
        <w:tc>
          <w:tcPr>
            <w:tcW w:w="1360" w:type="dxa"/>
            <w:vAlign w:val="bottom"/>
          </w:tcPr>
          <w:p>
            <w:pPr>
              <w:spacing w:after="0"/>
              <w:rPr>
                <w:sz w:val="20"/>
                <w:szCs w:val="20"/>
                <w:color w:val="auto"/>
              </w:rPr>
            </w:pPr>
            <w:r>
              <w:rPr>
                <w:rFonts w:ascii="Arial" w:cs="Arial" w:eastAsia="Arial" w:hAnsi="Arial"/>
                <w:sz w:val="18"/>
                <w:szCs w:val="18"/>
                <w:color w:val="auto"/>
              </w:rPr>
              <w:t>SECTION 614.</w:t>
            </w:r>
          </w:p>
        </w:tc>
        <w:tc>
          <w:tcPr>
            <w:tcW w:w="7220" w:type="dxa"/>
            <w:vAlign w:val="bottom"/>
          </w:tcPr>
          <w:p>
            <w:pPr>
              <w:ind w:left="240"/>
              <w:spacing w:after="0"/>
              <w:rPr>
                <w:sz w:val="20"/>
                <w:szCs w:val="20"/>
                <w:color w:val="auto"/>
              </w:rPr>
            </w:pPr>
            <w:r>
              <w:rPr>
                <w:rFonts w:ascii="Arial" w:cs="Arial" w:eastAsia="Arial" w:hAnsi="Arial"/>
                <w:sz w:val="18"/>
                <w:szCs w:val="18"/>
                <w:i w:val="1"/>
                <w:iCs w:val="1"/>
                <w:color w:val="auto"/>
              </w:rPr>
              <w:t>Appointment of Authenticating Agent</w:t>
            </w:r>
          </w:p>
        </w:tc>
        <w:tc>
          <w:tcPr>
            <w:tcW w:w="2740" w:type="dxa"/>
            <w:vAlign w:val="bottom"/>
          </w:tcPr>
          <w:p>
            <w:pPr>
              <w:jc w:val="right"/>
              <w:spacing w:after="0"/>
              <w:rPr>
                <w:sz w:val="20"/>
                <w:szCs w:val="20"/>
                <w:color w:val="auto"/>
              </w:rPr>
            </w:pPr>
            <w:r>
              <w:rPr>
                <w:rFonts w:ascii="Arial" w:cs="Arial" w:eastAsia="Arial" w:hAnsi="Arial"/>
                <w:sz w:val="18"/>
                <w:szCs w:val="18"/>
                <w:color w:val="auto"/>
              </w:rPr>
              <w:t>31</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SEVEN</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HOLDERS’ LISTS AND REPORTS BY TRUSTEE AND COMPANY</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60" w:type="dxa"/>
            <w:vAlign w:val="bottom"/>
          </w:tcPr>
          <w:p>
            <w:pPr>
              <w:spacing w:after="0"/>
              <w:rPr>
                <w:sz w:val="20"/>
                <w:szCs w:val="20"/>
                <w:color w:val="auto"/>
              </w:rPr>
            </w:pPr>
            <w:r>
              <w:rPr>
                <w:rFonts w:ascii="Arial" w:cs="Arial" w:eastAsia="Arial" w:hAnsi="Arial"/>
                <w:sz w:val="18"/>
                <w:szCs w:val="18"/>
                <w:color w:val="auto"/>
              </w:rPr>
              <w:t>SECTION 701.</w:t>
            </w:r>
          </w:p>
        </w:tc>
        <w:tc>
          <w:tcPr>
            <w:tcW w:w="7260" w:type="dxa"/>
            <w:vAlign w:val="bottom"/>
          </w:tcPr>
          <w:p>
            <w:pPr>
              <w:ind w:left="240"/>
              <w:spacing w:after="0"/>
              <w:rPr>
                <w:sz w:val="20"/>
                <w:szCs w:val="20"/>
                <w:color w:val="auto"/>
              </w:rPr>
            </w:pPr>
            <w:r>
              <w:rPr>
                <w:rFonts w:ascii="Arial" w:cs="Arial" w:eastAsia="Arial" w:hAnsi="Arial"/>
                <w:sz w:val="18"/>
                <w:szCs w:val="18"/>
                <w:i w:val="1"/>
                <w:iCs w:val="1"/>
                <w:color w:val="auto"/>
              </w:rPr>
              <w:t>Company to Furnish Trustee Names and Addresses of Holders</w:t>
            </w:r>
          </w:p>
        </w:tc>
        <w:tc>
          <w:tcPr>
            <w:tcW w:w="27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500"/>
        </w:trPr>
        <w:tc>
          <w:tcPr>
            <w:tcW w:w="1360" w:type="dxa"/>
            <w:vAlign w:val="bottom"/>
          </w:tcPr>
          <w:p>
            <w:pPr>
              <w:spacing w:after="0"/>
              <w:rPr>
                <w:sz w:val="20"/>
                <w:szCs w:val="20"/>
                <w:color w:val="auto"/>
              </w:rPr>
            </w:pPr>
            <w:r>
              <w:rPr>
                <w:rFonts w:ascii="Arial" w:cs="Arial" w:eastAsia="Arial" w:hAnsi="Arial"/>
                <w:sz w:val="18"/>
                <w:szCs w:val="18"/>
                <w:color w:val="auto"/>
              </w:rPr>
              <w:t>SECTION 702.</w:t>
            </w:r>
          </w:p>
        </w:tc>
        <w:tc>
          <w:tcPr>
            <w:tcW w:w="7260" w:type="dxa"/>
            <w:vAlign w:val="bottom"/>
          </w:tcPr>
          <w:p>
            <w:pPr>
              <w:ind w:left="240"/>
              <w:spacing w:after="0"/>
              <w:rPr>
                <w:sz w:val="20"/>
                <w:szCs w:val="20"/>
                <w:color w:val="auto"/>
              </w:rPr>
            </w:pPr>
            <w:r>
              <w:rPr>
                <w:rFonts w:ascii="Arial" w:cs="Arial" w:eastAsia="Arial" w:hAnsi="Arial"/>
                <w:sz w:val="18"/>
                <w:szCs w:val="18"/>
                <w:i w:val="1"/>
                <w:iCs w:val="1"/>
                <w:color w:val="auto"/>
              </w:rPr>
              <w:t>Preservation of Information; Communications to Holders</w:t>
            </w:r>
          </w:p>
        </w:tc>
        <w:tc>
          <w:tcPr>
            <w:tcW w:w="27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500"/>
        </w:trPr>
        <w:tc>
          <w:tcPr>
            <w:tcW w:w="1360" w:type="dxa"/>
            <w:vAlign w:val="bottom"/>
          </w:tcPr>
          <w:p>
            <w:pPr>
              <w:spacing w:after="0"/>
              <w:rPr>
                <w:sz w:val="20"/>
                <w:szCs w:val="20"/>
                <w:color w:val="auto"/>
              </w:rPr>
            </w:pPr>
            <w:r>
              <w:rPr>
                <w:rFonts w:ascii="Arial" w:cs="Arial" w:eastAsia="Arial" w:hAnsi="Arial"/>
                <w:sz w:val="18"/>
                <w:szCs w:val="18"/>
                <w:color w:val="auto"/>
              </w:rPr>
              <w:t>SECTION 703.</w:t>
            </w:r>
          </w:p>
        </w:tc>
        <w:tc>
          <w:tcPr>
            <w:tcW w:w="7260" w:type="dxa"/>
            <w:vAlign w:val="bottom"/>
          </w:tcPr>
          <w:p>
            <w:pPr>
              <w:ind w:left="240"/>
              <w:spacing w:after="0"/>
              <w:rPr>
                <w:sz w:val="20"/>
                <w:szCs w:val="20"/>
                <w:color w:val="auto"/>
              </w:rPr>
            </w:pPr>
            <w:r>
              <w:rPr>
                <w:rFonts w:ascii="Arial" w:cs="Arial" w:eastAsia="Arial" w:hAnsi="Arial"/>
                <w:sz w:val="18"/>
                <w:szCs w:val="18"/>
                <w:i w:val="1"/>
                <w:iCs w:val="1"/>
                <w:color w:val="auto"/>
              </w:rPr>
              <w:t>Reports by Trustee</w:t>
            </w:r>
          </w:p>
        </w:tc>
        <w:tc>
          <w:tcPr>
            <w:tcW w:w="27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500"/>
        </w:trPr>
        <w:tc>
          <w:tcPr>
            <w:tcW w:w="1360" w:type="dxa"/>
            <w:vAlign w:val="bottom"/>
          </w:tcPr>
          <w:p>
            <w:pPr>
              <w:spacing w:after="0"/>
              <w:rPr>
                <w:sz w:val="20"/>
                <w:szCs w:val="20"/>
                <w:color w:val="auto"/>
              </w:rPr>
            </w:pPr>
            <w:r>
              <w:rPr>
                <w:rFonts w:ascii="Arial" w:cs="Arial" w:eastAsia="Arial" w:hAnsi="Arial"/>
                <w:sz w:val="18"/>
                <w:szCs w:val="18"/>
                <w:color w:val="auto"/>
              </w:rPr>
              <w:t>SECTION 704.</w:t>
            </w:r>
          </w:p>
        </w:tc>
        <w:tc>
          <w:tcPr>
            <w:tcW w:w="7260" w:type="dxa"/>
            <w:vAlign w:val="bottom"/>
          </w:tcPr>
          <w:p>
            <w:pPr>
              <w:ind w:left="240"/>
              <w:spacing w:after="0"/>
              <w:rPr>
                <w:sz w:val="20"/>
                <w:szCs w:val="20"/>
                <w:color w:val="auto"/>
              </w:rPr>
            </w:pPr>
            <w:r>
              <w:rPr>
                <w:rFonts w:ascii="Arial" w:cs="Arial" w:eastAsia="Arial" w:hAnsi="Arial"/>
                <w:sz w:val="18"/>
                <w:szCs w:val="18"/>
                <w:i w:val="1"/>
                <w:iCs w:val="1"/>
                <w:color w:val="auto"/>
              </w:rPr>
              <w:t>Reports by Company</w:t>
            </w:r>
          </w:p>
        </w:tc>
        <w:tc>
          <w:tcPr>
            <w:tcW w:w="2700" w:type="dxa"/>
            <w:vAlign w:val="bottom"/>
          </w:tcPr>
          <w:p>
            <w:pPr>
              <w:jc w:val="right"/>
              <w:spacing w:after="0"/>
              <w:rPr>
                <w:sz w:val="20"/>
                <w:szCs w:val="20"/>
                <w:color w:val="auto"/>
              </w:rPr>
            </w:pPr>
            <w:r>
              <w:rPr>
                <w:rFonts w:ascii="Arial" w:cs="Arial" w:eastAsia="Arial" w:hAnsi="Arial"/>
                <w:sz w:val="18"/>
                <w:szCs w:val="18"/>
                <w:color w:val="auto"/>
              </w:rPr>
              <w:t>34</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EIGHT</w:t>
      </w:r>
    </w:p>
    <w:p>
      <w:pPr>
        <w:sectPr>
          <w:pgSz w:w="11900" w:h="16838" w:orient="portrait"/>
          <w:cols w:equalWidth="0" w:num="1">
            <w:col w:w="11320"/>
          </w:cols>
          <w:pgMar w:left="320" w:top="746" w:right="25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color w:val="auto"/>
        </w:rPr>
        <w:t>CONSOLIDATION, MERGER, CONVEYANCE OR TRANSFER</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60" w:type="dxa"/>
            <w:vAlign w:val="bottom"/>
          </w:tcPr>
          <w:p>
            <w:pPr>
              <w:spacing w:after="0"/>
              <w:rPr>
                <w:sz w:val="20"/>
                <w:szCs w:val="20"/>
                <w:color w:val="auto"/>
              </w:rPr>
            </w:pPr>
            <w:r>
              <w:rPr>
                <w:rFonts w:ascii="Arial" w:cs="Arial" w:eastAsia="Arial" w:hAnsi="Arial"/>
                <w:sz w:val="18"/>
                <w:szCs w:val="18"/>
                <w:color w:val="auto"/>
              </w:rPr>
              <w:t>SECTION 801.</w:t>
            </w:r>
          </w:p>
        </w:tc>
        <w:tc>
          <w:tcPr>
            <w:tcW w:w="7020" w:type="dxa"/>
            <w:vAlign w:val="bottom"/>
          </w:tcPr>
          <w:p>
            <w:pPr>
              <w:ind w:left="240"/>
              <w:spacing w:after="0"/>
              <w:rPr>
                <w:sz w:val="20"/>
                <w:szCs w:val="20"/>
                <w:color w:val="auto"/>
              </w:rPr>
            </w:pPr>
            <w:r>
              <w:rPr>
                <w:rFonts w:ascii="Arial" w:cs="Arial" w:eastAsia="Arial" w:hAnsi="Arial"/>
                <w:sz w:val="18"/>
                <w:szCs w:val="18"/>
                <w:i w:val="1"/>
                <w:iCs w:val="1"/>
                <w:color w:val="auto"/>
              </w:rPr>
              <w:t>Company May Consolidate, Etc. Only on Certain Terms</w:t>
            </w:r>
          </w:p>
        </w:tc>
        <w:tc>
          <w:tcPr>
            <w:tcW w:w="29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500"/>
        </w:trPr>
        <w:tc>
          <w:tcPr>
            <w:tcW w:w="1360" w:type="dxa"/>
            <w:vAlign w:val="bottom"/>
          </w:tcPr>
          <w:p>
            <w:pPr>
              <w:spacing w:after="0"/>
              <w:rPr>
                <w:sz w:val="20"/>
                <w:szCs w:val="20"/>
                <w:color w:val="auto"/>
              </w:rPr>
            </w:pPr>
            <w:r>
              <w:rPr>
                <w:rFonts w:ascii="Arial" w:cs="Arial" w:eastAsia="Arial" w:hAnsi="Arial"/>
                <w:sz w:val="18"/>
                <w:szCs w:val="18"/>
                <w:color w:val="auto"/>
              </w:rPr>
              <w:t>SECTION 802.</w:t>
            </w:r>
          </w:p>
        </w:tc>
        <w:tc>
          <w:tcPr>
            <w:tcW w:w="7020" w:type="dxa"/>
            <w:vAlign w:val="bottom"/>
          </w:tcPr>
          <w:p>
            <w:pPr>
              <w:ind w:left="240"/>
              <w:spacing w:after="0"/>
              <w:rPr>
                <w:sz w:val="20"/>
                <w:szCs w:val="20"/>
                <w:color w:val="auto"/>
              </w:rPr>
            </w:pPr>
            <w:r>
              <w:rPr>
                <w:rFonts w:ascii="Arial" w:cs="Arial" w:eastAsia="Arial" w:hAnsi="Arial"/>
                <w:sz w:val="18"/>
                <w:szCs w:val="18"/>
                <w:i w:val="1"/>
                <w:iCs w:val="1"/>
                <w:color w:val="auto"/>
              </w:rPr>
              <w:t>Successor Substituted for the Company</w:t>
            </w:r>
          </w:p>
        </w:tc>
        <w:tc>
          <w:tcPr>
            <w:tcW w:w="2940" w:type="dxa"/>
            <w:vAlign w:val="bottom"/>
          </w:tcPr>
          <w:p>
            <w:pPr>
              <w:jc w:val="right"/>
              <w:spacing w:after="0"/>
              <w:rPr>
                <w:sz w:val="20"/>
                <w:szCs w:val="20"/>
                <w:color w:val="auto"/>
              </w:rPr>
            </w:pPr>
            <w:r>
              <w:rPr>
                <w:rFonts w:ascii="Arial" w:cs="Arial" w:eastAsia="Arial" w:hAnsi="Arial"/>
                <w:sz w:val="18"/>
                <w:szCs w:val="18"/>
                <w:color w:val="auto"/>
              </w:rPr>
              <w:t>35</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NINE</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SUPPLEMENTAL INDENTURES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60" w:type="dxa"/>
            <w:vAlign w:val="bottom"/>
          </w:tcPr>
          <w:p>
            <w:pPr>
              <w:spacing w:after="0"/>
              <w:rPr>
                <w:sz w:val="20"/>
                <w:szCs w:val="20"/>
                <w:color w:val="auto"/>
              </w:rPr>
            </w:pPr>
            <w:r>
              <w:rPr>
                <w:rFonts w:ascii="Arial" w:cs="Arial" w:eastAsia="Arial" w:hAnsi="Arial"/>
                <w:sz w:val="18"/>
                <w:szCs w:val="18"/>
                <w:color w:val="auto"/>
              </w:rPr>
              <w:t>SECTION 901.</w:t>
            </w:r>
          </w:p>
        </w:tc>
        <w:tc>
          <w:tcPr>
            <w:tcW w:w="6920" w:type="dxa"/>
            <w:vAlign w:val="bottom"/>
          </w:tcPr>
          <w:p>
            <w:pPr>
              <w:ind w:left="240"/>
              <w:spacing w:after="0"/>
              <w:rPr>
                <w:sz w:val="20"/>
                <w:szCs w:val="20"/>
                <w:color w:val="auto"/>
              </w:rPr>
            </w:pPr>
            <w:r>
              <w:rPr>
                <w:rFonts w:ascii="Arial" w:cs="Arial" w:eastAsia="Arial" w:hAnsi="Arial"/>
                <w:sz w:val="18"/>
                <w:szCs w:val="18"/>
                <w:i w:val="1"/>
                <w:iCs w:val="1"/>
                <w:color w:val="auto"/>
              </w:rPr>
              <w:t>Supplemental Indentures Without Consent of Holders</w:t>
            </w:r>
          </w:p>
        </w:tc>
        <w:tc>
          <w:tcPr>
            <w:tcW w:w="30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500"/>
        </w:trPr>
        <w:tc>
          <w:tcPr>
            <w:tcW w:w="1360" w:type="dxa"/>
            <w:vAlign w:val="bottom"/>
          </w:tcPr>
          <w:p>
            <w:pPr>
              <w:spacing w:after="0"/>
              <w:rPr>
                <w:sz w:val="20"/>
                <w:szCs w:val="20"/>
                <w:color w:val="auto"/>
              </w:rPr>
            </w:pPr>
            <w:r>
              <w:rPr>
                <w:rFonts w:ascii="Arial" w:cs="Arial" w:eastAsia="Arial" w:hAnsi="Arial"/>
                <w:sz w:val="18"/>
                <w:szCs w:val="18"/>
                <w:color w:val="auto"/>
              </w:rPr>
              <w:t>SECTION 902.</w:t>
            </w:r>
          </w:p>
        </w:tc>
        <w:tc>
          <w:tcPr>
            <w:tcW w:w="6920" w:type="dxa"/>
            <w:vAlign w:val="bottom"/>
          </w:tcPr>
          <w:p>
            <w:pPr>
              <w:ind w:left="240"/>
              <w:spacing w:after="0"/>
              <w:rPr>
                <w:sz w:val="20"/>
                <w:szCs w:val="20"/>
                <w:color w:val="auto"/>
              </w:rPr>
            </w:pPr>
            <w:r>
              <w:rPr>
                <w:rFonts w:ascii="Arial" w:cs="Arial" w:eastAsia="Arial" w:hAnsi="Arial"/>
                <w:sz w:val="18"/>
                <w:szCs w:val="18"/>
                <w:i w:val="1"/>
                <w:iCs w:val="1"/>
                <w:color w:val="auto"/>
              </w:rPr>
              <w:t>Supplemental Indentures With Consent of Holders</w:t>
            </w:r>
          </w:p>
        </w:tc>
        <w:tc>
          <w:tcPr>
            <w:tcW w:w="30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500"/>
        </w:trPr>
        <w:tc>
          <w:tcPr>
            <w:tcW w:w="1360" w:type="dxa"/>
            <w:vAlign w:val="bottom"/>
          </w:tcPr>
          <w:p>
            <w:pPr>
              <w:spacing w:after="0"/>
              <w:rPr>
                <w:sz w:val="20"/>
                <w:szCs w:val="20"/>
                <w:color w:val="auto"/>
              </w:rPr>
            </w:pPr>
            <w:r>
              <w:rPr>
                <w:rFonts w:ascii="Arial" w:cs="Arial" w:eastAsia="Arial" w:hAnsi="Arial"/>
                <w:sz w:val="18"/>
                <w:szCs w:val="18"/>
                <w:color w:val="auto"/>
              </w:rPr>
              <w:t>SECTION 903.</w:t>
            </w:r>
          </w:p>
        </w:tc>
        <w:tc>
          <w:tcPr>
            <w:tcW w:w="6920" w:type="dxa"/>
            <w:vAlign w:val="bottom"/>
          </w:tcPr>
          <w:p>
            <w:pPr>
              <w:ind w:left="240"/>
              <w:spacing w:after="0"/>
              <w:rPr>
                <w:sz w:val="20"/>
                <w:szCs w:val="20"/>
                <w:color w:val="auto"/>
              </w:rPr>
            </w:pPr>
            <w:r>
              <w:rPr>
                <w:rFonts w:ascii="Arial" w:cs="Arial" w:eastAsia="Arial" w:hAnsi="Arial"/>
                <w:sz w:val="18"/>
                <w:szCs w:val="18"/>
                <w:i w:val="1"/>
                <w:iCs w:val="1"/>
                <w:color w:val="auto"/>
              </w:rPr>
              <w:t>Execution of Supplemental Indentures</w:t>
            </w:r>
          </w:p>
        </w:tc>
        <w:tc>
          <w:tcPr>
            <w:tcW w:w="30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500"/>
        </w:trPr>
        <w:tc>
          <w:tcPr>
            <w:tcW w:w="1360" w:type="dxa"/>
            <w:vAlign w:val="bottom"/>
          </w:tcPr>
          <w:p>
            <w:pPr>
              <w:spacing w:after="0"/>
              <w:rPr>
                <w:sz w:val="20"/>
                <w:szCs w:val="20"/>
                <w:color w:val="auto"/>
              </w:rPr>
            </w:pPr>
            <w:r>
              <w:rPr>
                <w:rFonts w:ascii="Arial" w:cs="Arial" w:eastAsia="Arial" w:hAnsi="Arial"/>
                <w:sz w:val="18"/>
                <w:szCs w:val="18"/>
                <w:color w:val="auto"/>
              </w:rPr>
              <w:t>SECTION 904.</w:t>
            </w:r>
          </w:p>
        </w:tc>
        <w:tc>
          <w:tcPr>
            <w:tcW w:w="6920" w:type="dxa"/>
            <w:vAlign w:val="bottom"/>
          </w:tcPr>
          <w:p>
            <w:pPr>
              <w:ind w:left="240"/>
              <w:spacing w:after="0"/>
              <w:rPr>
                <w:sz w:val="20"/>
                <w:szCs w:val="20"/>
                <w:color w:val="auto"/>
              </w:rPr>
            </w:pPr>
            <w:r>
              <w:rPr>
                <w:rFonts w:ascii="Arial" w:cs="Arial" w:eastAsia="Arial" w:hAnsi="Arial"/>
                <w:sz w:val="18"/>
                <w:szCs w:val="18"/>
                <w:i w:val="1"/>
                <w:iCs w:val="1"/>
                <w:color w:val="auto"/>
              </w:rPr>
              <w:t>Effect of Supplemental Indentures</w:t>
            </w:r>
          </w:p>
        </w:tc>
        <w:tc>
          <w:tcPr>
            <w:tcW w:w="30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500"/>
        </w:trPr>
        <w:tc>
          <w:tcPr>
            <w:tcW w:w="1360" w:type="dxa"/>
            <w:vAlign w:val="bottom"/>
          </w:tcPr>
          <w:p>
            <w:pPr>
              <w:spacing w:after="0"/>
              <w:rPr>
                <w:sz w:val="20"/>
                <w:szCs w:val="20"/>
                <w:color w:val="auto"/>
              </w:rPr>
            </w:pPr>
            <w:r>
              <w:rPr>
                <w:rFonts w:ascii="Arial" w:cs="Arial" w:eastAsia="Arial" w:hAnsi="Arial"/>
                <w:sz w:val="18"/>
                <w:szCs w:val="18"/>
                <w:color w:val="auto"/>
              </w:rPr>
              <w:t>SECTION 905.</w:t>
            </w:r>
          </w:p>
        </w:tc>
        <w:tc>
          <w:tcPr>
            <w:tcW w:w="6920" w:type="dxa"/>
            <w:vAlign w:val="bottom"/>
          </w:tcPr>
          <w:p>
            <w:pPr>
              <w:ind w:left="240"/>
              <w:spacing w:after="0"/>
              <w:rPr>
                <w:sz w:val="20"/>
                <w:szCs w:val="20"/>
                <w:color w:val="auto"/>
              </w:rPr>
            </w:pPr>
            <w:r>
              <w:rPr>
                <w:rFonts w:ascii="Arial" w:cs="Arial" w:eastAsia="Arial" w:hAnsi="Arial"/>
                <w:sz w:val="18"/>
                <w:szCs w:val="18"/>
                <w:i w:val="1"/>
                <w:iCs w:val="1"/>
                <w:color w:val="auto"/>
              </w:rPr>
              <w:t>Conformity With Trust Indenture Act</w:t>
            </w:r>
          </w:p>
        </w:tc>
        <w:tc>
          <w:tcPr>
            <w:tcW w:w="30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500"/>
        </w:trPr>
        <w:tc>
          <w:tcPr>
            <w:tcW w:w="1360" w:type="dxa"/>
            <w:vAlign w:val="bottom"/>
          </w:tcPr>
          <w:p>
            <w:pPr>
              <w:spacing w:after="0"/>
              <w:rPr>
                <w:sz w:val="20"/>
                <w:szCs w:val="20"/>
                <w:color w:val="auto"/>
              </w:rPr>
            </w:pPr>
            <w:r>
              <w:rPr>
                <w:rFonts w:ascii="Arial" w:cs="Arial" w:eastAsia="Arial" w:hAnsi="Arial"/>
                <w:sz w:val="18"/>
                <w:szCs w:val="18"/>
                <w:color w:val="auto"/>
              </w:rPr>
              <w:t>SECTION 906.</w:t>
            </w:r>
          </w:p>
        </w:tc>
        <w:tc>
          <w:tcPr>
            <w:tcW w:w="6920" w:type="dxa"/>
            <w:vAlign w:val="bottom"/>
          </w:tcPr>
          <w:p>
            <w:pPr>
              <w:ind w:left="240"/>
              <w:spacing w:after="0"/>
              <w:rPr>
                <w:sz w:val="20"/>
                <w:szCs w:val="20"/>
                <w:color w:val="auto"/>
              </w:rPr>
            </w:pPr>
            <w:r>
              <w:rPr>
                <w:rFonts w:ascii="Arial" w:cs="Arial" w:eastAsia="Arial" w:hAnsi="Arial"/>
                <w:sz w:val="18"/>
                <w:szCs w:val="18"/>
                <w:i w:val="1"/>
                <w:iCs w:val="1"/>
                <w:color w:val="auto"/>
              </w:rPr>
              <w:t>Reference in Securities to Supplemental Indentures</w:t>
            </w:r>
          </w:p>
        </w:tc>
        <w:tc>
          <w:tcPr>
            <w:tcW w:w="30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500"/>
        </w:trPr>
        <w:tc>
          <w:tcPr>
            <w:tcW w:w="1360" w:type="dxa"/>
            <w:vAlign w:val="bottom"/>
          </w:tcPr>
          <w:p>
            <w:pPr>
              <w:spacing w:after="0"/>
              <w:rPr>
                <w:sz w:val="20"/>
                <w:szCs w:val="20"/>
                <w:color w:val="auto"/>
              </w:rPr>
            </w:pPr>
            <w:r>
              <w:rPr>
                <w:rFonts w:ascii="Arial" w:cs="Arial" w:eastAsia="Arial" w:hAnsi="Arial"/>
                <w:sz w:val="18"/>
                <w:szCs w:val="18"/>
                <w:color w:val="auto"/>
              </w:rPr>
              <w:t>SECTION 907.</w:t>
            </w:r>
          </w:p>
        </w:tc>
        <w:tc>
          <w:tcPr>
            <w:tcW w:w="6920" w:type="dxa"/>
            <w:vAlign w:val="bottom"/>
          </w:tcPr>
          <w:p>
            <w:pPr>
              <w:ind w:left="240"/>
              <w:spacing w:after="0"/>
              <w:rPr>
                <w:sz w:val="20"/>
                <w:szCs w:val="20"/>
                <w:color w:val="auto"/>
              </w:rPr>
            </w:pPr>
            <w:r>
              <w:rPr>
                <w:rFonts w:ascii="Arial" w:cs="Arial" w:eastAsia="Arial" w:hAnsi="Arial"/>
                <w:sz w:val="18"/>
                <w:szCs w:val="18"/>
                <w:i w:val="1"/>
                <w:iCs w:val="1"/>
                <w:color w:val="auto"/>
              </w:rPr>
              <w:t>Revocation and Effect of Consents</w:t>
            </w:r>
          </w:p>
        </w:tc>
        <w:tc>
          <w:tcPr>
            <w:tcW w:w="30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500"/>
        </w:trPr>
        <w:tc>
          <w:tcPr>
            <w:tcW w:w="1360" w:type="dxa"/>
            <w:vAlign w:val="bottom"/>
          </w:tcPr>
          <w:p>
            <w:pPr>
              <w:spacing w:after="0"/>
              <w:rPr>
                <w:sz w:val="20"/>
                <w:szCs w:val="20"/>
                <w:color w:val="auto"/>
              </w:rPr>
            </w:pPr>
            <w:r>
              <w:rPr>
                <w:rFonts w:ascii="Arial" w:cs="Arial" w:eastAsia="Arial" w:hAnsi="Arial"/>
                <w:sz w:val="18"/>
                <w:szCs w:val="18"/>
                <w:color w:val="auto"/>
              </w:rPr>
              <w:t>SECTION 908.</w:t>
            </w:r>
          </w:p>
        </w:tc>
        <w:tc>
          <w:tcPr>
            <w:tcW w:w="6920" w:type="dxa"/>
            <w:vAlign w:val="bottom"/>
          </w:tcPr>
          <w:p>
            <w:pPr>
              <w:ind w:left="240"/>
              <w:spacing w:after="0"/>
              <w:rPr>
                <w:sz w:val="20"/>
                <w:szCs w:val="20"/>
                <w:color w:val="auto"/>
              </w:rPr>
            </w:pPr>
            <w:r>
              <w:rPr>
                <w:rFonts w:ascii="Arial" w:cs="Arial" w:eastAsia="Arial" w:hAnsi="Arial"/>
                <w:sz w:val="18"/>
                <w:szCs w:val="18"/>
                <w:i w:val="1"/>
                <w:iCs w:val="1"/>
                <w:color w:val="auto"/>
              </w:rPr>
              <w:t>Modification Without Supplemental Indenture</w:t>
            </w:r>
          </w:p>
        </w:tc>
        <w:tc>
          <w:tcPr>
            <w:tcW w:w="3040" w:type="dxa"/>
            <w:vAlign w:val="bottom"/>
          </w:tcPr>
          <w:p>
            <w:pPr>
              <w:jc w:val="right"/>
              <w:spacing w:after="0"/>
              <w:rPr>
                <w:sz w:val="20"/>
                <w:szCs w:val="20"/>
                <w:color w:val="auto"/>
              </w:rPr>
            </w:pPr>
            <w:r>
              <w:rPr>
                <w:rFonts w:ascii="Arial" w:cs="Arial" w:eastAsia="Arial" w:hAnsi="Arial"/>
                <w:sz w:val="18"/>
                <w:szCs w:val="18"/>
                <w:color w:val="auto"/>
              </w:rPr>
              <w:t>38</w:t>
            </w:r>
          </w:p>
        </w:tc>
      </w:tr>
    </w:tbl>
    <w:p>
      <w:pPr>
        <w:sectPr>
          <w:pgSz w:w="11900" w:h="16838" w:orient="portrait"/>
          <w:cols w:equalWidth="0" w:num="1">
            <w:col w:w="11320"/>
          </w:cols>
          <w:pgMar w:left="320" w:top="530" w:right="25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color w:val="auto"/>
        </w:rPr>
        <w:t>ARTICLE TEN</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COVENANTS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20" w:type="dxa"/>
            <w:vAlign w:val="bottom"/>
          </w:tcPr>
          <w:p>
            <w:pPr>
              <w:spacing w:after="0"/>
              <w:rPr>
                <w:sz w:val="20"/>
                <w:szCs w:val="20"/>
                <w:color w:val="auto"/>
              </w:rPr>
            </w:pPr>
            <w:r>
              <w:rPr>
                <w:rFonts w:ascii="Arial" w:cs="Arial" w:eastAsia="Arial" w:hAnsi="Arial"/>
                <w:sz w:val="18"/>
                <w:szCs w:val="18"/>
                <w:color w:val="auto"/>
              </w:rPr>
              <w:t>SECTION 1001.</w:t>
            </w:r>
          </w:p>
        </w:tc>
        <w:tc>
          <w:tcPr>
            <w:tcW w:w="6780" w:type="dxa"/>
            <w:vAlign w:val="bottom"/>
          </w:tcPr>
          <w:p>
            <w:pPr>
              <w:ind w:left="180"/>
              <w:spacing w:after="0"/>
              <w:rPr>
                <w:sz w:val="20"/>
                <w:szCs w:val="20"/>
                <w:color w:val="auto"/>
              </w:rPr>
            </w:pPr>
            <w:r>
              <w:rPr>
                <w:rFonts w:ascii="Arial" w:cs="Arial" w:eastAsia="Arial" w:hAnsi="Arial"/>
                <w:sz w:val="18"/>
                <w:szCs w:val="18"/>
                <w:i w:val="1"/>
                <w:iCs w:val="1"/>
                <w:color w:val="auto"/>
              </w:rPr>
              <w:t>Payment of Principal, Premium and Interest</w:t>
            </w:r>
          </w:p>
        </w:tc>
        <w:tc>
          <w:tcPr>
            <w:tcW w:w="31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500"/>
        </w:trPr>
        <w:tc>
          <w:tcPr>
            <w:tcW w:w="1420" w:type="dxa"/>
            <w:vAlign w:val="bottom"/>
          </w:tcPr>
          <w:p>
            <w:pPr>
              <w:spacing w:after="0"/>
              <w:rPr>
                <w:sz w:val="20"/>
                <w:szCs w:val="20"/>
                <w:color w:val="auto"/>
              </w:rPr>
            </w:pPr>
            <w:r>
              <w:rPr>
                <w:rFonts w:ascii="Arial" w:cs="Arial" w:eastAsia="Arial" w:hAnsi="Arial"/>
                <w:sz w:val="18"/>
                <w:szCs w:val="18"/>
                <w:color w:val="auto"/>
              </w:rPr>
              <w:t>SECTION 1002.</w:t>
            </w:r>
          </w:p>
        </w:tc>
        <w:tc>
          <w:tcPr>
            <w:tcW w:w="6780" w:type="dxa"/>
            <w:vAlign w:val="bottom"/>
          </w:tcPr>
          <w:p>
            <w:pPr>
              <w:ind w:left="180"/>
              <w:spacing w:after="0"/>
              <w:rPr>
                <w:sz w:val="20"/>
                <w:szCs w:val="20"/>
                <w:color w:val="auto"/>
              </w:rPr>
            </w:pPr>
            <w:r>
              <w:rPr>
                <w:rFonts w:ascii="Arial" w:cs="Arial" w:eastAsia="Arial" w:hAnsi="Arial"/>
                <w:sz w:val="18"/>
                <w:szCs w:val="18"/>
                <w:i w:val="1"/>
                <w:iCs w:val="1"/>
                <w:color w:val="auto"/>
              </w:rPr>
              <w:t>Maintenance of Office or Agency</w:t>
            </w:r>
          </w:p>
        </w:tc>
        <w:tc>
          <w:tcPr>
            <w:tcW w:w="31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500"/>
        </w:trPr>
        <w:tc>
          <w:tcPr>
            <w:tcW w:w="1420" w:type="dxa"/>
            <w:vAlign w:val="bottom"/>
          </w:tcPr>
          <w:p>
            <w:pPr>
              <w:spacing w:after="0"/>
              <w:rPr>
                <w:sz w:val="20"/>
                <w:szCs w:val="20"/>
                <w:color w:val="auto"/>
              </w:rPr>
            </w:pPr>
            <w:r>
              <w:rPr>
                <w:rFonts w:ascii="Arial" w:cs="Arial" w:eastAsia="Arial" w:hAnsi="Arial"/>
                <w:sz w:val="18"/>
                <w:szCs w:val="18"/>
                <w:color w:val="auto"/>
              </w:rPr>
              <w:t>SECTION 1003.</w:t>
            </w:r>
          </w:p>
        </w:tc>
        <w:tc>
          <w:tcPr>
            <w:tcW w:w="6780" w:type="dxa"/>
            <w:vAlign w:val="bottom"/>
          </w:tcPr>
          <w:p>
            <w:pPr>
              <w:ind w:left="180"/>
              <w:spacing w:after="0"/>
              <w:rPr>
                <w:sz w:val="20"/>
                <w:szCs w:val="20"/>
                <w:color w:val="auto"/>
              </w:rPr>
            </w:pPr>
            <w:r>
              <w:rPr>
                <w:rFonts w:ascii="Arial" w:cs="Arial" w:eastAsia="Arial" w:hAnsi="Arial"/>
                <w:sz w:val="18"/>
                <w:szCs w:val="18"/>
                <w:i w:val="1"/>
                <w:iCs w:val="1"/>
                <w:color w:val="auto"/>
              </w:rPr>
              <w:t>Money for Securities Payments to Be Held in Trust</w:t>
            </w:r>
          </w:p>
        </w:tc>
        <w:tc>
          <w:tcPr>
            <w:tcW w:w="31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500"/>
        </w:trPr>
        <w:tc>
          <w:tcPr>
            <w:tcW w:w="1420" w:type="dxa"/>
            <w:vAlign w:val="bottom"/>
          </w:tcPr>
          <w:p>
            <w:pPr>
              <w:spacing w:after="0"/>
              <w:rPr>
                <w:sz w:val="20"/>
                <w:szCs w:val="20"/>
                <w:color w:val="auto"/>
              </w:rPr>
            </w:pPr>
            <w:r>
              <w:rPr>
                <w:rFonts w:ascii="Arial" w:cs="Arial" w:eastAsia="Arial" w:hAnsi="Arial"/>
                <w:sz w:val="18"/>
                <w:szCs w:val="18"/>
                <w:color w:val="auto"/>
              </w:rPr>
              <w:t>SECTION 1004.</w:t>
            </w:r>
          </w:p>
        </w:tc>
        <w:tc>
          <w:tcPr>
            <w:tcW w:w="6780" w:type="dxa"/>
            <w:vAlign w:val="bottom"/>
          </w:tcPr>
          <w:p>
            <w:pPr>
              <w:ind w:left="180"/>
              <w:spacing w:after="0"/>
              <w:rPr>
                <w:sz w:val="20"/>
                <w:szCs w:val="20"/>
                <w:color w:val="auto"/>
              </w:rPr>
            </w:pPr>
            <w:r>
              <w:rPr>
                <w:rFonts w:ascii="Arial" w:cs="Arial" w:eastAsia="Arial" w:hAnsi="Arial"/>
                <w:sz w:val="18"/>
                <w:szCs w:val="18"/>
                <w:i w:val="1"/>
                <w:iCs w:val="1"/>
                <w:color w:val="auto"/>
              </w:rPr>
              <w:t>Statement as to Compliance</w:t>
            </w:r>
          </w:p>
        </w:tc>
        <w:tc>
          <w:tcPr>
            <w:tcW w:w="31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500"/>
        </w:trPr>
        <w:tc>
          <w:tcPr>
            <w:tcW w:w="1420" w:type="dxa"/>
            <w:vAlign w:val="bottom"/>
          </w:tcPr>
          <w:p>
            <w:pPr>
              <w:spacing w:after="0"/>
              <w:rPr>
                <w:sz w:val="20"/>
                <w:szCs w:val="20"/>
                <w:color w:val="auto"/>
              </w:rPr>
            </w:pPr>
            <w:r>
              <w:rPr>
                <w:rFonts w:ascii="Arial" w:cs="Arial" w:eastAsia="Arial" w:hAnsi="Arial"/>
                <w:sz w:val="18"/>
                <w:szCs w:val="18"/>
                <w:color w:val="auto"/>
              </w:rPr>
              <w:t>SECTION 1005.</w:t>
            </w:r>
          </w:p>
        </w:tc>
        <w:tc>
          <w:tcPr>
            <w:tcW w:w="6780" w:type="dxa"/>
            <w:vAlign w:val="bottom"/>
          </w:tcPr>
          <w:p>
            <w:pPr>
              <w:ind w:left="180"/>
              <w:spacing w:after="0"/>
              <w:rPr>
                <w:sz w:val="20"/>
                <w:szCs w:val="20"/>
                <w:color w:val="auto"/>
              </w:rPr>
            </w:pPr>
            <w:r>
              <w:rPr>
                <w:rFonts w:ascii="Arial" w:cs="Arial" w:eastAsia="Arial" w:hAnsi="Arial"/>
                <w:sz w:val="18"/>
                <w:szCs w:val="18"/>
                <w:i w:val="1"/>
                <w:iCs w:val="1"/>
                <w:color w:val="auto"/>
              </w:rPr>
              <w:t>Corporate Existence</w:t>
            </w:r>
          </w:p>
        </w:tc>
        <w:tc>
          <w:tcPr>
            <w:tcW w:w="31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500"/>
        </w:trPr>
        <w:tc>
          <w:tcPr>
            <w:tcW w:w="1420" w:type="dxa"/>
            <w:vAlign w:val="bottom"/>
          </w:tcPr>
          <w:p>
            <w:pPr>
              <w:spacing w:after="0"/>
              <w:rPr>
                <w:sz w:val="20"/>
                <w:szCs w:val="20"/>
                <w:color w:val="auto"/>
              </w:rPr>
            </w:pPr>
            <w:r>
              <w:rPr>
                <w:rFonts w:ascii="Arial" w:cs="Arial" w:eastAsia="Arial" w:hAnsi="Arial"/>
                <w:sz w:val="18"/>
                <w:szCs w:val="18"/>
                <w:color w:val="auto"/>
              </w:rPr>
              <w:t>SECTION 1006.</w:t>
            </w:r>
          </w:p>
        </w:tc>
        <w:tc>
          <w:tcPr>
            <w:tcW w:w="6780" w:type="dxa"/>
            <w:vAlign w:val="bottom"/>
          </w:tcPr>
          <w:p>
            <w:pPr>
              <w:ind w:left="180"/>
              <w:spacing w:after="0"/>
              <w:rPr>
                <w:sz w:val="20"/>
                <w:szCs w:val="20"/>
                <w:color w:val="auto"/>
              </w:rPr>
            </w:pPr>
            <w:r>
              <w:rPr>
                <w:rFonts w:ascii="Arial" w:cs="Arial" w:eastAsia="Arial" w:hAnsi="Arial"/>
                <w:sz w:val="18"/>
                <w:szCs w:val="18"/>
                <w:i w:val="1"/>
                <w:iCs w:val="1"/>
                <w:color w:val="auto"/>
              </w:rPr>
              <w:t>Waiver of Certain Covenants</w:t>
            </w:r>
          </w:p>
        </w:tc>
        <w:tc>
          <w:tcPr>
            <w:tcW w:w="3120" w:type="dxa"/>
            <w:vAlign w:val="bottom"/>
          </w:tcPr>
          <w:p>
            <w:pPr>
              <w:jc w:val="right"/>
              <w:spacing w:after="0"/>
              <w:rPr>
                <w:sz w:val="20"/>
                <w:szCs w:val="20"/>
                <w:color w:val="auto"/>
              </w:rPr>
            </w:pPr>
            <w:r>
              <w:rPr>
                <w:rFonts w:ascii="Arial" w:cs="Arial" w:eastAsia="Arial" w:hAnsi="Arial"/>
                <w:sz w:val="18"/>
                <w:szCs w:val="18"/>
                <w:color w:val="auto"/>
              </w:rPr>
              <w:t>41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216535</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20"/>
          </w:cols>
          <w:pgMar w:left="320" w:top="530" w:right="25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color w:val="auto"/>
        </w:rPr>
        <w:t>ARTICLE ELEVEN</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REDEMPTION OF SECURITIES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00" w:type="dxa"/>
            <w:vAlign w:val="bottom"/>
          </w:tcPr>
          <w:p>
            <w:pPr>
              <w:spacing w:after="0"/>
              <w:rPr>
                <w:sz w:val="20"/>
                <w:szCs w:val="20"/>
                <w:color w:val="auto"/>
              </w:rPr>
            </w:pPr>
            <w:r>
              <w:rPr>
                <w:rFonts w:ascii="Arial" w:cs="Arial" w:eastAsia="Arial" w:hAnsi="Arial"/>
                <w:sz w:val="18"/>
                <w:szCs w:val="18"/>
                <w:color w:val="auto"/>
              </w:rPr>
              <w:t>SECTION 1101.</w:t>
            </w:r>
          </w:p>
        </w:tc>
        <w:tc>
          <w:tcPr>
            <w:tcW w:w="6760" w:type="dxa"/>
            <w:vAlign w:val="bottom"/>
          </w:tcPr>
          <w:p>
            <w:pPr>
              <w:ind w:left="200"/>
              <w:spacing w:after="0"/>
              <w:rPr>
                <w:sz w:val="20"/>
                <w:szCs w:val="20"/>
                <w:color w:val="auto"/>
              </w:rPr>
            </w:pPr>
            <w:r>
              <w:rPr>
                <w:rFonts w:ascii="Arial" w:cs="Arial" w:eastAsia="Arial" w:hAnsi="Arial"/>
                <w:sz w:val="18"/>
                <w:szCs w:val="18"/>
                <w:i w:val="1"/>
                <w:iCs w:val="1"/>
                <w:color w:val="auto"/>
              </w:rPr>
              <w:t>Applicability of Article</w:t>
            </w:r>
          </w:p>
        </w:tc>
        <w:tc>
          <w:tcPr>
            <w:tcW w:w="31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500"/>
        </w:trPr>
        <w:tc>
          <w:tcPr>
            <w:tcW w:w="1400" w:type="dxa"/>
            <w:vAlign w:val="bottom"/>
          </w:tcPr>
          <w:p>
            <w:pPr>
              <w:spacing w:after="0"/>
              <w:rPr>
                <w:sz w:val="20"/>
                <w:szCs w:val="20"/>
                <w:color w:val="auto"/>
              </w:rPr>
            </w:pPr>
            <w:r>
              <w:rPr>
                <w:rFonts w:ascii="Arial" w:cs="Arial" w:eastAsia="Arial" w:hAnsi="Arial"/>
                <w:sz w:val="18"/>
                <w:szCs w:val="18"/>
                <w:color w:val="auto"/>
              </w:rPr>
              <w:t>SECTION 1102.</w:t>
            </w:r>
          </w:p>
        </w:tc>
        <w:tc>
          <w:tcPr>
            <w:tcW w:w="6760" w:type="dxa"/>
            <w:vAlign w:val="bottom"/>
          </w:tcPr>
          <w:p>
            <w:pPr>
              <w:ind w:left="200"/>
              <w:spacing w:after="0"/>
              <w:rPr>
                <w:sz w:val="20"/>
                <w:szCs w:val="20"/>
                <w:color w:val="auto"/>
              </w:rPr>
            </w:pPr>
            <w:r>
              <w:rPr>
                <w:rFonts w:ascii="Arial" w:cs="Arial" w:eastAsia="Arial" w:hAnsi="Arial"/>
                <w:sz w:val="18"/>
                <w:szCs w:val="18"/>
                <w:i w:val="1"/>
                <w:iCs w:val="1"/>
                <w:color w:val="auto"/>
              </w:rPr>
              <w:t>Election to Redeem; Notice to Trustee</w:t>
            </w:r>
          </w:p>
        </w:tc>
        <w:tc>
          <w:tcPr>
            <w:tcW w:w="31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500"/>
        </w:trPr>
        <w:tc>
          <w:tcPr>
            <w:tcW w:w="1400" w:type="dxa"/>
            <w:vAlign w:val="bottom"/>
          </w:tcPr>
          <w:p>
            <w:pPr>
              <w:spacing w:after="0"/>
              <w:rPr>
                <w:sz w:val="20"/>
                <w:szCs w:val="20"/>
                <w:color w:val="auto"/>
              </w:rPr>
            </w:pPr>
            <w:r>
              <w:rPr>
                <w:rFonts w:ascii="Arial" w:cs="Arial" w:eastAsia="Arial" w:hAnsi="Arial"/>
                <w:sz w:val="18"/>
                <w:szCs w:val="18"/>
                <w:color w:val="auto"/>
              </w:rPr>
              <w:t>SECTION 1103.</w:t>
            </w:r>
          </w:p>
        </w:tc>
        <w:tc>
          <w:tcPr>
            <w:tcW w:w="6760" w:type="dxa"/>
            <w:vAlign w:val="bottom"/>
          </w:tcPr>
          <w:p>
            <w:pPr>
              <w:ind w:left="200"/>
              <w:spacing w:after="0"/>
              <w:rPr>
                <w:sz w:val="20"/>
                <w:szCs w:val="20"/>
                <w:color w:val="auto"/>
              </w:rPr>
            </w:pPr>
            <w:r>
              <w:rPr>
                <w:rFonts w:ascii="Arial" w:cs="Arial" w:eastAsia="Arial" w:hAnsi="Arial"/>
                <w:sz w:val="18"/>
                <w:szCs w:val="18"/>
                <w:i w:val="1"/>
                <w:iCs w:val="1"/>
                <w:color w:val="auto"/>
              </w:rPr>
              <w:t>Selection by Trustee of Securities to Be Redeemed</w:t>
            </w:r>
          </w:p>
        </w:tc>
        <w:tc>
          <w:tcPr>
            <w:tcW w:w="31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500"/>
        </w:trPr>
        <w:tc>
          <w:tcPr>
            <w:tcW w:w="1400" w:type="dxa"/>
            <w:vAlign w:val="bottom"/>
          </w:tcPr>
          <w:p>
            <w:pPr>
              <w:spacing w:after="0"/>
              <w:rPr>
                <w:sz w:val="20"/>
                <w:szCs w:val="20"/>
                <w:color w:val="auto"/>
              </w:rPr>
            </w:pPr>
            <w:r>
              <w:rPr>
                <w:rFonts w:ascii="Arial" w:cs="Arial" w:eastAsia="Arial" w:hAnsi="Arial"/>
                <w:sz w:val="18"/>
                <w:szCs w:val="18"/>
                <w:color w:val="auto"/>
              </w:rPr>
              <w:t>SECTION 1104.</w:t>
            </w:r>
          </w:p>
        </w:tc>
        <w:tc>
          <w:tcPr>
            <w:tcW w:w="6760" w:type="dxa"/>
            <w:vAlign w:val="bottom"/>
          </w:tcPr>
          <w:p>
            <w:pPr>
              <w:ind w:left="200"/>
              <w:spacing w:after="0"/>
              <w:rPr>
                <w:sz w:val="20"/>
                <w:szCs w:val="20"/>
                <w:color w:val="auto"/>
              </w:rPr>
            </w:pPr>
            <w:r>
              <w:rPr>
                <w:rFonts w:ascii="Arial" w:cs="Arial" w:eastAsia="Arial" w:hAnsi="Arial"/>
                <w:sz w:val="18"/>
                <w:szCs w:val="18"/>
                <w:i w:val="1"/>
                <w:iCs w:val="1"/>
                <w:color w:val="auto"/>
              </w:rPr>
              <w:t>Notice of Redemption</w:t>
            </w:r>
          </w:p>
        </w:tc>
        <w:tc>
          <w:tcPr>
            <w:tcW w:w="31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500"/>
        </w:trPr>
        <w:tc>
          <w:tcPr>
            <w:tcW w:w="1400" w:type="dxa"/>
            <w:vAlign w:val="bottom"/>
          </w:tcPr>
          <w:p>
            <w:pPr>
              <w:spacing w:after="0"/>
              <w:rPr>
                <w:sz w:val="20"/>
                <w:szCs w:val="20"/>
                <w:color w:val="auto"/>
              </w:rPr>
            </w:pPr>
            <w:r>
              <w:rPr>
                <w:rFonts w:ascii="Arial" w:cs="Arial" w:eastAsia="Arial" w:hAnsi="Arial"/>
                <w:sz w:val="18"/>
                <w:szCs w:val="18"/>
                <w:color w:val="auto"/>
              </w:rPr>
              <w:t>SECTION 1105.</w:t>
            </w:r>
          </w:p>
        </w:tc>
        <w:tc>
          <w:tcPr>
            <w:tcW w:w="6760" w:type="dxa"/>
            <w:vAlign w:val="bottom"/>
          </w:tcPr>
          <w:p>
            <w:pPr>
              <w:ind w:left="200"/>
              <w:spacing w:after="0"/>
              <w:rPr>
                <w:sz w:val="20"/>
                <w:szCs w:val="20"/>
                <w:color w:val="auto"/>
              </w:rPr>
            </w:pPr>
            <w:r>
              <w:rPr>
                <w:rFonts w:ascii="Arial" w:cs="Arial" w:eastAsia="Arial" w:hAnsi="Arial"/>
                <w:sz w:val="18"/>
                <w:szCs w:val="18"/>
                <w:i w:val="1"/>
                <w:iCs w:val="1"/>
                <w:color w:val="auto"/>
              </w:rPr>
              <w:t>Securities Payable on Redemption Date</w:t>
            </w:r>
          </w:p>
        </w:tc>
        <w:tc>
          <w:tcPr>
            <w:tcW w:w="31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500"/>
        </w:trPr>
        <w:tc>
          <w:tcPr>
            <w:tcW w:w="1400" w:type="dxa"/>
            <w:vAlign w:val="bottom"/>
          </w:tcPr>
          <w:p>
            <w:pPr>
              <w:spacing w:after="0"/>
              <w:rPr>
                <w:sz w:val="20"/>
                <w:szCs w:val="20"/>
                <w:color w:val="auto"/>
              </w:rPr>
            </w:pPr>
            <w:r>
              <w:rPr>
                <w:rFonts w:ascii="Arial" w:cs="Arial" w:eastAsia="Arial" w:hAnsi="Arial"/>
                <w:sz w:val="18"/>
                <w:szCs w:val="18"/>
                <w:color w:val="auto"/>
              </w:rPr>
              <w:t>SECTION 1106.</w:t>
            </w:r>
          </w:p>
        </w:tc>
        <w:tc>
          <w:tcPr>
            <w:tcW w:w="6760" w:type="dxa"/>
            <w:vAlign w:val="bottom"/>
          </w:tcPr>
          <w:p>
            <w:pPr>
              <w:ind w:left="200"/>
              <w:spacing w:after="0"/>
              <w:rPr>
                <w:sz w:val="20"/>
                <w:szCs w:val="20"/>
                <w:color w:val="auto"/>
              </w:rPr>
            </w:pPr>
            <w:r>
              <w:rPr>
                <w:rFonts w:ascii="Arial" w:cs="Arial" w:eastAsia="Arial" w:hAnsi="Arial"/>
                <w:sz w:val="18"/>
                <w:szCs w:val="18"/>
                <w:i w:val="1"/>
                <w:iCs w:val="1"/>
                <w:color w:val="auto"/>
              </w:rPr>
              <w:t>Securities Redeemed in Part</w:t>
            </w:r>
          </w:p>
        </w:tc>
        <w:tc>
          <w:tcPr>
            <w:tcW w:w="3160" w:type="dxa"/>
            <w:vAlign w:val="bottom"/>
          </w:tcPr>
          <w:p>
            <w:pPr>
              <w:jc w:val="right"/>
              <w:spacing w:after="0"/>
              <w:rPr>
                <w:sz w:val="20"/>
                <w:szCs w:val="20"/>
                <w:color w:val="auto"/>
              </w:rPr>
            </w:pPr>
            <w:r>
              <w:rPr>
                <w:rFonts w:ascii="Arial" w:cs="Arial" w:eastAsia="Arial" w:hAnsi="Arial"/>
                <w:sz w:val="18"/>
                <w:szCs w:val="18"/>
                <w:color w:val="auto"/>
              </w:rPr>
              <w:t>43</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TWELVE</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REPAYMENT OF SECURITIES AT OPTION OF HOLDERS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20" w:type="dxa"/>
            <w:vAlign w:val="bottom"/>
          </w:tcPr>
          <w:p>
            <w:pPr>
              <w:spacing w:after="0"/>
              <w:rPr>
                <w:sz w:val="20"/>
                <w:szCs w:val="20"/>
                <w:color w:val="auto"/>
              </w:rPr>
            </w:pPr>
            <w:r>
              <w:rPr>
                <w:rFonts w:ascii="Arial" w:cs="Arial" w:eastAsia="Arial" w:hAnsi="Arial"/>
                <w:sz w:val="18"/>
                <w:szCs w:val="18"/>
                <w:color w:val="auto"/>
              </w:rPr>
              <w:t>SECTION 1201.</w:t>
            </w:r>
          </w:p>
        </w:tc>
        <w:tc>
          <w:tcPr>
            <w:tcW w:w="5900" w:type="dxa"/>
            <w:vAlign w:val="bottom"/>
          </w:tcPr>
          <w:p>
            <w:pPr>
              <w:ind w:left="180"/>
              <w:spacing w:after="0"/>
              <w:rPr>
                <w:sz w:val="20"/>
                <w:szCs w:val="20"/>
                <w:color w:val="auto"/>
              </w:rPr>
            </w:pPr>
            <w:r>
              <w:rPr>
                <w:rFonts w:ascii="Arial" w:cs="Arial" w:eastAsia="Arial" w:hAnsi="Arial"/>
                <w:sz w:val="18"/>
                <w:szCs w:val="18"/>
                <w:i w:val="1"/>
                <w:iCs w:val="1"/>
                <w:color w:val="auto"/>
              </w:rPr>
              <w:t>Applicability of Article</w:t>
            </w:r>
          </w:p>
        </w:tc>
        <w:tc>
          <w:tcPr>
            <w:tcW w:w="40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500"/>
        </w:trPr>
        <w:tc>
          <w:tcPr>
            <w:tcW w:w="1420" w:type="dxa"/>
            <w:vAlign w:val="bottom"/>
          </w:tcPr>
          <w:p>
            <w:pPr>
              <w:spacing w:after="0"/>
              <w:rPr>
                <w:sz w:val="20"/>
                <w:szCs w:val="20"/>
                <w:color w:val="auto"/>
              </w:rPr>
            </w:pPr>
            <w:r>
              <w:rPr>
                <w:rFonts w:ascii="Arial" w:cs="Arial" w:eastAsia="Arial" w:hAnsi="Arial"/>
                <w:sz w:val="18"/>
                <w:szCs w:val="18"/>
                <w:color w:val="auto"/>
              </w:rPr>
              <w:t>SECTION 1202.</w:t>
            </w:r>
          </w:p>
        </w:tc>
        <w:tc>
          <w:tcPr>
            <w:tcW w:w="5900" w:type="dxa"/>
            <w:vAlign w:val="bottom"/>
          </w:tcPr>
          <w:p>
            <w:pPr>
              <w:ind w:left="180"/>
              <w:spacing w:after="0"/>
              <w:rPr>
                <w:sz w:val="20"/>
                <w:szCs w:val="20"/>
                <w:color w:val="auto"/>
              </w:rPr>
            </w:pPr>
            <w:r>
              <w:rPr>
                <w:rFonts w:ascii="Arial" w:cs="Arial" w:eastAsia="Arial" w:hAnsi="Arial"/>
                <w:sz w:val="18"/>
                <w:szCs w:val="18"/>
                <w:i w:val="1"/>
                <w:iCs w:val="1"/>
                <w:color w:val="auto"/>
              </w:rPr>
              <w:t>Notice of Repayment Date</w:t>
            </w:r>
          </w:p>
        </w:tc>
        <w:tc>
          <w:tcPr>
            <w:tcW w:w="4000" w:type="dxa"/>
            <w:vAlign w:val="bottom"/>
          </w:tcPr>
          <w:p>
            <w:pPr>
              <w:jc w:val="right"/>
              <w:spacing w:after="0"/>
              <w:rPr>
                <w:sz w:val="20"/>
                <w:szCs w:val="20"/>
                <w:color w:val="auto"/>
              </w:rPr>
            </w:pPr>
            <w:r>
              <w:rPr>
                <w:rFonts w:ascii="Arial" w:cs="Arial" w:eastAsia="Arial" w:hAnsi="Arial"/>
                <w:sz w:val="18"/>
                <w:szCs w:val="18"/>
                <w:color w:val="auto"/>
              </w:rPr>
              <w:t>43</w:t>
            </w:r>
          </w:p>
        </w:tc>
      </w:tr>
    </w:tbl>
    <w:p>
      <w:pPr>
        <w:sectPr>
          <w:pgSz w:w="11900" w:h="16838" w:orient="portrait"/>
          <w:cols w:equalWidth="0" w:num="1">
            <w:col w:w="11320"/>
          </w:cols>
          <w:pgMar w:left="320" w:top="746" w:right="259" w:bottom="1440" w:gutter="0" w:footer="0" w:header="0"/>
        </w:sectPr>
      </w:pPr>
    </w:p>
    <w:bookmarkStart w:id="38" w:name="page39"/>
    <w:bookmarkEnd w:id="3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20" w:type="dxa"/>
            <w:vAlign w:val="bottom"/>
          </w:tcPr>
          <w:p>
            <w:pPr>
              <w:spacing w:after="0"/>
              <w:rPr>
                <w:sz w:val="20"/>
                <w:szCs w:val="20"/>
                <w:color w:val="auto"/>
              </w:rPr>
            </w:pPr>
            <w:r>
              <w:rPr>
                <w:rFonts w:ascii="Arial" w:cs="Arial" w:eastAsia="Arial" w:hAnsi="Arial"/>
                <w:sz w:val="18"/>
                <w:szCs w:val="18"/>
                <w:color w:val="auto"/>
              </w:rPr>
              <w:t>SECTION 1203.</w:t>
            </w:r>
          </w:p>
        </w:tc>
        <w:tc>
          <w:tcPr>
            <w:tcW w:w="6360" w:type="dxa"/>
            <w:vAlign w:val="bottom"/>
          </w:tcPr>
          <w:p>
            <w:pPr>
              <w:ind w:left="180"/>
              <w:spacing w:after="0"/>
              <w:rPr>
                <w:sz w:val="20"/>
                <w:szCs w:val="20"/>
                <w:color w:val="auto"/>
              </w:rPr>
            </w:pPr>
            <w:r>
              <w:rPr>
                <w:rFonts w:ascii="Arial" w:cs="Arial" w:eastAsia="Arial" w:hAnsi="Arial"/>
                <w:sz w:val="18"/>
                <w:szCs w:val="18"/>
                <w:i w:val="1"/>
                <w:iCs w:val="1"/>
                <w:color w:val="auto"/>
              </w:rPr>
              <w:t>Securities Payable on Repayment Date</w:t>
            </w:r>
          </w:p>
        </w:tc>
        <w:tc>
          <w:tcPr>
            <w:tcW w:w="35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500"/>
        </w:trPr>
        <w:tc>
          <w:tcPr>
            <w:tcW w:w="1420" w:type="dxa"/>
            <w:vAlign w:val="bottom"/>
          </w:tcPr>
          <w:p>
            <w:pPr>
              <w:spacing w:after="0"/>
              <w:rPr>
                <w:sz w:val="20"/>
                <w:szCs w:val="20"/>
                <w:color w:val="auto"/>
              </w:rPr>
            </w:pPr>
            <w:r>
              <w:rPr>
                <w:rFonts w:ascii="Arial" w:cs="Arial" w:eastAsia="Arial" w:hAnsi="Arial"/>
                <w:sz w:val="18"/>
                <w:szCs w:val="18"/>
                <w:color w:val="auto"/>
              </w:rPr>
              <w:t>SECTION 1204.</w:t>
            </w:r>
          </w:p>
        </w:tc>
        <w:tc>
          <w:tcPr>
            <w:tcW w:w="6360" w:type="dxa"/>
            <w:vAlign w:val="bottom"/>
          </w:tcPr>
          <w:p>
            <w:pPr>
              <w:ind w:left="180"/>
              <w:spacing w:after="0"/>
              <w:rPr>
                <w:sz w:val="20"/>
                <w:szCs w:val="20"/>
                <w:color w:val="auto"/>
              </w:rPr>
            </w:pPr>
            <w:r>
              <w:rPr>
                <w:rFonts w:ascii="Arial" w:cs="Arial" w:eastAsia="Arial" w:hAnsi="Arial"/>
                <w:sz w:val="18"/>
                <w:szCs w:val="18"/>
                <w:i w:val="1"/>
                <w:iCs w:val="1"/>
                <w:color w:val="auto"/>
              </w:rPr>
              <w:t>Securities Repaid in Part</w:t>
            </w:r>
          </w:p>
        </w:tc>
        <w:tc>
          <w:tcPr>
            <w:tcW w:w="3540" w:type="dxa"/>
            <w:vAlign w:val="bottom"/>
          </w:tcPr>
          <w:p>
            <w:pPr>
              <w:jc w:val="right"/>
              <w:spacing w:after="0"/>
              <w:rPr>
                <w:sz w:val="20"/>
                <w:szCs w:val="20"/>
                <w:color w:val="auto"/>
              </w:rPr>
            </w:pPr>
            <w:r>
              <w:rPr>
                <w:rFonts w:ascii="Arial" w:cs="Arial" w:eastAsia="Arial" w:hAnsi="Arial"/>
                <w:sz w:val="18"/>
                <w:szCs w:val="18"/>
                <w:color w:val="auto"/>
              </w:rPr>
              <w:t>44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216535</wp:posOffset>
            </wp:positionV>
            <wp:extent cx="72720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20"/>
          </w:cols>
          <w:pgMar w:left="320" w:top="530" w:right="259" w:bottom="1440" w:gutter="0" w:footer="0" w:header="0"/>
        </w:sectPr>
      </w:pPr>
    </w:p>
    <w:bookmarkStart w:id="39" w:name="page40"/>
    <w:bookmarkEnd w:id="39"/>
    <w:p>
      <w:pPr>
        <w:ind w:right="180" w:firstLine="693"/>
        <w:spacing w:after="0" w:line="258" w:lineRule="auto"/>
        <w:rPr>
          <w:sz w:val="20"/>
          <w:szCs w:val="20"/>
          <w:color w:val="auto"/>
        </w:rPr>
      </w:pPr>
      <w:r>
        <w:rPr>
          <w:rFonts w:ascii="Arial" w:cs="Arial" w:eastAsia="Arial" w:hAnsi="Arial"/>
          <w:sz w:val="18"/>
          <w:szCs w:val="18"/>
          <w:color w:val="auto"/>
        </w:rPr>
        <w:t>INDENTURE, dated as of , 20 , between VERACYTE, INC., a corporation duly organized and existing under the laws of Delaware (herein called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having its principal office at , and [TRUSTEE] (herein called the “</w:t>
      </w:r>
      <w:r>
        <w:rPr>
          <w:rFonts w:ascii="Arial" w:cs="Arial" w:eastAsia="Arial" w:hAnsi="Arial"/>
          <w:sz w:val="18"/>
          <w:szCs w:val="18"/>
          <w:b w:val="1"/>
          <w:bCs w:val="1"/>
          <w:i w:val="1"/>
          <w:iCs w:val="1"/>
          <w:color w:val="auto"/>
        </w:rPr>
        <w:t>Trustee</w:t>
      </w:r>
      <w:r>
        <w:rPr>
          <w:rFonts w:ascii="Arial" w:cs="Arial" w:eastAsia="Arial" w:hAnsi="Arial"/>
          <w:sz w:val="18"/>
          <w:szCs w:val="18"/>
          <w:color w:val="auto"/>
        </w:rPr>
        <w:t>”).</w:t>
      </w:r>
    </w:p>
    <w:p>
      <w:pPr>
        <w:spacing w:after="0" w:line="1" w:lineRule="exact"/>
        <w:rPr>
          <w:sz w:val="20"/>
          <w:szCs w:val="20"/>
          <w:color w:val="auto"/>
        </w:rPr>
      </w:pPr>
    </w:p>
    <w:p>
      <w:pPr>
        <w:jc w:val="center"/>
        <w:ind w:left="1360"/>
        <w:spacing w:after="0"/>
        <w:rPr>
          <w:sz w:val="20"/>
          <w:szCs w:val="20"/>
          <w:color w:val="auto"/>
        </w:rPr>
      </w:pPr>
      <w:r>
        <w:rPr>
          <w:rFonts w:ascii="Arial" w:cs="Arial" w:eastAsia="Arial" w:hAnsi="Arial"/>
          <w:sz w:val="18"/>
          <w:szCs w:val="18"/>
          <w:color w:val="auto"/>
        </w:rPr>
        <w:t>RECITALS OF THE COMPANY</w:t>
      </w:r>
    </w:p>
    <w:p>
      <w:pPr>
        <w:spacing w:after="0" w:line="211" w:lineRule="exact"/>
        <w:rPr>
          <w:sz w:val="20"/>
          <w:szCs w:val="20"/>
          <w:color w:val="auto"/>
        </w:rPr>
      </w:pPr>
    </w:p>
    <w:p>
      <w:pPr>
        <w:ind w:firstLine="1297"/>
        <w:spacing w:after="0" w:line="264" w:lineRule="auto"/>
        <w:rPr>
          <w:sz w:val="20"/>
          <w:szCs w:val="20"/>
          <w:color w:val="auto"/>
        </w:rPr>
      </w:pPr>
      <w:r>
        <w:rPr>
          <w:rFonts w:ascii="Arial" w:cs="Arial" w:eastAsia="Arial" w:hAnsi="Arial"/>
          <w:sz w:val="18"/>
          <w:szCs w:val="18"/>
          <w:color w:val="auto"/>
        </w:rPr>
        <w:t>The Company has duly authorized the execution and delivery of this Indenture to provide for the issuance from time to time of its unsecured debentures, notes or other evidences of indebtedness (each herein called a “</w:t>
      </w:r>
      <w:r>
        <w:rPr>
          <w:rFonts w:ascii="Arial" w:cs="Arial" w:eastAsia="Arial" w:hAnsi="Arial"/>
          <w:sz w:val="18"/>
          <w:szCs w:val="18"/>
          <w:b w:val="1"/>
          <w:bCs w:val="1"/>
          <w:i w:val="1"/>
          <w:iCs w:val="1"/>
          <w:color w:val="auto"/>
        </w:rPr>
        <w:t>Security</w:t>
      </w:r>
      <w:r>
        <w:rPr>
          <w:rFonts w:ascii="Arial" w:cs="Arial" w:eastAsia="Arial" w:hAnsi="Arial"/>
          <w:sz w:val="18"/>
          <w:szCs w:val="18"/>
          <w:color w:val="auto"/>
        </w:rPr>
        <w:t>” or, collectively, the “</w:t>
      </w:r>
      <w:r>
        <w:rPr>
          <w:rFonts w:ascii="Arial" w:cs="Arial" w:eastAsia="Arial" w:hAnsi="Arial"/>
          <w:sz w:val="18"/>
          <w:szCs w:val="18"/>
          <w:b w:val="1"/>
          <w:bCs w:val="1"/>
          <w:i w:val="1"/>
          <w:iCs w:val="1"/>
          <w:color w:val="auto"/>
        </w:rPr>
        <w:t>Securities</w:t>
      </w:r>
      <w:r>
        <w:rPr>
          <w:rFonts w:ascii="Arial" w:cs="Arial" w:eastAsia="Arial" w:hAnsi="Arial"/>
          <w:sz w:val="18"/>
          <w:szCs w:val="18"/>
          <w:color w:val="auto"/>
        </w:rPr>
        <w:t>”), in an unlimited aggregate principal amount to be issued in one or more series as in this Indenture provided.</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All things necessary to make this Indenture a valid agreement of the Company, in accordance with its terms, have been done.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NOW, THEREFORE, THIS INDENTURE WITNESSETH:</w:t>
      </w:r>
    </w:p>
    <w:p>
      <w:pPr>
        <w:spacing w:after="0" w:line="225" w:lineRule="exact"/>
        <w:rPr>
          <w:sz w:val="20"/>
          <w:szCs w:val="20"/>
          <w:color w:val="auto"/>
        </w:rPr>
      </w:pPr>
    </w:p>
    <w:p>
      <w:pPr>
        <w:ind w:right="60" w:firstLine="1297"/>
        <w:spacing w:after="0" w:line="277" w:lineRule="auto"/>
        <w:rPr>
          <w:sz w:val="20"/>
          <w:szCs w:val="20"/>
          <w:color w:val="auto"/>
        </w:rPr>
      </w:pPr>
      <w:r>
        <w:rPr>
          <w:rFonts w:ascii="Arial" w:cs="Arial" w:eastAsia="Arial" w:hAnsi="Arial"/>
          <w:sz w:val="18"/>
          <w:szCs w:val="18"/>
          <w:color w:val="auto"/>
        </w:rPr>
        <w:t>For and in consideration of the premises and the purchase of the Securities by the Holders thereof, it is mutually covenanted and agreed, for the equal and proportionate benefit of all Holders of the Securities or of any series thereof, as follows: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DEFINITIONS AND OTHER PROVISIONS OF GENERAL APPLICATION</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 xml:space="preserve">SECTION 101. </w:t>
      </w:r>
      <w:r>
        <w:rPr>
          <w:rFonts w:ascii="Arial" w:cs="Arial" w:eastAsia="Arial" w:hAnsi="Arial"/>
          <w:sz w:val="17"/>
          <w:szCs w:val="17"/>
          <w:i w:val="1"/>
          <w:iCs w:val="1"/>
          <w:color w:val="auto"/>
        </w:rPr>
        <w:t>Definitions</w:t>
      </w:r>
      <w:r>
        <w:rPr>
          <w:rFonts w:ascii="Arial" w:cs="Arial" w:eastAsia="Arial" w:hAnsi="Arial"/>
          <w:sz w:val="17"/>
          <w:szCs w:val="17"/>
          <w:color w:val="auto"/>
        </w:rPr>
        <w:t>. For all purposes of this Indenture, except as otherwise expressly provided or unless the context otherwise</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requires;</w:t>
      </w:r>
    </w:p>
    <w:p>
      <w:pPr>
        <w:spacing w:after="0" w:line="225" w:lineRule="exact"/>
        <w:rPr>
          <w:sz w:val="20"/>
          <w:szCs w:val="20"/>
          <w:color w:val="auto"/>
        </w:rPr>
      </w:pPr>
    </w:p>
    <w:p>
      <w:pPr>
        <w:ind w:left="1520" w:hanging="215"/>
        <w:spacing w:after="0"/>
        <w:tabs>
          <w:tab w:leader="none" w:pos="15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terms defined in this Article have the meanings assigned to them in this Article and include the plural as well as the singular;</w:t>
      </w:r>
    </w:p>
    <w:p>
      <w:pPr>
        <w:spacing w:after="0" w:line="277" w:lineRule="exact"/>
        <w:rPr>
          <w:rFonts w:ascii="Arial" w:cs="Arial" w:eastAsia="Arial" w:hAnsi="Arial"/>
          <w:sz w:val="17"/>
          <w:szCs w:val="17"/>
          <w:color w:val="auto"/>
        </w:rPr>
      </w:pPr>
    </w:p>
    <w:p>
      <w:pPr>
        <w:ind w:left="1520" w:hanging="215"/>
        <w:spacing w:after="0"/>
        <w:tabs>
          <w:tab w:leader="none" w:pos="15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all other terms used herein that are defined in the Trust Indenture Act, either directly or by reference therein, have the meanings assigned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to them therein;</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(3) all accounting terms not otherwise defined herein have the meanings assigned to them in accordance with generally accepted accounting</w:t>
      </w:r>
    </w:p>
    <w:p>
      <w:pPr>
        <w:spacing w:after="0" w:line="73"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principles, and, except as otherwise herein expressly provided, the term “</w:t>
      </w:r>
      <w:r>
        <w:rPr>
          <w:rFonts w:ascii="Arial" w:cs="Arial" w:eastAsia="Arial" w:hAnsi="Arial"/>
          <w:sz w:val="18"/>
          <w:szCs w:val="18"/>
          <w:b w:val="1"/>
          <w:bCs w:val="1"/>
          <w:i w:val="1"/>
          <w:iCs w:val="1"/>
          <w:color w:val="auto"/>
        </w:rPr>
        <w:t>generally accepted accounting principles</w:t>
      </w:r>
      <w:r>
        <w:rPr>
          <w:rFonts w:ascii="Arial" w:cs="Arial" w:eastAsia="Arial" w:hAnsi="Arial"/>
          <w:sz w:val="18"/>
          <w:szCs w:val="18"/>
          <w:color w:val="auto"/>
        </w:rPr>
        <w:t>” with respect to any computation required or permitted hereunder shall mean such accounting principles as are generally accepted in the United States at the date of such computation or, at the election of the Company from time to time, at the date of the execution and delivery of this Indenture;</w:t>
      </w:r>
    </w:p>
    <w:p>
      <w:pPr>
        <w:spacing w:after="0" w:line="181" w:lineRule="exact"/>
        <w:rPr>
          <w:sz w:val="20"/>
          <w:szCs w:val="20"/>
          <w:color w:val="auto"/>
        </w:rPr>
      </w:pPr>
    </w:p>
    <w:p>
      <w:pPr>
        <w:ind w:left="1520" w:hanging="215"/>
        <w:spacing w:after="0"/>
        <w:tabs>
          <w:tab w:leader="none" w:pos="15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word “or” is not exclusive; and</w:t>
      </w:r>
    </w:p>
    <w:p>
      <w:pPr>
        <w:spacing w:after="0" w:line="277" w:lineRule="exact"/>
        <w:rPr>
          <w:rFonts w:ascii="Arial" w:cs="Arial" w:eastAsia="Arial" w:hAnsi="Arial"/>
          <w:sz w:val="17"/>
          <w:szCs w:val="17"/>
          <w:color w:val="auto"/>
        </w:rPr>
      </w:pPr>
    </w:p>
    <w:p>
      <w:pPr>
        <w:ind w:right="640" w:firstLine="1305"/>
        <w:spacing w:after="0" w:line="357" w:lineRule="auto"/>
        <w:tabs>
          <w:tab w:leader="none" w:pos="15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words “herein”, “hereof” and “hereunder” and other words of similar import refer to this Indenture as a whole and not to any particular Article, Section or other subdivision.</w:t>
      </w:r>
    </w:p>
    <w:p>
      <w:pPr>
        <w:spacing w:after="0" w:line="10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Certain terms, used principally in Article Six, are defined in that Article.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Act</w:t>
      </w:r>
      <w:r>
        <w:rPr>
          <w:rFonts w:ascii="Arial" w:cs="Arial" w:eastAsia="Arial" w:hAnsi="Arial"/>
          <w:sz w:val="18"/>
          <w:szCs w:val="18"/>
          <w:color w:val="auto"/>
        </w:rPr>
        <w:t>”, when used with respect to any Holder, has the meaning specified in Section 104.</w:t>
      </w:r>
    </w:p>
    <w:p>
      <w:pPr>
        <w:spacing w:after="0" w:line="225" w:lineRule="exact"/>
        <w:rPr>
          <w:sz w:val="20"/>
          <w:szCs w:val="20"/>
          <w:color w:val="auto"/>
        </w:rPr>
      </w:pPr>
    </w:p>
    <w:p>
      <w:pPr>
        <w:ind w:right="60"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of any specified Person means any other Person directly or indirectly controlling or controlled by or under direct or indirect common control with such specified Person. For the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312420</wp:posOffset>
            </wp:positionV>
            <wp:extent cx="72720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40" w:name="page41"/>
    <w:bookmarkEnd w:id="40"/>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Authenticating Agent</w:t>
      </w:r>
      <w:r>
        <w:rPr>
          <w:rFonts w:ascii="Arial" w:cs="Arial" w:eastAsia="Arial" w:hAnsi="Arial"/>
          <w:sz w:val="17"/>
          <w:szCs w:val="17"/>
          <w:color w:val="auto"/>
        </w:rPr>
        <w:t>” means any Person authorized by the Trustee to act on behalf of the Trustee to authenticate Securities.</w:t>
      </w:r>
    </w:p>
    <w:p>
      <w:pPr>
        <w:spacing w:after="0" w:line="237" w:lineRule="exact"/>
        <w:rPr>
          <w:sz w:val="20"/>
          <w:szCs w:val="20"/>
          <w:color w:val="auto"/>
        </w:rPr>
      </w:pPr>
    </w:p>
    <w:p>
      <w:pPr>
        <w:ind w:firstLine="1297"/>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Authorized Newspaper</w:t>
      </w:r>
      <w:r>
        <w:rPr>
          <w:rFonts w:ascii="Arial" w:cs="Arial" w:eastAsia="Arial" w:hAnsi="Arial"/>
          <w:sz w:val="17"/>
          <w:szCs w:val="17"/>
          <w:color w:val="auto"/>
        </w:rPr>
        <w:t>” means a newspaper in an official language of the country of publication or in the English language, customarily published on each Business Day, whether or not published on Saturdays, Sundays or holidays, and of general circulation in the place in connection with which the term is used. Whenever successive publications are required to be made in Authorized Newspapers, the successive publications may be made in the same or in different newspapers in the same city meeting the foregoing requirements and in each case on any Business Day. If it shall be impossible or impractical to make any publication of any notice required by this Indenture in the manner herein provided, any publication or other notice in lieu thereof that is made or given by the Trustee shall constitute a sufficient publication of such notice.</w:t>
      </w:r>
    </w:p>
    <w:p>
      <w:pPr>
        <w:spacing w:after="0" w:line="178" w:lineRule="exact"/>
        <w:rPr>
          <w:sz w:val="20"/>
          <w:szCs w:val="20"/>
          <w:color w:val="auto"/>
        </w:rPr>
      </w:pPr>
    </w:p>
    <w:p>
      <w:pPr>
        <w:ind w:right="20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Authorized Officer</w:t>
      </w:r>
      <w:r>
        <w:rPr>
          <w:rFonts w:ascii="Arial" w:cs="Arial" w:eastAsia="Arial" w:hAnsi="Arial"/>
          <w:sz w:val="18"/>
          <w:szCs w:val="18"/>
          <w:color w:val="auto"/>
        </w:rPr>
        <w:t>” means the Chief Executive Officer, the President, any Vice President (whether or not designated by a number or numbers or word or words added before or after the title “Vice President”), the Chief Financial Officer, the Treasurer, the Secretary, any Assistant Treasurer or any Assistant Secretary of the Company.</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 of Directors</w:t>
      </w:r>
      <w:r>
        <w:rPr>
          <w:rFonts w:ascii="Arial" w:cs="Arial" w:eastAsia="Arial" w:hAnsi="Arial"/>
          <w:sz w:val="18"/>
          <w:szCs w:val="18"/>
          <w:color w:val="auto"/>
        </w:rPr>
        <w:t>” means either the board of directors of the Company or any duly authorized committee of that board.</w:t>
      </w:r>
    </w:p>
    <w:p>
      <w:pPr>
        <w:spacing w:after="0" w:line="225" w:lineRule="exact"/>
        <w:rPr>
          <w:sz w:val="20"/>
          <w:szCs w:val="20"/>
          <w:color w:val="auto"/>
        </w:rPr>
      </w:pPr>
    </w:p>
    <w:p>
      <w:pPr>
        <w:ind w:right="48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 Resolution</w:t>
      </w:r>
      <w:r>
        <w:rPr>
          <w:rFonts w:ascii="Arial" w:cs="Arial" w:eastAsia="Arial" w:hAnsi="Arial"/>
          <w:sz w:val="18"/>
          <w:szCs w:val="18"/>
          <w:color w:val="auto"/>
        </w:rPr>
        <w:t>” when used with reference to the Company means a copy of a resolution certified by the Secretary or an Assistant Secretary of the Company to have been duly adopted by the Board of Directors and to be in full force and effect on the date of such certification, and delivered to the Trustee.</w:t>
      </w:r>
    </w:p>
    <w:p>
      <w:pPr>
        <w:spacing w:after="0" w:line="181" w:lineRule="exact"/>
        <w:rPr>
          <w:sz w:val="20"/>
          <w:szCs w:val="20"/>
          <w:color w:val="auto"/>
        </w:rPr>
      </w:pPr>
    </w:p>
    <w:p>
      <w:pPr>
        <w:ind w:right="40"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Business Day</w:t>
      </w:r>
      <w:r>
        <w:rPr>
          <w:rFonts w:ascii="Arial" w:cs="Arial" w:eastAsia="Arial" w:hAnsi="Arial"/>
          <w:sz w:val="18"/>
          <w:szCs w:val="18"/>
          <w:color w:val="auto"/>
        </w:rPr>
        <w:t>”, when used with respect to any Place of Payment or any other particular location specified in the Securities or this Indenture, means each Monday, Tuesday, Wednesday, Thursday and Friday that is not a day on which banking institutions in that Place of Payment, such other location or the city in which the Corporate Trust Office of the Trustee is located, are authorized or obligated by law to close, except as may be otherwise specified as contemplated by Section 301(b).</w:t>
      </w:r>
    </w:p>
    <w:p>
      <w:pPr>
        <w:spacing w:after="0" w:line="187" w:lineRule="exact"/>
        <w:rPr>
          <w:sz w:val="20"/>
          <w:szCs w:val="20"/>
          <w:color w:val="auto"/>
        </w:rPr>
      </w:pPr>
    </w:p>
    <w:p>
      <w:pPr>
        <w:jc w:val="both"/>
        <w:ind w:right="28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means the Securities and Exchange Commission, as from time to time constituted, created under the Securities Exchange Act of 1934, or, if at any time after the execution of this indenture such Commission is not existing and performing the duties now assigned to it under the Trust Indenture Act, then the body performing such duties at such time.</w:t>
      </w:r>
    </w:p>
    <w:p>
      <w:pPr>
        <w:spacing w:after="0" w:line="181" w:lineRule="exact"/>
        <w:rPr>
          <w:sz w:val="20"/>
          <w:szCs w:val="20"/>
          <w:color w:val="auto"/>
        </w:rPr>
      </w:pPr>
    </w:p>
    <w:p>
      <w:pPr>
        <w:ind w:right="16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means the Person named as the “Company” in the first paragraph of this instrument until a successor Person has become such pursuant to the applicable provisions of this Indenture, and thereafter “Company” shall mean such successor Person.</w:t>
      </w:r>
    </w:p>
    <w:p>
      <w:pPr>
        <w:spacing w:after="0" w:line="170" w:lineRule="exact"/>
        <w:rPr>
          <w:sz w:val="20"/>
          <w:szCs w:val="20"/>
          <w:color w:val="auto"/>
        </w:rPr>
      </w:pPr>
    </w:p>
    <w:p>
      <w:pPr>
        <w:ind w:right="18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Request</w:t>
      </w:r>
      <w:r>
        <w:rPr>
          <w:rFonts w:ascii="Arial" w:cs="Arial" w:eastAsia="Arial" w:hAnsi="Arial"/>
          <w:sz w:val="18"/>
          <w:szCs w:val="18"/>
          <w:color w:val="auto"/>
        </w:rPr>
        <w:t>” or “</w:t>
      </w:r>
      <w:r>
        <w:rPr>
          <w:rFonts w:ascii="Arial" w:cs="Arial" w:eastAsia="Arial" w:hAnsi="Arial"/>
          <w:sz w:val="18"/>
          <w:szCs w:val="18"/>
          <w:b w:val="1"/>
          <w:bCs w:val="1"/>
          <w:i w:val="1"/>
          <w:iCs w:val="1"/>
          <w:color w:val="auto"/>
        </w:rPr>
        <w:t>Company Order</w:t>
      </w:r>
      <w:r>
        <w:rPr>
          <w:rFonts w:ascii="Arial" w:cs="Arial" w:eastAsia="Arial" w:hAnsi="Arial"/>
          <w:sz w:val="18"/>
          <w:szCs w:val="18"/>
          <w:color w:val="auto"/>
        </w:rPr>
        <w:t>” means a written request or order signed in the name of the Company by an Authorized Officer and delivered to the Trustee.</w:t>
      </w:r>
    </w:p>
    <w:p>
      <w:pPr>
        <w:spacing w:after="0" w:line="170" w:lineRule="exact"/>
        <w:rPr>
          <w:sz w:val="20"/>
          <w:szCs w:val="20"/>
          <w:color w:val="auto"/>
        </w:rPr>
      </w:pPr>
    </w:p>
    <w:p>
      <w:pPr>
        <w:ind w:right="38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Corporate Trust Office</w:t>
      </w:r>
      <w:r>
        <w:rPr>
          <w:rFonts w:ascii="Arial" w:cs="Arial" w:eastAsia="Arial" w:hAnsi="Arial"/>
          <w:sz w:val="18"/>
          <w:szCs w:val="18"/>
          <w:color w:val="auto"/>
        </w:rPr>
        <w:t>” means the office of the Trustee at which at any particular time its corporate trust business shall be principally administered and which at the date hereof is located at •.</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corporation</w:t>
      </w:r>
      <w:r>
        <w:rPr>
          <w:rFonts w:ascii="Arial" w:cs="Arial" w:eastAsia="Arial" w:hAnsi="Arial"/>
          <w:sz w:val="18"/>
          <w:szCs w:val="18"/>
          <w:color w:val="auto"/>
        </w:rPr>
        <w:t>” means a corporation, association, joint stock company, limited liability company or business trust.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Defaulted Interest</w:t>
      </w:r>
      <w:r>
        <w:rPr>
          <w:rFonts w:ascii="Arial" w:cs="Arial" w:eastAsia="Arial" w:hAnsi="Arial"/>
          <w:sz w:val="18"/>
          <w:szCs w:val="18"/>
          <w:color w:val="auto"/>
        </w:rPr>
        <w:t>” has the meaning specified in Section 307.</w:t>
      </w:r>
    </w:p>
    <w:p>
      <w:pPr>
        <w:spacing w:after="0" w:line="225" w:lineRule="exact"/>
        <w:rPr>
          <w:sz w:val="20"/>
          <w:szCs w:val="20"/>
          <w:color w:val="auto"/>
        </w:rPr>
      </w:pPr>
    </w:p>
    <w:p>
      <w:pPr>
        <w:ind w:right="20" w:firstLine="1297"/>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Depositary</w:t>
      </w:r>
      <w:r>
        <w:rPr>
          <w:rFonts w:ascii="Arial" w:cs="Arial" w:eastAsia="Arial" w:hAnsi="Arial"/>
          <w:sz w:val="16"/>
          <w:szCs w:val="16"/>
          <w:color w:val="auto"/>
        </w:rPr>
        <w:t>” means, with respect to the Securities of any series issuable or issued in the form of a Global Security, the Person designated as Depositary by the Company in Section 301(b) until a successor Depositary shall have become such pursuant to the applicable provisions of this Indenture, and thereafter “Depositary” shall mean or include each Person who is then a Depositary hereunder, and if at any time there is more than one such</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720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1" w:name="page42"/>
    <w:bookmarkEnd w:id="41"/>
    <w:p>
      <w:pPr>
        <w:spacing w:after="0"/>
        <w:rPr>
          <w:sz w:val="20"/>
          <w:szCs w:val="20"/>
          <w:color w:val="auto"/>
        </w:rPr>
      </w:pPr>
      <w:r>
        <w:rPr>
          <w:rFonts w:ascii="Arial" w:cs="Arial" w:eastAsia="Arial" w:hAnsi="Arial"/>
          <w:sz w:val="17"/>
          <w:szCs w:val="17"/>
          <w:color w:val="auto"/>
        </w:rPr>
        <w:t>Person, “Depositary” as used with respect to the Securities of any such series shall mean the Depositary with respect to the Securities of that series.</w:t>
      </w:r>
    </w:p>
    <w:p>
      <w:pPr>
        <w:spacing w:after="0" w:line="237" w:lineRule="exact"/>
        <w:rPr>
          <w:sz w:val="20"/>
          <w:szCs w:val="20"/>
          <w:color w:val="auto"/>
        </w:rPr>
      </w:pPr>
    </w:p>
    <w:p>
      <w:pPr>
        <w:ind w:right="14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Dollar</w:t>
      </w:r>
      <w:r>
        <w:rPr>
          <w:rFonts w:ascii="Arial" w:cs="Arial" w:eastAsia="Arial" w:hAnsi="Arial"/>
          <w:sz w:val="18"/>
          <w:szCs w:val="18"/>
          <w:color w:val="auto"/>
        </w:rPr>
        <w:t>” or “</w:t>
      </w:r>
      <w:r>
        <w:rPr>
          <w:rFonts w:ascii="Arial" w:cs="Arial" w:eastAsia="Arial" w:hAnsi="Arial"/>
          <w:sz w:val="18"/>
          <w:szCs w:val="18"/>
          <w:b w:val="1"/>
          <w:bCs w:val="1"/>
          <w:i w:val="1"/>
          <w:iCs w:val="1"/>
          <w:color w:val="auto"/>
        </w:rPr>
        <w:t>$</w:t>
      </w:r>
      <w:r>
        <w:rPr>
          <w:rFonts w:ascii="Arial" w:cs="Arial" w:eastAsia="Arial" w:hAnsi="Arial"/>
          <w:sz w:val="18"/>
          <w:szCs w:val="18"/>
          <w:color w:val="auto"/>
        </w:rPr>
        <w:t>” means a dollar or other equivalent unit in such coin or currency of the United States of America that is legal tender for the payment of public and private debts at the time of payment.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Eligible Obligations</w:t>
      </w:r>
      <w:r>
        <w:rPr>
          <w:rFonts w:ascii="Arial" w:cs="Arial" w:eastAsia="Arial" w:hAnsi="Arial"/>
          <w:sz w:val="18"/>
          <w:szCs w:val="18"/>
          <w:color w:val="auto"/>
        </w:rPr>
        <w:t>” means:</w:t>
      </w:r>
    </w:p>
    <w:p>
      <w:pPr>
        <w:spacing w:after="0" w:line="225" w:lineRule="exact"/>
        <w:rPr>
          <w:sz w:val="20"/>
          <w:szCs w:val="20"/>
          <w:color w:val="auto"/>
        </w:rPr>
      </w:pPr>
    </w:p>
    <w:p>
      <w:pPr>
        <w:ind w:left="1540" w:hanging="235"/>
        <w:spacing w:after="0"/>
        <w:tabs>
          <w:tab w:leader="none" w:pos="1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with respect to Securities denominated in Dollars, U.S. Government Obligations; or</w:t>
      </w:r>
    </w:p>
    <w:p>
      <w:pPr>
        <w:spacing w:after="0" w:line="225" w:lineRule="exact"/>
        <w:rPr>
          <w:rFonts w:ascii="Arial" w:cs="Arial" w:eastAsia="Arial" w:hAnsi="Arial"/>
          <w:sz w:val="18"/>
          <w:szCs w:val="18"/>
          <w:color w:val="auto"/>
        </w:rPr>
      </w:pPr>
    </w:p>
    <w:p>
      <w:pPr>
        <w:ind w:firstLine="1305"/>
        <w:spacing w:after="0" w:line="277" w:lineRule="auto"/>
        <w:tabs>
          <w:tab w:leader="none" w:pos="1551" w:val="left"/>
        </w:tabs>
        <w:numPr>
          <w:ilvl w:val="0"/>
          <w:numId w:val="34"/>
        </w:numPr>
        <w:rPr>
          <w:rFonts w:ascii="Arial" w:cs="Arial" w:eastAsia="Arial" w:hAnsi="Arial"/>
          <w:sz w:val="18"/>
          <w:szCs w:val="18"/>
          <w:color w:val="auto"/>
        </w:rPr>
      </w:pPr>
      <w:r>
        <w:rPr>
          <w:rFonts w:ascii="Arial" w:cs="Arial" w:eastAsia="Arial" w:hAnsi="Arial"/>
          <w:sz w:val="18"/>
          <w:szCs w:val="18"/>
          <w:color w:val="auto"/>
        </w:rPr>
        <w:t>with respect to Securities denominated in a currency other than Dollars or in a composite currency, such other obligations or instruments as shall be specified with respect to such Securities, as contemplated by Section 301(b).</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Event of Default</w:t>
      </w:r>
      <w:r>
        <w:rPr>
          <w:rFonts w:ascii="Arial" w:cs="Arial" w:eastAsia="Arial" w:hAnsi="Arial"/>
          <w:sz w:val="18"/>
          <w:szCs w:val="18"/>
          <w:color w:val="auto"/>
        </w:rPr>
        <w:t>” has the meaning specified in Section 501.</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Global Security</w:t>
      </w:r>
      <w:r>
        <w:rPr>
          <w:rFonts w:ascii="Arial" w:cs="Arial" w:eastAsia="Arial" w:hAnsi="Arial"/>
          <w:sz w:val="17"/>
          <w:szCs w:val="17"/>
          <w:color w:val="auto"/>
        </w:rPr>
        <w:t>” means a Security, if any, issued to evidence all or a part of a series of Securities in accordance with Section 301.</w:t>
      </w:r>
    </w:p>
    <w:p>
      <w:pPr>
        <w:spacing w:after="0" w:line="237" w:lineRule="exact"/>
        <w:rPr>
          <w:sz w:val="20"/>
          <w:szCs w:val="20"/>
          <w:color w:val="auto"/>
        </w:rPr>
      </w:pPr>
    </w:p>
    <w:p>
      <w:pPr>
        <w:ind w:right="18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Hedging Obligations</w:t>
      </w:r>
      <w:r>
        <w:rPr>
          <w:rFonts w:ascii="Arial" w:cs="Arial" w:eastAsia="Arial" w:hAnsi="Arial"/>
          <w:sz w:val="18"/>
          <w:szCs w:val="18"/>
          <w:color w:val="auto"/>
        </w:rPr>
        <w:t>” means, with respect to any Person, the obligations of such Person under (i) interest rate swap agreements, interest rate cap agreements and interest rate collar agreements and (ii) other agreements or arrangements designed to protect such Person against fluctuations in interest rates.</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Holder</w:t>
      </w:r>
      <w:r>
        <w:rPr>
          <w:rFonts w:ascii="Arial" w:cs="Arial" w:eastAsia="Arial" w:hAnsi="Arial"/>
          <w:sz w:val="18"/>
          <w:szCs w:val="18"/>
          <w:color w:val="auto"/>
        </w:rPr>
        <w:t>” means, with respect to a Security, a Person in whose name such Security is registered in the Security Register.</w:t>
      </w:r>
    </w:p>
    <w:p>
      <w:pPr>
        <w:spacing w:after="0" w:line="225" w:lineRule="exact"/>
        <w:rPr>
          <w:sz w:val="20"/>
          <w:szCs w:val="20"/>
          <w:color w:val="auto"/>
        </w:rPr>
      </w:pPr>
    </w:p>
    <w:p>
      <w:pPr>
        <w:ind w:right="4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Indenture</w:t>
      </w:r>
      <w:r>
        <w:rPr>
          <w:rFonts w:ascii="Arial" w:cs="Arial" w:eastAsia="Arial" w:hAnsi="Arial"/>
          <w:sz w:val="18"/>
          <w:szCs w:val="18"/>
          <w:color w:val="auto"/>
        </w:rPr>
        <w:t>” means this instrument as originally executed and as it may from time to time be supplemented or amended by one or more indentures supplemental hereto entered into pursuant to the applicable provisions hereof and shall include the form and terms of particular series of Securities established as contemplated by Section 301.</w:t>
      </w:r>
    </w:p>
    <w:p>
      <w:pPr>
        <w:spacing w:after="0" w:line="181" w:lineRule="exact"/>
        <w:rPr>
          <w:sz w:val="20"/>
          <w:szCs w:val="20"/>
          <w:color w:val="auto"/>
        </w:rPr>
      </w:pPr>
    </w:p>
    <w:p>
      <w:pPr>
        <w:ind w:right="8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Indexed Security</w:t>
      </w:r>
      <w:r>
        <w:rPr>
          <w:rFonts w:ascii="Arial" w:cs="Arial" w:eastAsia="Arial" w:hAnsi="Arial"/>
          <w:sz w:val="18"/>
          <w:szCs w:val="18"/>
          <w:color w:val="auto"/>
        </w:rPr>
        <w:t>” means a Security the terms of which provide that the principal amount thereof payable at Stated Maturity may be more or less than the principal face amount thereof at original issuance.</w:t>
      </w:r>
    </w:p>
    <w:p>
      <w:pPr>
        <w:spacing w:after="0" w:line="170" w:lineRule="exact"/>
        <w:rPr>
          <w:sz w:val="20"/>
          <w:szCs w:val="20"/>
          <w:color w:val="auto"/>
        </w:rPr>
      </w:pPr>
    </w:p>
    <w:p>
      <w:pPr>
        <w:ind w:right="8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interest</w:t>
      </w:r>
      <w:r>
        <w:rPr>
          <w:rFonts w:ascii="Arial" w:cs="Arial" w:eastAsia="Arial" w:hAnsi="Arial"/>
          <w:sz w:val="18"/>
          <w:szCs w:val="18"/>
          <w:color w:val="auto"/>
        </w:rPr>
        <w:t>”, when used with respect to an Original Issue Discount Security that by its terms bears interest only after Maturity, means interest payable after Maturity.</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Interest Payment Date</w:t>
      </w:r>
      <w:r>
        <w:rPr>
          <w:rFonts w:ascii="Arial" w:cs="Arial" w:eastAsia="Arial" w:hAnsi="Arial"/>
          <w:sz w:val="16"/>
          <w:szCs w:val="16"/>
          <w:color w:val="auto"/>
        </w:rPr>
        <w:t>”, when used with respect to any Security, means the Stated Maturity of an installment of interest on such Security.</w:t>
      </w:r>
    </w:p>
    <w:p>
      <w:pPr>
        <w:spacing w:after="0" w:line="248" w:lineRule="exact"/>
        <w:rPr>
          <w:sz w:val="20"/>
          <w:szCs w:val="20"/>
          <w:color w:val="auto"/>
        </w:rPr>
      </w:pPr>
    </w:p>
    <w:p>
      <w:pPr>
        <w:ind w:right="4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Maturity</w:t>
      </w:r>
      <w:r>
        <w:rPr>
          <w:rFonts w:ascii="Arial" w:cs="Arial" w:eastAsia="Arial" w:hAnsi="Arial"/>
          <w:sz w:val="18"/>
          <w:szCs w:val="18"/>
          <w:color w:val="auto"/>
        </w:rPr>
        <w:t>”, when used with respect to any Security, means the date on which the principal of such Security or an installment of principal becomes due and payable as therein or herein provided, whether at the Stated Maturity or by declaration of acceleration, upon call for redemption, exercise of repayment option or otherwise.</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Officer’s Certificate</w:t>
      </w:r>
      <w:r>
        <w:rPr>
          <w:rFonts w:ascii="Arial" w:cs="Arial" w:eastAsia="Arial" w:hAnsi="Arial"/>
          <w:sz w:val="18"/>
          <w:szCs w:val="18"/>
          <w:color w:val="auto"/>
        </w:rPr>
        <w:t>” means a certificate signed by an Authorized Officer and delivered to the Trustee.</w:t>
      </w:r>
    </w:p>
    <w:p>
      <w:pPr>
        <w:spacing w:after="0" w:line="225" w:lineRule="exact"/>
        <w:rPr>
          <w:sz w:val="20"/>
          <w:szCs w:val="20"/>
          <w:color w:val="auto"/>
        </w:rPr>
      </w:pPr>
    </w:p>
    <w:p>
      <w:pPr>
        <w:ind w:right="1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Opinion of Counsel</w:t>
      </w:r>
      <w:r>
        <w:rPr>
          <w:rFonts w:ascii="Arial" w:cs="Arial" w:eastAsia="Arial" w:hAnsi="Arial"/>
          <w:sz w:val="18"/>
          <w:szCs w:val="18"/>
          <w:color w:val="auto"/>
        </w:rPr>
        <w:t>” means a written opinion of counsel, who may be an employee of, or counsel for, the Company or an Affiliate of the Company, and who shall be reasonably acceptable to the Trustee.</w:t>
      </w:r>
    </w:p>
    <w:p>
      <w:pPr>
        <w:spacing w:after="0" w:line="170" w:lineRule="exact"/>
        <w:rPr>
          <w:sz w:val="20"/>
          <w:szCs w:val="20"/>
          <w:color w:val="auto"/>
        </w:rPr>
      </w:pPr>
    </w:p>
    <w:p>
      <w:pPr>
        <w:ind w:right="240" w:firstLine="1297"/>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Original Issue Discount Security</w:t>
      </w:r>
      <w:r>
        <w:rPr>
          <w:rFonts w:ascii="Arial" w:cs="Arial" w:eastAsia="Arial" w:hAnsi="Arial"/>
          <w:sz w:val="18"/>
          <w:szCs w:val="18"/>
          <w:color w:val="auto"/>
        </w:rPr>
        <w:t>” means any Security that provides for an amount less than the principal amount thereof to be due and payable upon a declaration of acceleration of the Maturity thereof pursuant to Section 502.</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2720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42" w:name="page43"/>
    <w:bookmarkEnd w:id="42"/>
    <w:p>
      <w:pPr>
        <w:ind w:right="66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Outstanding</w:t>
      </w:r>
      <w:r>
        <w:rPr>
          <w:rFonts w:ascii="Arial" w:cs="Arial" w:eastAsia="Arial" w:hAnsi="Arial"/>
          <w:sz w:val="18"/>
          <w:szCs w:val="18"/>
          <w:color w:val="auto"/>
        </w:rPr>
        <w:t xml:space="preserve">”, when used with respect to Securities of any series, means, as of the date of determination, all Securities theretofore authenticated and delivered under this Indenture, </w:t>
      </w:r>
      <w:r>
        <w:rPr>
          <w:rFonts w:ascii="Arial" w:cs="Arial" w:eastAsia="Arial" w:hAnsi="Arial"/>
          <w:sz w:val="18"/>
          <w:szCs w:val="18"/>
          <w:i w:val="1"/>
          <w:iCs w:val="1"/>
          <w:color w:val="auto"/>
        </w:rPr>
        <w:t>except</w:t>
      </w:r>
      <w:r>
        <w:rPr>
          <w:rFonts w:ascii="Arial" w:cs="Arial" w:eastAsia="Arial" w:hAnsi="Arial"/>
          <w:sz w:val="18"/>
          <w:szCs w:val="18"/>
          <w:color w:val="auto"/>
        </w:rPr>
        <w:t>:</w:t>
      </w:r>
    </w:p>
    <w:p>
      <w:pPr>
        <w:spacing w:after="0" w:line="170" w:lineRule="exact"/>
        <w:rPr>
          <w:sz w:val="20"/>
          <w:szCs w:val="20"/>
          <w:color w:val="auto"/>
        </w:rPr>
      </w:pPr>
    </w:p>
    <w:p>
      <w:pPr>
        <w:ind w:left="1520" w:hanging="215"/>
        <w:spacing w:after="0"/>
        <w:tabs>
          <w:tab w:leader="none" w:pos="15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Securities theretofore cancelled by the Trustee or delivered to the Trustee for cancellation;</w:t>
      </w:r>
    </w:p>
    <w:p>
      <w:pPr>
        <w:spacing w:after="0" w:line="277" w:lineRule="exact"/>
        <w:rPr>
          <w:rFonts w:ascii="Arial" w:cs="Arial" w:eastAsia="Arial" w:hAnsi="Arial"/>
          <w:sz w:val="17"/>
          <w:szCs w:val="17"/>
          <w:color w:val="auto"/>
        </w:rPr>
      </w:pPr>
    </w:p>
    <w:p>
      <w:pPr>
        <w:ind w:left="1520" w:hanging="215"/>
        <w:spacing w:after="0"/>
        <w:tabs>
          <w:tab w:leader="none" w:pos="15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Securities or portions thereof for whose payment or redemption money or Eligible Obligations (or any combination of money and</w:t>
      </w:r>
    </w:p>
    <w:p>
      <w:pPr>
        <w:spacing w:after="0" w:line="61" w:lineRule="exact"/>
        <w:rPr>
          <w:sz w:val="20"/>
          <w:szCs w:val="20"/>
          <w:color w:val="auto"/>
        </w:rPr>
      </w:pPr>
    </w:p>
    <w:p>
      <w:pPr>
        <w:ind w:left="660" w:right="40"/>
        <w:spacing w:after="0" w:line="257" w:lineRule="auto"/>
        <w:rPr>
          <w:sz w:val="20"/>
          <w:szCs w:val="20"/>
          <w:color w:val="auto"/>
        </w:rPr>
      </w:pPr>
      <w:r>
        <w:rPr>
          <w:rFonts w:ascii="Arial" w:cs="Arial" w:eastAsia="Arial" w:hAnsi="Arial"/>
          <w:sz w:val="18"/>
          <w:szCs w:val="18"/>
          <w:color w:val="auto"/>
        </w:rPr>
        <w:t xml:space="preserve">Eligible Obligations) in the necessary amount has been theretofore deposited with the Trustee or any Paying Agent (other than the Company or any other obligor on such Security) in trust or set aside and segregated in trust by the Company or any other obligor on such Security (if the Company or any other obligor on such Security acts as its own Paying Agent) for the Holders of such Securities;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if such Securities, or portions thereof, are to be redeemed prior to the Stated Maturity thereof, notice of such redemption has been duly given pursuant to this Indenture or provision therefor satisfactory to the Trustee has been made;</w:t>
      </w:r>
    </w:p>
    <w:p>
      <w:pPr>
        <w:spacing w:after="0" w:line="188" w:lineRule="exact"/>
        <w:rPr>
          <w:sz w:val="20"/>
          <w:szCs w:val="20"/>
          <w:color w:val="auto"/>
        </w:rPr>
      </w:pPr>
    </w:p>
    <w:p>
      <w:pPr>
        <w:ind w:left="1520" w:hanging="215"/>
        <w:spacing w:after="0"/>
        <w:tabs>
          <w:tab w:leader="none" w:pos="1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Securities as to which the Company has effected defeasance as provided in Section 402;</w:t>
      </w:r>
    </w:p>
    <w:p>
      <w:pPr>
        <w:spacing w:after="0" w:line="265" w:lineRule="exact"/>
        <w:rPr>
          <w:rFonts w:ascii="Arial" w:cs="Arial" w:eastAsia="Arial" w:hAnsi="Arial"/>
          <w:sz w:val="18"/>
          <w:szCs w:val="18"/>
          <w:color w:val="auto"/>
        </w:rPr>
      </w:pPr>
    </w:p>
    <w:p>
      <w:pPr>
        <w:ind w:left="1520" w:hanging="215"/>
        <w:spacing w:after="0"/>
        <w:tabs>
          <w:tab w:leader="none" w:pos="15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Securities that have been paid pursuant to Section 306 or in exchange for or in lieu of which other Securities have been authenticated and</w:t>
      </w:r>
    </w:p>
    <w:p>
      <w:pPr>
        <w:spacing w:after="0" w:line="73" w:lineRule="exact"/>
        <w:rPr>
          <w:sz w:val="20"/>
          <w:szCs w:val="20"/>
          <w:color w:val="auto"/>
        </w:rPr>
      </w:pPr>
    </w:p>
    <w:p>
      <w:pPr>
        <w:ind w:left="660" w:right="80"/>
        <w:spacing w:after="0" w:line="342" w:lineRule="auto"/>
        <w:rPr>
          <w:sz w:val="20"/>
          <w:szCs w:val="20"/>
          <w:color w:val="auto"/>
        </w:rPr>
      </w:pPr>
      <w:r>
        <w:rPr>
          <w:rFonts w:ascii="Arial" w:cs="Arial" w:eastAsia="Arial" w:hAnsi="Arial"/>
          <w:sz w:val="16"/>
          <w:szCs w:val="16"/>
          <w:color w:val="auto"/>
        </w:rPr>
        <w:t>delivered pursuant to this Indenture, other than any such Securities in respect of which there have been presented to the Trustee proof satisfactory to it and the Company that such Securities are held by a bona fide purchaser in whose hands such Securities are valid obligations of the Company;</w:t>
      </w:r>
    </w:p>
    <w:p>
      <w:pPr>
        <w:spacing w:after="0" w:line="12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in determining whether the Holders of the requisite principal amount of the Outstanding Securities have given, made or taken any</w:t>
      </w:r>
      <w:r>
        <w:rPr>
          <w:rFonts w:ascii="Arial" w:cs="Arial" w:eastAsia="Arial" w:hAnsi="Arial"/>
          <w:sz w:val="18"/>
          <w:szCs w:val="18"/>
          <w:i w:val="1"/>
          <w:iCs w:val="1"/>
          <w:color w:val="auto"/>
        </w:rPr>
        <w:t xml:space="preserve"> </w:t>
      </w:r>
      <w:r>
        <w:rPr>
          <w:rFonts w:ascii="Arial" w:cs="Arial" w:eastAsia="Arial" w:hAnsi="Arial"/>
          <w:sz w:val="18"/>
          <w:szCs w:val="18"/>
          <w:color w:val="auto"/>
        </w:rPr>
        <w:t>request, demand, authorization, direction, notice, consent, waiver or other action hereunder,</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(i) Securities owned by the Company or any other obligor upon the Securities or any Affiliate of the Company or of such other obligor</w:t>
      </w:r>
    </w:p>
    <w:p>
      <w:pPr>
        <w:spacing w:after="0" w:line="61" w:lineRule="exact"/>
        <w:rPr>
          <w:sz w:val="20"/>
          <w:szCs w:val="20"/>
          <w:color w:val="auto"/>
        </w:rPr>
      </w:pPr>
    </w:p>
    <w:p>
      <w:pPr>
        <w:ind w:left="660" w:right="40"/>
        <w:spacing w:after="0" w:line="291" w:lineRule="auto"/>
        <w:rPr>
          <w:sz w:val="20"/>
          <w:szCs w:val="20"/>
          <w:color w:val="auto"/>
        </w:rPr>
      </w:pPr>
      <w:r>
        <w:rPr>
          <w:rFonts w:ascii="Arial" w:cs="Arial" w:eastAsia="Arial" w:hAnsi="Arial"/>
          <w:sz w:val="16"/>
          <w:szCs w:val="16"/>
          <w:color w:val="auto"/>
        </w:rPr>
        <w:t>(unless the Company, such Affiliate or such obligor owns (x) all Securities Outstanding under this Indenture or (y) except for the purposes of actions to be taken by Holders of more than one series or Tranche voting as a class, all Outstanding Securities of each such series and each such Tranche, as the case may be, determined without regard to this clause) shall be disregarded and deemed not to be Outstanding, except that, in determining whether the Trustee shall be protected in relying upon any such request, demand, authorization, direction, notice, consent or waiver, only Securities that the Trustee knows to be so owned shall be so disregarded. Securities so owned that have been pledged in good faith may be regarded as Outstanding if the pledgee establishes to the satisfaction of the Trustee the pledgee’s right so to act with respect to such Securities and that the pledgee is not the Company or any other obligor upon the Securities or any Affiliate of the Company or of such other obligor;</w:t>
      </w:r>
    </w:p>
    <w:p>
      <w:pPr>
        <w:spacing w:after="0" w:line="167"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(ii) in determining whether the Holders of the requisite principal amount of Securities of any series or Tranche have concurred in any</w:t>
      </w:r>
    </w:p>
    <w:p>
      <w:pPr>
        <w:spacing w:after="0" w:line="61"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direction, waiver or consent, the principal amount of Original Issue Discount Securities that shall be deemed to be outstanding shall be the amount of the principal thereof that would be due and payable as of the date of such determination upon acceleration of the maturity thereof pursuant to Section 502;</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(iii) in the case of any Security the principal of that is payable from time to time without presentment or surrender, the principal amount of</w:t>
      </w:r>
    </w:p>
    <w:p>
      <w:pPr>
        <w:spacing w:after="0" w:line="73" w:lineRule="exact"/>
        <w:rPr>
          <w:sz w:val="20"/>
          <w:szCs w:val="20"/>
          <w:color w:val="auto"/>
        </w:rPr>
      </w:pPr>
    </w:p>
    <w:p>
      <w:pPr>
        <w:ind w:left="660" w:right="80"/>
        <w:spacing w:after="0" w:line="277" w:lineRule="auto"/>
        <w:rPr>
          <w:sz w:val="20"/>
          <w:szCs w:val="20"/>
          <w:color w:val="auto"/>
        </w:rPr>
      </w:pPr>
      <w:r>
        <w:rPr>
          <w:rFonts w:ascii="Arial" w:cs="Arial" w:eastAsia="Arial" w:hAnsi="Arial"/>
          <w:sz w:val="18"/>
          <w:szCs w:val="18"/>
          <w:color w:val="auto"/>
        </w:rPr>
        <w:t>such Security that shall be deemed to be Outstanding at any time for all purposes of this Indenture shall be the original principal amount thereof less the aggregate amount of principal thereof theretofore paid; and</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(iv) in the case of Securities having been denominated in a currency other than Dollars and remaining outstanding contemporaneously with</w:t>
      </w:r>
    </w:p>
    <w:p>
      <w:pPr>
        <w:spacing w:after="0" w:line="73" w:lineRule="exact"/>
        <w:rPr>
          <w:sz w:val="20"/>
          <w:szCs w:val="20"/>
          <w:color w:val="auto"/>
        </w:rPr>
      </w:pPr>
    </w:p>
    <w:p>
      <w:pPr>
        <w:ind w:left="660" w:right="500"/>
        <w:spacing w:after="0" w:line="308" w:lineRule="auto"/>
        <w:rPr>
          <w:sz w:val="20"/>
          <w:szCs w:val="20"/>
          <w:color w:val="auto"/>
        </w:rPr>
      </w:pPr>
      <w:r>
        <w:rPr>
          <w:rFonts w:ascii="Arial" w:cs="Arial" w:eastAsia="Arial" w:hAnsi="Arial"/>
          <w:sz w:val="17"/>
          <w:szCs w:val="17"/>
          <w:color w:val="auto"/>
        </w:rPr>
        <w:t>Securities denominated in Dollars, the principal amount of any Security that is denominated in a currency other than Dollars or in a composite currency that shall be deemed to be Outstanding for such purposes shall be determined as contemplated by Section 301(b).</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720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43" w:name="page44"/>
    <w:bookmarkEnd w:id="43"/>
    <w:p>
      <w:pPr>
        <w:ind w:right="30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Paying Agent</w:t>
      </w:r>
      <w:r>
        <w:rPr>
          <w:rFonts w:ascii="Arial" w:cs="Arial" w:eastAsia="Arial" w:hAnsi="Arial"/>
          <w:sz w:val="18"/>
          <w:szCs w:val="18"/>
          <w:color w:val="auto"/>
        </w:rPr>
        <w:t>” means any Person, including the Company, authorized by the Company to pay the principal of (and premium, if any) or interest on any Securities on behalf of the Company.</w:t>
      </w:r>
    </w:p>
    <w:p>
      <w:pPr>
        <w:spacing w:after="0" w:line="170" w:lineRule="exact"/>
        <w:rPr>
          <w:sz w:val="20"/>
          <w:szCs w:val="20"/>
          <w:color w:val="auto"/>
        </w:rPr>
      </w:pPr>
    </w:p>
    <w:p>
      <w:pPr>
        <w:ind w:right="200"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Periodic Offering</w:t>
      </w:r>
      <w:r>
        <w:rPr>
          <w:rFonts w:ascii="Arial" w:cs="Arial" w:eastAsia="Arial" w:hAnsi="Arial"/>
          <w:sz w:val="18"/>
          <w:szCs w:val="18"/>
          <w:color w:val="auto"/>
        </w:rPr>
        <w:t>” means an offering of Securities of a series from time to time any or all of the specific terms of which Securities, including without limitation the rate or rates of interest, if any, thereon, the Stated Maturity or Maturities thereof and the redemption provisions, if any, with respect thereto, are to be determined by the Company or its agents from time to time subsequent to the initial request for the authentication and delivery of such Securities by the Trustee, all as contemplated in Sections 301 and 303.</w:t>
      </w:r>
    </w:p>
    <w:p>
      <w:pPr>
        <w:spacing w:after="0" w:line="187" w:lineRule="exact"/>
        <w:rPr>
          <w:sz w:val="20"/>
          <w:szCs w:val="20"/>
          <w:color w:val="auto"/>
        </w:rPr>
      </w:pPr>
    </w:p>
    <w:p>
      <w:pPr>
        <w:ind w:right="14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means any individual, corporation, partnership, joint venture, trust, unincorporated organization or government or any agency or political subdivision thereof.</w:t>
      </w:r>
    </w:p>
    <w:p>
      <w:pPr>
        <w:spacing w:after="0" w:line="170" w:lineRule="exact"/>
        <w:rPr>
          <w:sz w:val="20"/>
          <w:szCs w:val="20"/>
          <w:color w:val="auto"/>
        </w:rPr>
      </w:pPr>
    </w:p>
    <w:p>
      <w:pPr>
        <w:ind w:right="160" w:firstLine="1297"/>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Place of Payment</w:t>
      </w:r>
      <w:r>
        <w:rPr>
          <w:rFonts w:ascii="Arial" w:cs="Arial" w:eastAsia="Arial" w:hAnsi="Arial"/>
          <w:sz w:val="16"/>
          <w:szCs w:val="16"/>
          <w:color w:val="auto"/>
        </w:rPr>
        <w:t>”, when used with respect to the Securities of any series, or any Tranche thereof, means the place or places where the principal of (and premium, if any) and interest, if any, on the Securities of that series or Tranche are payable as specified as contemplated by Section 301(b).</w:t>
      </w:r>
    </w:p>
    <w:p>
      <w:pPr>
        <w:spacing w:after="0" w:line="124" w:lineRule="exact"/>
        <w:rPr>
          <w:sz w:val="20"/>
          <w:szCs w:val="20"/>
          <w:color w:val="auto"/>
        </w:rPr>
      </w:pPr>
    </w:p>
    <w:p>
      <w:pPr>
        <w:ind w:right="140" w:firstLine="1297"/>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Predecessor Security</w:t>
      </w:r>
      <w:r>
        <w:rPr>
          <w:rFonts w:ascii="Arial" w:cs="Arial" w:eastAsia="Arial" w:hAnsi="Arial"/>
          <w:sz w:val="16"/>
          <w:szCs w:val="16"/>
          <w:color w:val="auto"/>
        </w:rPr>
        <w:t>” of any particular Security means every previous Security evidencing all or a portion of the same debt as that evidenced by such particular Security, and, for the purposes of this definition, any Security authenticated and delivered under Section 306 in exchange for or in lieu of a mutilated, destroyed, lost or stolen Security shall be deemed to evidence the same debt as the mutilated, destroyed, lost or stolen Security.</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Redemption Date</w:t>
      </w:r>
      <w:r>
        <w:rPr>
          <w:rFonts w:ascii="Arial" w:cs="Arial" w:eastAsia="Arial" w:hAnsi="Arial"/>
          <w:sz w:val="16"/>
          <w:szCs w:val="16"/>
          <w:color w:val="auto"/>
        </w:rPr>
        <w:t>”, when used with respect to any Security to be redeemed, means the date fixed for such redemption by or pursuant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Indenture.</w:t>
      </w:r>
    </w:p>
    <w:p>
      <w:pPr>
        <w:spacing w:after="0" w:line="211" w:lineRule="exact"/>
        <w:rPr>
          <w:sz w:val="20"/>
          <w:szCs w:val="20"/>
          <w:color w:val="auto"/>
        </w:rPr>
      </w:pPr>
    </w:p>
    <w:p>
      <w:pPr>
        <w:ind w:right="8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Redemption Price</w:t>
      </w:r>
      <w:r>
        <w:rPr>
          <w:rFonts w:ascii="Arial" w:cs="Arial" w:eastAsia="Arial" w:hAnsi="Arial"/>
          <w:sz w:val="18"/>
          <w:szCs w:val="18"/>
          <w:color w:val="auto"/>
        </w:rPr>
        <w:t>”, when used with respect to any Security to be redeemed, means the price at which it is to be redeemed pursuant to this Indenture, exclusive of accrued and unpaid interest, if any.</w:t>
      </w:r>
    </w:p>
    <w:p>
      <w:pPr>
        <w:spacing w:after="0" w:line="170" w:lineRule="exact"/>
        <w:rPr>
          <w:sz w:val="20"/>
          <w:szCs w:val="20"/>
          <w:color w:val="auto"/>
        </w:rPr>
      </w:pPr>
    </w:p>
    <w:p>
      <w:pPr>
        <w:ind w:right="24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Regular Record Date</w:t>
      </w:r>
      <w:r>
        <w:rPr>
          <w:rFonts w:ascii="Arial" w:cs="Arial" w:eastAsia="Arial" w:hAnsi="Arial"/>
          <w:sz w:val="18"/>
          <w:szCs w:val="18"/>
          <w:color w:val="auto"/>
        </w:rPr>
        <w:t>” for the interest payable on any Interest Payment Date on the Securities of any series means the date specified for that purpose as contemplated by Section 301(b).</w:t>
      </w:r>
    </w:p>
    <w:p>
      <w:pPr>
        <w:spacing w:after="0" w:line="170" w:lineRule="exact"/>
        <w:rPr>
          <w:sz w:val="20"/>
          <w:szCs w:val="20"/>
          <w:color w:val="auto"/>
        </w:rPr>
      </w:pPr>
    </w:p>
    <w:p>
      <w:pPr>
        <w:ind w:right="1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Repayment Date</w:t>
      </w:r>
      <w:r>
        <w:rPr>
          <w:rFonts w:ascii="Arial" w:cs="Arial" w:eastAsia="Arial" w:hAnsi="Arial"/>
          <w:sz w:val="18"/>
          <w:szCs w:val="18"/>
          <w:color w:val="auto"/>
        </w:rPr>
        <w:t>”, when used with respect to any Security of any series to be repaid or repurchased, means the date, if any, fixed for such repayment or for such repurchase (whether at the option of the Holders or otherwise) pursuant to this Indenture.</w:t>
      </w:r>
    </w:p>
    <w:p>
      <w:pPr>
        <w:spacing w:after="0" w:line="170" w:lineRule="exact"/>
        <w:rPr>
          <w:sz w:val="20"/>
          <w:szCs w:val="20"/>
          <w:color w:val="auto"/>
        </w:rPr>
      </w:pPr>
    </w:p>
    <w:p>
      <w:pPr>
        <w:ind w:right="3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Repayment Price</w:t>
      </w:r>
      <w:r>
        <w:rPr>
          <w:rFonts w:ascii="Arial" w:cs="Arial" w:eastAsia="Arial" w:hAnsi="Arial"/>
          <w:sz w:val="18"/>
          <w:szCs w:val="18"/>
          <w:color w:val="auto"/>
        </w:rPr>
        <w:t>”, when used with respect to any Security of any series to be repaid, means the price, if any, at which it is to be repaid pursuant to Section 301(b).</w:t>
      </w:r>
    </w:p>
    <w:p>
      <w:pPr>
        <w:spacing w:after="0" w:line="170" w:lineRule="exact"/>
        <w:rPr>
          <w:sz w:val="20"/>
          <w:szCs w:val="20"/>
          <w:color w:val="auto"/>
        </w:rPr>
      </w:pPr>
    </w:p>
    <w:p>
      <w:pPr>
        <w:ind w:right="280" w:firstLine="1297"/>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Responsible Officer</w:t>
      </w:r>
      <w:r>
        <w:rPr>
          <w:rFonts w:ascii="Arial" w:cs="Arial" w:eastAsia="Arial" w:hAnsi="Arial"/>
          <w:sz w:val="16"/>
          <w:szCs w:val="16"/>
          <w:color w:val="auto"/>
        </w:rPr>
        <w:t>”, when used with respect to the Trustee, means any officer within the corporate trust department or any other successor group of the Trustee, including any vice president, assistant vice president, assistant secretary or any other officer of the Trustee customarily performing functions similar to those performed by any of the above designated officers and also means, with respect to a particular corporate trust matter, any other officer of the Trustee to whom such matter is referred because of his or her knowledge of and familiarity with the particular subject.</w:t>
      </w:r>
    </w:p>
    <w:p>
      <w:pPr>
        <w:spacing w:after="0" w:line="154" w:lineRule="exact"/>
        <w:rPr>
          <w:sz w:val="20"/>
          <w:szCs w:val="20"/>
          <w:color w:val="auto"/>
        </w:rPr>
      </w:pPr>
    </w:p>
    <w:p>
      <w:pPr>
        <w:ind w:right="70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Security</w:t>
      </w:r>
      <w:r>
        <w:rPr>
          <w:rFonts w:ascii="Arial" w:cs="Arial" w:eastAsia="Arial" w:hAnsi="Arial"/>
          <w:sz w:val="18"/>
          <w:szCs w:val="18"/>
          <w:color w:val="auto"/>
        </w:rPr>
        <w:t>” or “</w:t>
      </w:r>
      <w:r>
        <w:rPr>
          <w:rFonts w:ascii="Arial" w:cs="Arial" w:eastAsia="Arial" w:hAnsi="Arial"/>
          <w:sz w:val="18"/>
          <w:szCs w:val="18"/>
          <w:b w:val="1"/>
          <w:bCs w:val="1"/>
          <w:i w:val="1"/>
          <w:iCs w:val="1"/>
          <w:color w:val="auto"/>
        </w:rPr>
        <w:t>Securities</w:t>
      </w:r>
      <w:r>
        <w:rPr>
          <w:rFonts w:ascii="Arial" w:cs="Arial" w:eastAsia="Arial" w:hAnsi="Arial"/>
          <w:sz w:val="18"/>
          <w:szCs w:val="18"/>
          <w:color w:val="auto"/>
        </w:rPr>
        <w:t>” has the meaning stated in the first recital of this Indenture and, more particularly, means any Security or Securities authenticated and delivered under this Indenture.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Security Register</w:t>
      </w:r>
      <w:r>
        <w:rPr>
          <w:rFonts w:ascii="Arial" w:cs="Arial" w:eastAsia="Arial" w:hAnsi="Arial"/>
          <w:sz w:val="18"/>
          <w:szCs w:val="18"/>
          <w:color w:val="auto"/>
        </w:rPr>
        <w:t>” and “</w:t>
      </w:r>
      <w:r>
        <w:rPr>
          <w:rFonts w:ascii="Arial" w:cs="Arial" w:eastAsia="Arial" w:hAnsi="Arial"/>
          <w:sz w:val="18"/>
          <w:szCs w:val="18"/>
          <w:b w:val="1"/>
          <w:bCs w:val="1"/>
          <w:i w:val="1"/>
          <w:iCs w:val="1"/>
          <w:color w:val="auto"/>
        </w:rPr>
        <w:t>Security Registrar</w:t>
      </w:r>
      <w:r>
        <w:rPr>
          <w:rFonts w:ascii="Arial" w:cs="Arial" w:eastAsia="Arial" w:hAnsi="Arial"/>
          <w:sz w:val="18"/>
          <w:szCs w:val="18"/>
          <w:color w:val="auto"/>
        </w:rPr>
        <w:t>” have the respective meanings specified in Section 305.</w:t>
      </w:r>
    </w:p>
    <w:p>
      <w:pPr>
        <w:spacing w:after="0" w:line="225"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series</w:t>
      </w:r>
      <w:r>
        <w:rPr>
          <w:rFonts w:ascii="Arial" w:cs="Arial" w:eastAsia="Arial" w:hAnsi="Arial"/>
          <w:sz w:val="18"/>
          <w:szCs w:val="18"/>
          <w:color w:val="auto"/>
        </w:rPr>
        <w:t>” or “</w:t>
      </w:r>
      <w:r>
        <w:rPr>
          <w:rFonts w:ascii="Arial" w:cs="Arial" w:eastAsia="Arial" w:hAnsi="Arial"/>
          <w:sz w:val="18"/>
          <w:szCs w:val="18"/>
          <w:b w:val="1"/>
          <w:bCs w:val="1"/>
          <w:i w:val="1"/>
          <w:iCs w:val="1"/>
          <w:color w:val="auto"/>
        </w:rPr>
        <w:t>series of Securities</w:t>
      </w:r>
      <w:r>
        <w:rPr>
          <w:rFonts w:ascii="Arial" w:cs="Arial" w:eastAsia="Arial" w:hAnsi="Arial"/>
          <w:sz w:val="18"/>
          <w:szCs w:val="18"/>
          <w:color w:val="auto"/>
        </w:rPr>
        <w:t>” means a series of Securities issued under this Indenture as determined by Board Resolution or as otherwise determined under this Indenture.</w:t>
      </w:r>
    </w:p>
    <w:p>
      <w:pPr>
        <w:spacing w:after="0" w:line="170" w:lineRule="exact"/>
        <w:rPr>
          <w:sz w:val="20"/>
          <w:szCs w:val="20"/>
          <w:color w:val="auto"/>
        </w:rPr>
      </w:pPr>
    </w:p>
    <w:p>
      <w:pPr>
        <w:jc w:val="center"/>
        <w:ind w:left="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Special Record Date</w:t>
      </w:r>
      <w:r>
        <w:rPr>
          <w:rFonts w:ascii="Arial" w:cs="Arial" w:eastAsia="Arial" w:hAnsi="Arial"/>
          <w:sz w:val="18"/>
          <w:szCs w:val="18"/>
          <w:color w:val="auto"/>
        </w:rPr>
        <w:t>” for the payment of any Defaulted Interest means a date fixed by the Company pursuant to Section 307.</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720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4" w:name="page45"/>
    <w:bookmarkEnd w:id="44"/>
    <w:p>
      <w:pPr>
        <w:ind w:right="600" w:firstLine="1297"/>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Stated Maturity</w:t>
      </w:r>
      <w:r>
        <w:rPr>
          <w:rFonts w:ascii="Arial" w:cs="Arial" w:eastAsia="Arial" w:hAnsi="Arial"/>
          <w:sz w:val="16"/>
          <w:szCs w:val="16"/>
          <w:color w:val="auto"/>
        </w:rPr>
        <w:t>”, when used with respect to any Security or any installment of principal thereof or interest thereon, means the date specified in such Security as the fixed date on which the principal of such Security or such installment of principal or interest is due and payable.</w:t>
      </w:r>
    </w:p>
    <w:p>
      <w:pPr>
        <w:spacing w:after="0" w:line="124" w:lineRule="exact"/>
        <w:rPr>
          <w:sz w:val="20"/>
          <w:szCs w:val="20"/>
          <w:color w:val="auto"/>
        </w:rPr>
      </w:pPr>
    </w:p>
    <w:p>
      <w:pPr>
        <w:ind w:right="40" w:firstLine="1297"/>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Subsidiary</w:t>
      </w:r>
      <w:r>
        <w:rPr>
          <w:rFonts w:ascii="Arial" w:cs="Arial" w:eastAsia="Arial" w:hAnsi="Arial"/>
          <w:sz w:val="18"/>
          <w:szCs w:val="18"/>
          <w:color w:val="auto"/>
        </w:rPr>
        <w:t>” of any Person means (a) any corporation, association or other business entity of which more than 50% of the outstanding total voting power ordinarily entitled (without regard to the occurrence of any contingency) to vote in the election of directors, managers, trustees or other voting members of the governing body thereof is at the time owned or controlled, directly or indirectly, by the Company or by one or more other Subsidiaries, or by the Company and one or more other Subsidiaries or (b) any partnership the sole general partner or the managing general partner of which is the Company or a Subsidiary of the Company or the only general partners of which are the Company or of one or more Subsidiaries of the Company (or any combination thereof).</w:t>
      </w:r>
    </w:p>
    <w:p>
      <w:pPr>
        <w:spacing w:after="0" w:line="193" w:lineRule="exact"/>
        <w:rPr>
          <w:sz w:val="20"/>
          <w:szCs w:val="20"/>
          <w:color w:val="auto"/>
        </w:rPr>
      </w:pPr>
    </w:p>
    <w:p>
      <w:pPr>
        <w:ind w:right="80" w:firstLine="1297"/>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Tranche</w:t>
      </w:r>
      <w:r>
        <w:rPr>
          <w:rFonts w:ascii="Arial" w:cs="Arial" w:eastAsia="Arial" w:hAnsi="Arial"/>
          <w:sz w:val="17"/>
          <w:szCs w:val="17"/>
          <w:color w:val="auto"/>
        </w:rPr>
        <w:t>” means a group of Securities which (a) are of the same series and (b) have identical terms to other Tranches of such series except as to principal amount, date of issuance or first interest payment date, each of which may vary among Tranches of any one series.</w:t>
      </w:r>
    </w:p>
    <w:p>
      <w:pPr>
        <w:spacing w:after="0" w:line="147" w:lineRule="exact"/>
        <w:rPr>
          <w:sz w:val="20"/>
          <w:szCs w:val="20"/>
          <w:color w:val="auto"/>
        </w:rPr>
      </w:pPr>
    </w:p>
    <w:p>
      <w:pPr>
        <w:ind w:right="60"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Trustee</w:t>
      </w:r>
      <w:r>
        <w:rPr>
          <w:rFonts w:ascii="Arial" w:cs="Arial" w:eastAsia="Arial" w:hAnsi="Arial"/>
          <w:sz w:val="18"/>
          <w:szCs w:val="18"/>
          <w:color w:val="auto"/>
        </w:rPr>
        <w:t>” means the Person named as the “Trustee” in the first paragraph of this instrument until a successor Trustee shall have been appointed with respect to one or more series of Securities pursuant to the applicable provisions of this Indenture, and thereafter “Trustee” shall mean or include each Person who is then a Trustee hereunder, and if at any time there is more than one such Person, “Trustee” as used with respect to the Securities of any series shall mean the Trustee with respect to Securities of that series.</w:t>
      </w:r>
    </w:p>
    <w:p>
      <w:pPr>
        <w:spacing w:after="0" w:line="187" w:lineRule="exact"/>
        <w:rPr>
          <w:sz w:val="20"/>
          <w:szCs w:val="20"/>
          <w:color w:val="auto"/>
        </w:rPr>
      </w:pPr>
    </w:p>
    <w:p>
      <w:pPr>
        <w:ind w:right="3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Trust Indenture Act</w:t>
      </w:r>
      <w:r>
        <w:rPr>
          <w:rFonts w:ascii="Arial" w:cs="Arial" w:eastAsia="Arial" w:hAnsi="Arial"/>
          <w:sz w:val="18"/>
          <w:szCs w:val="18"/>
          <w:color w:val="auto"/>
        </w:rPr>
        <w:t>” means the Trust Indenture Act of 1939 as in force at the date as of which this instrument was executed, except as provided in Section 905.</w:t>
      </w:r>
    </w:p>
    <w:p>
      <w:pPr>
        <w:spacing w:after="0" w:line="170" w:lineRule="exact"/>
        <w:rPr>
          <w:sz w:val="20"/>
          <w:szCs w:val="20"/>
          <w:color w:val="auto"/>
        </w:rPr>
      </w:pPr>
    </w:p>
    <w:p>
      <w:pPr>
        <w:ind w:firstLine="1297"/>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U.S. Government Obligations</w:t>
      </w:r>
      <w:r>
        <w:rPr>
          <w:rFonts w:ascii="Arial" w:cs="Arial" w:eastAsia="Arial" w:hAnsi="Arial"/>
          <w:sz w:val="17"/>
          <w:szCs w:val="17"/>
          <w:color w:val="auto"/>
        </w:rPr>
        <w:t>” means (x) any security that is (i) a direct obligation of the United States of America for the payment of which the full faith and credit of the United States of America are pledged or (ii) an obligation of a Person controlled or supervised by and acting as an agency or instrumentality of the United States of America the payment of which is unconditionally guaranteed as a full faith and credit obligation by the United States of America, and (y) any depositary receipt issued by a bank (as defined in Section 3(a)(2) of the Securities Act of 1933) as custodian with respect to any U.S. Government Obligation that is specified in clause (x) above and held by such bank for the account of the holder of such depositary receipt, or with respect to any specific payment of principal of or interest on any U.S. Government Obligation which is so specified and held, provided that (except as required by law) such custodian is not authorized to make any deduction from the amount payable to the holder of such depositary receipt from any amount received by the custodian in respect of the U.S. Government Obligation or the specific payment of principal of or interest on the U.S. Government Obligation evidenced by such depositary receipt.</w:t>
      </w:r>
    </w:p>
    <w:p>
      <w:pPr>
        <w:spacing w:after="0" w:line="182" w:lineRule="exact"/>
        <w:rPr>
          <w:sz w:val="20"/>
          <w:szCs w:val="20"/>
          <w:color w:val="auto"/>
        </w:rPr>
      </w:pPr>
    </w:p>
    <w:p>
      <w:pPr>
        <w:ind w:right="8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Vice President</w:t>
      </w:r>
      <w:r>
        <w:rPr>
          <w:rFonts w:ascii="Arial" w:cs="Arial" w:eastAsia="Arial" w:hAnsi="Arial"/>
          <w:sz w:val="18"/>
          <w:szCs w:val="18"/>
          <w:color w:val="auto"/>
        </w:rPr>
        <w:t>”, when used with respect to the Company or the Trustee, means any vice president, whether or not designated by a number or a word or words added before or after the title “vice president”.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SECTION 102. </w:t>
      </w:r>
      <w:r>
        <w:rPr>
          <w:rFonts w:ascii="Arial" w:cs="Arial" w:eastAsia="Arial" w:hAnsi="Arial"/>
          <w:sz w:val="16"/>
          <w:szCs w:val="16"/>
          <w:i w:val="1"/>
          <w:iCs w:val="1"/>
          <w:color w:val="auto"/>
        </w:rPr>
        <w:t>Compliance Certificates and Opinions</w:t>
      </w:r>
      <w:r>
        <w:rPr>
          <w:rFonts w:ascii="Arial" w:cs="Arial" w:eastAsia="Arial" w:hAnsi="Arial"/>
          <w:sz w:val="16"/>
          <w:szCs w:val="16"/>
          <w:color w:val="auto"/>
        </w:rPr>
        <w:t>. (a) Except as otherwise expressly provided in this Indenture, upon any application or</w:t>
      </w:r>
    </w:p>
    <w:p>
      <w:pPr>
        <w:spacing w:after="0" w:line="73"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request by the Company to the Trustee to take any action under any provision of this Indenture, the Company shall, if requested by the Trustee, furnish to the Trustee an Officer’s Certificate stating that all conditions precedent, if any, provided for in this Indenture relating to the proposed action have been complied with and an Opinion of Counsel stating that in the opinion of such counsel all such conditions precedent, if any, have been complied with, except that in the case of any such application or request as to which the furnishing of such documents is specifically required by any provision of this Indenture relating to such particular application or request, no additional certificate or opinion need be furnished.</w:t>
      </w:r>
    </w:p>
    <w:p>
      <w:pPr>
        <w:spacing w:after="0" w:line="173" w:lineRule="exact"/>
        <w:rPr>
          <w:sz w:val="20"/>
          <w:szCs w:val="20"/>
          <w:color w:val="auto"/>
        </w:rPr>
      </w:pPr>
    </w:p>
    <w:p>
      <w:pPr>
        <w:ind w:right="840" w:firstLine="1305"/>
        <w:spacing w:after="0" w:line="357" w:lineRule="auto"/>
        <w:tabs>
          <w:tab w:leader="none" w:pos="15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Every certificate or opinion with respect to compliance with a condition or covenant provided for in this Indenture (except for certificates provided for in Section 1004) shall include:</w:t>
      </w:r>
    </w:p>
    <w:p>
      <w:pPr>
        <w:spacing w:after="0" w:line="10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(1) a statement that each individual signing such certificate or opinion has read such covenant or condition and the definitions herein relating</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720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5" w:name="page46"/>
    <w:bookmarkEnd w:id="45"/>
    <w:p>
      <w:pPr>
        <w:ind w:left="660" w:right="100" w:firstLine="645"/>
        <w:spacing w:after="0" w:line="324" w:lineRule="auto"/>
        <w:tabs>
          <w:tab w:leader="none" w:pos="1532"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brief statement as to the nature and scope of the examination or investigation upon which the statements or opinions contained in such certificate or opinion are based;</w:t>
      </w:r>
    </w:p>
    <w:p>
      <w:pPr>
        <w:spacing w:after="0" w:line="129" w:lineRule="exact"/>
        <w:rPr>
          <w:rFonts w:ascii="Arial" w:cs="Arial" w:eastAsia="Arial" w:hAnsi="Arial"/>
          <w:sz w:val="18"/>
          <w:szCs w:val="18"/>
          <w:color w:val="auto"/>
        </w:rPr>
      </w:pPr>
    </w:p>
    <w:p>
      <w:pPr>
        <w:ind w:left="660" w:right="180" w:firstLine="645"/>
        <w:spacing w:after="0" w:line="324" w:lineRule="auto"/>
        <w:tabs>
          <w:tab w:leader="none" w:pos="1532"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statement that, in the opinion of each such individual, he has made such examination or investigation as is necessary to enable him to express an informed opinion as to whether or not such covenant or condition has been complied with; and</w:t>
      </w:r>
    </w:p>
    <w:p>
      <w:pPr>
        <w:spacing w:after="0" w:line="129" w:lineRule="exact"/>
        <w:rPr>
          <w:rFonts w:ascii="Arial" w:cs="Arial" w:eastAsia="Arial" w:hAnsi="Arial"/>
          <w:sz w:val="18"/>
          <w:szCs w:val="18"/>
          <w:color w:val="auto"/>
        </w:rPr>
      </w:pPr>
    </w:p>
    <w:p>
      <w:pPr>
        <w:ind w:left="1520" w:hanging="215"/>
        <w:spacing w:after="0"/>
        <w:tabs>
          <w:tab w:leader="none" w:pos="15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 statement as to whether, in the opinion of each such individual, such condition or covenant has been complied with.</w:t>
      </w:r>
    </w:p>
    <w:p>
      <w:pPr>
        <w:spacing w:after="0" w:line="27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SECTION 103. </w:t>
      </w:r>
      <w:r>
        <w:rPr>
          <w:rFonts w:ascii="Arial" w:cs="Arial" w:eastAsia="Arial" w:hAnsi="Arial"/>
          <w:sz w:val="16"/>
          <w:szCs w:val="16"/>
          <w:i w:val="1"/>
          <w:iCs w:val="1"/>
          <w:color w:val="auto"/>
        </w:rPr>
        <w:t>Form of Documents Delivered to Trustee</w:t>
      </w:r>
      <w:r>
        <w:rPr>
          <w:rFonts w:ascii="Arial" w:cs="Arial" w:eastAsia="Arial" w:hAnsi="Arial"/>
          <w:sz w:val="16"/>
          <w:szCs w:val="16"/>
          <w:color w:val="auto"/>
        </w:rPr>
        <w:t>. (a) In any case where several matters are required to be certified by, or covered by</w:t>
      </w:r>
    </w:p>
    <w:p>
      <w:pPr>
        <w:spacing w:after="0" w:line="73"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(b) Any certificate, statement or opinion of an officer of the Company may be based, insofar as it relates to legal matters, upon a certificate</w:t>
      </w:r>
    </w:p>
    <w:p>
      <w:pPr>
        <w:spacing w:after="0" w:line="7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or an Opinion of Counsel, or representations by counsel. Any such certificate, statement or Opinion of Counsel may be based, insofar as it relates to factual matters, upon a certificate, statement or opinion of, or representations by, an officer or officers of the Company stating that the information with respect to such factual matters is in the possession of the Company. Any certificate, statement or opinion of an officer of the Company or of counsel may be based, insofar as it relates to accounting matters, upon a certificate, statement or opinion of, or representations by, an accountant or firm of accountants in the employ of the Company. Any certificate, statement or opinion of, or representations by, any independent firm of public accountants filed with the Trustee shall contain a statement that such firm is independent.</w:t>
      </w:r>
    </w:p>
    <w:p>
      <w:pPr>
        <w:spacing w:after="0" w:line="193" w:lineRule="exact"/>
        <w:rPr>
          <w:sz w:val="20"/>
          <w:szCs w:val="20"/>
          <w:color w:val="auto"/>
        </w:rPr>
      </w:pPr>
    </w:p>
    <w:p>
      <w:pPr>
        <w:ind w:right="100" w:firstLine="1305"/>
        <w:spacing w:after="0" w:line="357" w:lineRule="auto"/>
        <w:tabs>
          <w:tab w:leader="none" w:pos="1510" w:val="left"/>
        </w:tabs>
        <w:numPr>
          <w:ilvl w:val="0"/>
          <w:numId w:val="39"/>
        </w:numPr>
        <w:rPr>
          <w:rFonts w:ascii="Arial" w:cs="Arial" w:eastAsia="Arial" w:hAnsi="Arial"/>
          <w:sz w:val="17"/>
          <w:szCs w:val="17"/>
          <w:color w:val="auto"/>
        </w:rPr>
      </w:pPr>
      <w:r>
        <w:rPr>
          <w:rFonts w:ascii="Arial" w:cs="Arial" w:eastAsia="Arial" w:hAnsi="Arial"/>
          <w:sz w:val="17"/>
          <w:szCs w:val="17"/>
          <w:color w:val="auto"/>
        </w:rPr>
        <w:t>Where any Person is required to make, give or execute two or more applications, requests, consents, certificates, statements, opinions or other instruments under this Indenture, they may, but need not, be consolidated and form one instrument.</w:t>
      </w:r>
    </w:p>
    <w:p>
      <w:pPr>
        <w:spacing w:after="0" w:line="107"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 xml:space="preserve">SECTION 104. </w:t>
      </w:r>
      <w:r>
        <w:rPr>
          <w:rFonts w:ascii="Arial" w:cs="Arial" w:eastAsia="Arial" w:hAnsi="Arial"/>
          <w:sz w:val="17"/>
          <w:szCs w:val="17"/>
          <w:i w:val="1"/>
          <w:iCs w:val="1"/>
          <w:color w:val="auto"/>
        </w:rPr>
        <w:t>Acts of Holders</w:t>
      </w:r>
      <w:r>
        <w:rPr>
          <w:rFonts w:ascii="Arial" w:cs="Arial" w:eastAsia="Arial" w:hAnsi="Arial"/>
          <w:sz w:val="17"/>
          <w:szCs w:val="17"/>
          <w:color w:val="auto"/>
        </w:rPr>
        <w:t>. (a) Any request, demand, authorization, direction, notice, consent, waiver or other action provided or</w:t>
      </w:r>
    </w:p>
    <w:p>
      <w:pPr>
        <w:spacing w:after="0" w:line="6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permitted by this Indenture to be made, given or taken by Holders may be embodied in and evidenced by one or more instruments of substantially similar tenor signed by such Holders in person or by an agent duly appointed in writing; and, except as herein otherwise expressly provided, such action shall become effective when such instrument or instruments are delivered to the Trustee and, where it is hereby expressly required, to the Company. Such instrument or instruments (and the action embodied therein and evidenced thereby) are herein sometimes referred to as the “Act” of the Holders signing such instrument or instruments. Proof of execution of any such instrument or of a writing appointing any such agent shall be sufficient for any purpose of this Indenture and (subject to Section 601) conclusive in favor of the Trustee and the Company, if made in the manner provided in this Section.</w:t>
      </w:r>
    </w:p>
    <w:p>
      <w:pPr>
        <w:spacing w:after="0" w:line="16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(b) The fact and date of the execution by any Person of any such instrument or writing may be proved by the affidavit of a witness of such</w:t>
      </w:r>
    </w:p>
    <w:p>
      <w:pPr>
        <w:spacing w:after="0" w:line="7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execution or by a certificate of a notary public or other officer authorized by law to take acknowledgments of deeds, certifying that the individual signing such instrument or writing acknowledged to him the execution thereof. Where such execution is by a signer acting in a capacity other than his individual capacity, such certificate or affidavit shall also constitute sufficient proof of his authority. The fact and date of the execution of any such instrument or writing, or the authority of the Person executing the same, may also be proved in any other manner acceptable to the Trustee.</w:t>
      </w:r>
    </w:p>
    <w:p>
      <w:pPr>
        <w:spacing w:after="0" w:line="171" w:lineRule="exact"/>
        <w:rPr>
          <w:sz w:val="20"/>
          <w:szCs w:val="20"/>
          <w:color w:val="auto"/>
        </w:rPr>
      </w:pPr>
    </w:p>
    <w:p>
      <w:pPr>
        <w:ind w:right="560" w:firstLine="1305"/>
        <w:spacing w:after="0" w:line="357" w:lineRule="auto"/>
        <w:tabs>
          <w:tab w:leader="none" w:pos="151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principal amount (except as otherwise contemplated in clause (ii) of the proviso to the definition of “Outstanding”) and serial numbers of Securities held by any Person, and the date of holding the same, shall be proved by the Security Register.</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720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6" w:name="page47"/>
    <w:bookmarkEnd w:id="46"/>
    <w:p>
      <w:pPr>
        <w:ind w:left="1300"/>
        <w:spacing w:after="0"/>
        <w:rPr>
          <w:sz w:val="20"/>
          <w:szCs w:val="20"/>
          <w:color w:val="auto"/>
        </w:rPr>
      </w:pPr>
      <w:r>
        <w:rPr>
          <w:rFonts w:ascii="Arial" w:cs="Arial" w:eastAsia="Arial" w:hAnsi="Arial"/>
          <w:sz w:val="17"/>
          <w:szCs w:val="17"/>
          <w:color w:val="auto"/>
        </w:rPr>
        <w:t>(d) Any request, demand, authorization, direction, notice, consent, election, waiver or other Act of the Holder of any Security shall bind</w:t>
      </w:r>
    </w:p>
    <w:p>
      <w:pPr>
        <w:spacing w:after="0" w:line="6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every future Holder of the same Security and the Holder of every Security issued upon the registration of transfer thereof or in exchange therefor or in lieu thereof in respect of anything done, omitted or suffered to be done by the Trustee or the Company in reliance thereon, whether or not notation of such action is made upon such Security.</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(e) The Company may set a record date for purposes of determining the identity of Holders of any Outstanding Securities of any series</w:t>
      </w:r>
    </w:p>
    <w:p>
      <w:pPr>
        <w:spacing w:after="0" w:line="7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entitled to vote or consent to any action by vote or consent authorized or permitted by Section 512 or 513. Such record date shall be not less than 10 nor more than 60 days prior to the first solicitation of such consent or the date of the most recent list of Holders of such Securities furnished to the Trustee pursuant to Section 701 prior to such solicitation.</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(f) If the Company solicits from Holders any request, demand, authorization, direction, notice, consent, election, waiver or other Act, the</w:t>
      </w:r>
    </w:p>
    <w:p>
      <w:pPr>
        <w:spacing w:after="0" w:line="73" w:lineRule="exact"/>
        <w:rPr>
          <w:sz w:val="20"/>
          <w:szCs w:val="20"/>
          <w:color w:val="auto"/>
        </w:rPr>
      </w:pPr>
    </w:p>
    <w:p>
      <w:pPr>
        <w:ind w:right="320"/>
        <w:spacing w:after="0" w:line="273" w:lineRule="auto"/>
        <w:rPr>
          <w:sz w:val="20"/>
          <w:szCs w:val="20"/>
          <w:color w:val="auto"/>
        </w:rPr>
      </w:pPr>
      <w:r>
        <w:rPr>
          <w:rFonts w:ascii="Arial" w:cs="Arial" w:eastAsia="Arial" w:hAnsi="Arial"/>
          <w:sz w:val="17"/>
          <w:szCs w:val="17"/>
          <w:color w:val="auto"/>
        </w:rPr>
        <w:t>Company may, at its option, fix in advance a record date for the determination of Holders entitled to give such request, demand, authorization, direction, notice, consent, election, waiver or other Act, but the Company shall have no obligation to do so. If such a record date is fixed, such request, demand, authorization, direction, notice, consent, election, waiver or other Act may be given before or after such record date, but only the Holders of record at the close of business on the record date shall be deemed to be Holders for the purposes of determining whether Holders of the requisite proportion of the Outstanding Securities have authorized or agreed or consented to such request, demand, authorization, direction, notice, consent, election, waiver or other Act, and for that purpose the Outstanding Securities shall be computed as of the record date.</w:t>
      </w:r>
    </w:p>
    <w:p>
      <w:pPr>
        <w:spacing w:after="0" w:line="178"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SECTION 105. </w:t>
      </w:r>
      <w:r>
        <w:rPr>
          <w:rFonts w:ascii="Arial" w:cs="Arial" w:eastAsia="Arial" w:hAnsi="Arial"/>
          <w:sz w:val="16"/>
          <w:szCs w:val="16"/>
          <w:i w:val="1"/>
          <w:iCs w:val="1"/>
          <w:color w:val="auto"/>
        </w:rPr>
        <w:t>Notices, Etc. to Trustee and Company</w:t>
      </w:r>
      <w:r>
        <w:rPr>
          <w:rFonts w:ascii="Arial" w:cs="Arial" w:eastAsia="Arial" w:hAnsi="Arial"/>
          <w:sz w:val="16"/>
          <w:szCs w:val="16"/>
          <w:color w:val="auto"/>
        </w:rPr>
        <w:t>. Except as otherwise provided herein, any request, demand, authorization, direction,</w:t>
      </w:r>
    </w:p>
    <w:p>
      <w:pPr>
        <w:spacing w:after="0" w:line="7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notice, consent, election, waiver or Act of Holders or other document provided or permitted by this Indenture to be made upon, given or furnished to, or filed with,</w:t>
      </w:r>
    </w:p>
    <w:p>
      <w:pPr>
        <w:spacing w:after="0" w:line="170" w:lineRule="exact"/>
        <w:rPr>
          <w:sz w:val="20"/>
          <w:szCs w:val="20"/>
          <w:color w:val="auto"/>
        </w:rPr>
      </w:pPr>
    </w:p>
    <w:p>
      <w:pPr>
        <w:ind w:left="660" w:firstLine="645"/>
        <w:spacing w:after="0" w:line="357" w:lineRule="auto"/>
        <w:tabs>
          <w:tab w:leader="none" w:pos="1521"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Trustee by any Holder or by the Company shall be sufficient for every purpose hereunder if made, given, furnished or filed in writing to or with the Trustee at its Corporate Trust Office, Attention: •, or</w:t>
      </w:r>
    </w:p>
    <w:p>
      <w:pPr>
        <w:spacing w:after="0" w:line="107" w:lineRule="exact"/>
        <w:rPr>
          <w:rFonts w:ascii="Arial" w:cs="Arial" w:eastAsia="Arial" w:hAnsi="Arial"/>
          <w:sz w:val="17"/>
          <w:szCs w:val="17"/>
          <w:color w:val="auto"/>
        </w:rPr>
      </w:pPr>
    </w:p>
    <w:p>
      <w:pPr>
        <w:ind w:left="1520" w:hanging="215"/>
        <w:spacing w:after="0"/>
        <w:tabs>
          <w:tab w:leader="none" w:pos="15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Company by the Trustee or by any Holder shall be sufficient for every purpose hereunder (unless otherwise herein expressly</w:t>
      </w:r>
    </w:p>
    <w:p>
      <w:pPr>
        <w:spacing w:after="0" w:line="61" w:lineRule="exact"/>
        <w:rPr>
          <w:sz w:val="20"/>
          <w:szCs w:val="20"/>
          <w:color w:val="auto"/>
        </w:rPr>
      </w:pPr>
    </w:p>
    <w:p>
      <w:pPr>
        <w:ind w:left="660" w:right="280"/>
        <w:spacing w:after="0" w:line="308" w:lineRule="auto"/>
        <w:rPr>
          <w:sz w:val="20"/>
          <w:szCs w:val="20"/>
          <w:color w:val="auto"/>
        </w:rPr>
      </w:pPr>
      <w:r>
        <w:rPr>
          <w:rFonts w:ascii="Arial" w:cs="Arial" w:eastAsia="Arial" w:hAnsi="Arial"/>
          <w:sz w:val="17"/>
          <w:szCs w:val="17"/>
          <w:color w:val="auto"/>
        </w:rPr>
        <w:t>provided) if in writing and mailed, first-class postage prepaid, to the Company addressed to it at the address of its principal office specified in the first paragraph of this instrument or at any other address furnished in writing to the Trustee by the Company prior to such mailing.</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SECTION 106. </w:t>
      </w:r>
      <w:r>
        <w:rPr>
          <w:rFonts w:ascii="Arial" w:cs="Arial" w:eastAsia="Arial" w:hAnsi="Arial"/>
          <w:sz w:val="16"/>
          <w:szCs w:val="16"/>
          <w:i w:val="1"/>
          <w:iCs w:val="1"/>
          <w:color w:val="auto"/>
        </w:rPr>
        <w:t>Notice to Holders; Waiver</w:t>
      </w:r>
      <w:r>
        <w:rPr>
          <w:rFonts w:ascii="Arial" w:cs="Arial" w:eastAsia="Arial" w:hAnsi="Arial"/>
          <w:sz w:val="16"/>
          <w:szCs w:val="16"/>
          <w:color w:val="auto"/>
        </w:rPr>
        <w:t>. (a) Except as otherwise expressly provided herein, where this Indenture provides for notice of</w:t>
      </w:r>
    </w:p>
    <w:p>
      <w:pPr>
        <w:spacing w:after="0" w:line="73"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any event or reports to Holders, such notice or report shall be sufficiently given if in writing and mailed, first-class postage prepaid or electronically in the case of Global Securities, to each Holder of Securities affected by such event, at the address of such Holder as it appears in the Security Register and to addresses filed with the Trustee or preserved on the Trustee’s list pursuant to Section 702(a) for other Holders (and to such other addressees as may be required in the case of such notice or report under Section 313(c) of the Trust Indenture Act), not later than the latest date, and not earlier than the earliest date, prescribed for the giving of such notice or report.</w:t>
      </w:r>
    </w:p>
    <w:p>
      <w:pPr>
        <w:spacing w:after="0" w:line="188" w:lineRule="exact"/>
        <w:rPr>
          <w:sz w:val="20"/>
          <w:szCs w:val="20"/>
          <w:color w:val="auto"/>
        </w:rPr>
      </w:pPr>
    </w:p>
    <w:p>
      <w:pPr>
        <w:ind w:right="260" w:firstLine="1305"/>
        <w:spacing w:after="0" w:line="357" w:lineRule="auto"/>
        <w:tabs>
          <w:tab w:leader="none" w:pos="15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In any case where notice to Holders is given by mail, neither the failure to mail such notice, nor any defect in any notice so mailed, to any particular Holder shall affect the sufficiency of such notice with respect to other Holders.</w:t>
      </w:r>
    </w:p>
    <w:p>
      <w:pPr>
        <w:spacing w:after="0" w:line="107" w:lineRule="exact"/>
        <w:rPr>
          <w:rFonts w:ascii="Arial" w:cs="Arial" w:eastAsia="Arial" w:hAnsi="Arial"/>
          <w:sz w:val="17"/>
          <w:szCs w:val="17"/>
          <w:color w:val="auto"/>
        </w:rPr>
      </w:pPr>
    </w:p>
    <w:p>
      <w:pPr>
        <w:ind w:left="1520" w:hanging="215"/>
        <w:spacing w:after="0"/>
        <w:tabs>
          <w:tab w:leader="none" w:pos="15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Where this Indenture provides for notice in any manner, such notice may be waived in writing by the Person entitled to receive such</w:t>
      </w:r>
    </w:p>
    <w:p>
      <w:pPr>
        <w:spacing w:after="0" w:line="6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notice, either before or after the event, and such waiver shall be the equivalent of such notice. Waivers of notice by Holders shall be filed with the Trustee, but such filing shall not be a condition precedent to the validity of any action taken in reliance upon such waiver.</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720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47" w:name="page48"/>
    <w:bookmarkEnd w:id="47"/>
    <w:p>
      <w:pPr>
        <w:ind w:left="1300"/>
        <w:spacing w:after="0"/>
        <w:rPr>
          <w:sz w:val="20"/>
          <w:szCs w:val="20"/>
          <w:color w:val="auto"/>
        </w:rPr>
      </w:pPr>
      <w:r>
        <w:rPr>
          <w:rFonts w:ascii="Arial" w:cs="Arial" w:eastAsia="Arial" w:hAnsi="Arial"/>
          <w:sz w:val="16"/>
          <w:szCs w:val="16"/>
          <w:color w:val="auto"/>
        </w:rPr>
        <w:t>(d) Notwithstanding any other provision of this Indenture or any Security, where this Indenture or any Security provides for notice of any</w:t>
      </w:r>
    </w:p>
    <w:p>
      <w:pPr>
        <w:spacing w:after="0" w:line="7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event (including any notice of redemption) to a holder of a Global Security (whether by mail or otherwise), such notice shall be sufficiently given if given to the Depositary for such Security (or its designee) pursuant to the applicable procedures of the Depositary.</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 xml:space="preserve">SECTION 107. </w:t>
      </w:r>
      <w:r>
        <w:rPr>
          <w:rFonts w:ascii="Arial" w:cs="Arial" w:eastAsia="Arial" w:hAnsi="Arial"/>
          <w:sz w:val="17"/>
          <w:szCs w:val="17"/>
          <w:i w:val="1"/>
          <w:iCs w:val="1"/>
          <w:color w:val="auto"/>
        </w:rPr>
        <w:t>Conflict With Trust Indenture Act</w:t>
      </w:r>
      <w:r>
        <w:rPr>
          <w:rFonts w:ascii="Arial" w:cs="Arial" w:eastAsia="Arial" w:hAnsi="Arial"/>
          <w:sz w:val="17"/>
          <w:szCs w:val="17"/>
          <w:color w:val="auto"/>
        </w:rPr>
        <w:t>. If any provision hereof limits, qualifies or conflicts with a provision of the Trust</w:t>
      </w:r>
    </w:p>
    <w:p>
      <w:pPr>
        <w:spacing w:after="0" w:line="6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Indenture Act that is required under the Trust Indenture Act to be a part of and govern this Indenture, the latter provision shall control. If any provision of this Indenture modifies or excludes any provision of the Trust Indenture Act that may be so modified or excluded, the latter provision shall be deemed to apply to this Indenture as so modified or to be excluded, as the case may be.</w:t>
      </w:r>
    </w:p>
    <w:p>
      <w:pPr>
        <w:spacing w:after="0" w:line="181" w:lineRule="exact"/>
        <w:rPr>
          <w:sz w:val="20"/>
          <w:szCs w:val="20"/>
          <w:color w:val="auto"/>
        </w:rPr>
      </w:pPr>
    </w:p>
    <w:p>
      <w:pPr>
        <w:ind w:right="580" w:firstLine="1297"/>
        <w:spacing w:after="0" w:line="324" w:lineRule="auto"/>
        <w:rPr>
          <w:sz w:val="20"/>
          <w:szCs w:val="20"/>
          <w:color w:val="auto"/>
        </w:rPr>
      </w:pPr>
      <w:r>
        <w:rPr>
          <w:rFonts w:ascii="Arial" w:cs="Arial" w:eastAsia="Arial" w:hAnsi="Arial"/>
          <w:sz w:val="18"/>
          <w:szCs w:val="18"/>
          <w:color w:val="auto"/>
        </w:rPr>
        <w:t xml:space="preserve">SECTION 108. </w:t>
      </w:r>
      <w:r>
        <w:rPr>
          <w:rFonts w:ascii="Arial" w:cs="Arial" w:eastAsia="Arial" w:hAnsi="Arial"/>
          <w:sz w:val="18"/>
          <w:szCs w:val="18"/>
          <w:i w:val="1"/>
          <w:iCs w:val="1"/>
          <w:color w:val="auto"/>
        </w:rPr>
        <w:t>Effect of Headings and Table of Contents</w:t>
      </w:r>
      <w:r>
        <w:rPr>
          <w:rFonts w:ascii="Arial" w:cs="Arial" w:eastAsia="Arial" w:hAnsi="Arial"/>
          <w:sz w:val="18"/>
          <w:szCs w:val="18"/>
          <w:color w:val="auto"/>
        </w:rPr>
        <w:t>. The Article and Section headings herein and the Table of Contents are for convenience only and shall not affect the construction hereof.</w:t>
      </w:r>
    </w:p>
    <w:p>
      <w:pPr>
        <w:spacing w:after="0" w:line="130" w:lineRule="exact"/>
        <w:rPr>
          <w:sz w:val="20"/>
          <w:szCs w:val="20"/>
          <w:color w:val="auto"/>
        </w:rPr>
      </w:pPr>
    </w:p>
    <w:p>
      <w:pPr>
        <w:ind w:right="460" w:firstLine="1297"/>
        <w:spacing w:after="0" w:line="324" w:lineRule="auto"/>
        <w:rPr>
          <w:sz w:val="20"/>
          <w:szCs w:val="20"/>
          <w:color w:val="auto"/>
        </w:rPr>
      </w:pPr>
      <w:r>
        <w:rPr>
          <w:rFonts w:ascii="Arial" w:cs="Arial" w:eastAsia="Arial" w:hAnsi="Arial"/>
          <w:sz w:val="18"/>
          <w:szCs w:val="18"/>
          <w:color w:val="auto"/>
        </w:rPr>
        <w:t xml:space="preserve">SECTION 109. </w:t>
      </w:r>
      <w:r>
        <w:rPr>
          <w:rFonts w:ascii="Arial" w:cs="Arial" w:eastAsia="Arial" w:hAnsi="Arial"/>
          <w:sz w:val="18"/>
          <w:szCs w:val="18"/>
          <w:i w:val="1"/>
          <w:iCs w:val="1"/>
          <w:color w:val="auto"/>
        </w:rPr>
        <w:t>Successors and Assigns</w:t>
      </w:r>
      <w:r>
        <w:rPr>
          <w:rFonts w:ascii="Arial" w:cs="Arial" w:eastAsia="Arial" w:hAnsi="Arial"/>
          <w:sz w:val="18"/>
          <w:szCs w:val="18"/>
          <w:color w:val="auto"/>
        </w:rPr>
        <w:t>. All covenants and agreements in this Indenture by the Company shall bind its successors and assigns, whether so expressed or not.</w:t>
      </w:r>
    </w:p>
    <w:p>
      <w:pPr>
        <w:spacing w:after="0" w:line="130" w:lineRule="exact"/>
        <w:rPr>
          <w:sz w:val="20"/>
          <w:szCs w:val="20"/>
          <w:color w:val="auto"/>
        </w:rPr>
      </w:pPr>
    </w:p>
    <w:p>
      <w:pPr>
        <w:ind w:right="460" w:firstLine="1297"/>
        <w:spacing w:after="0" w:line="324" w:lineRule="auto"/>
        <w:rPr>
          <w:sz w:val="20"/>
          <w:szCs w:val="20"/>
          <w:color w:val="auto"/>
        </w:rPr>
      </w:pPr>
      <w:r>
        <w:rPr>
          <w:rFonts w:ascii="Arial" w:cs="Arial" w:eastAsia="Arial" w:hAnsi="Arial"/>
          <w:sz w:val="18"/>
          <w:szCs w:val="18"/>
          <w:color w:val="auto"/>
        </w:rPr>
        <w:t xml:space="preserve">SECTION 110. </w:t>
      </w:r>
      <w:r>
        <w:rPr>
          <w:rFonts w:ascii="Arial" w:cs="Arial" w:eastAsia="Arial" w:hAnsi="Arial"/>
          <w:sz w:val="18"/>
          <w:szCs w:val="18"/>
          <w:i w:val="1"/>
          <w:iCs w:val="1"/>
          <w:color w:val="auto"/>
        </w:rPr>
        <w:t>Separability Clause</w:t>
      </w:r>
      <w:r>
        <w:rPr>
          <w:rFonts w:ascii="Arial" w:cs="Arial" w:eastAsia="Arial" w:hAnsi="Arial"/>
          <w:sz w:val="18"/>
          <w:szCs w:val="18"/>
          <w:color w:val="auto"/>
        </w:rPr>
        <w:t>. In case any provision in this Indenture or in the Securities is invalid, illegal or unenforceable, the validity, legality and enforceability of the remaining provisions shall not in any way be affected or impaired thereby.</w:t>
      </w:r>
    </w:p>
    <w:p>
      <w:pPr>
        <w:spacing w:after="0" w:line="13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SECTION 111. </w:t>
      </w:r>
      <w:r>
        <w:rPr>
          <w:rFonts w:ascii="Arial" w:cs="Arial" w:eastAsia="Arial" w:hAnsi="Arial"/>
          <w:sz w:val="16"/>
          <w:szCs w:val="16"/>
          <w:i w:val="1"/>
          <w:iCs w:val="1"/>
          <w:color w:val="auto"/>
        </w:rPr>
        <w:t>Benefits of Indenture</w:t>
      </w:r>
      <w:r>
        <w:rPr>
          <w:rFonts w:ascii="Arial" w:cs="Arial" w:eastAsia="Arial" w:hAnsi="Arial"/>
          <w:sz w:val="16"/>
          <w:szCs w:val="16"/>
          <w:color w:val="auto"/>
        </w:rPr>
        <w:t>. Nothing in this Indenture or in the Securities, express or implied, shall give to any Person, other than</w:t>
      </w:r>
    </w:p>
    <w:p>
      <w:pPr>
        <w:spacing w:after="0" w:line="73"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the parties hereto (including any Paying Agent appointed pursuant to Section 1002 and Authenticating Agent appointed pursuant to Section 614 to the extent provided herein) and their successors hereunder and the Holders, any benefit or any legal or equitable right, remedy or claim under this Indenture.</w:t>
      </w:r>
    </w:p>
    <w:p>
      <w:pPr>
        <w:spacing w:after="0" w:line="124" w:lineRule="exact"/>
        <w:rPr>
          <w:sz w:val="20"/>
          <w:szCs w:val="20"/>
          <w:color w:val="auto"/>
        </w:rPr>
      </w:pPr>
    </w:p>
    <w:p>
      <w:pPr>
        <w:ind w:right="260" w:firstLine="1297"/>
        <w:spacing w:after="0" w:line="324" w:lineRule="auto"/>
        <w:rPr>
          <w:sz w:val="20"/>
          <w:szCs w:val="20"/>
          <w:color w:val="auto"/>
        </w:rPr>
      </w:pPr>
      <w:r>
        <w:rPr>
          <w:rFonts w:ascii="Arial" w:cs="Arial" w:eastAsia="Arial" w:hAnsi="Arial"/>
          <w:sz w:val="18"/>
          <w:szCs w:val="18"/>
          <w:color w:val="auto"/>
        </w:rPr>
        <w:t xml:space="preserve">SECTION 112. </w:t>
      </w:r>
      <w:r>
        <w:rPr>
          <w:rFonts w:ascii="Arial" w:cs="Arial" w:eastAsia="Arial" w:hAnsi="Arial"/>
          <w:sz w:val="18"/>
          <w:szCs w:val="18"/>
          <w:i w:val="1"/>
          <w:iCs w:val="1"/>
          <w:color w:val="auto"/>
        </w:rPr>
        <w:t>Governing Law</w:t>
      </w:r>
      <w:r>
        <w:rPr>
          <w:rFonts w:ascii="Arial" w:cs="Arial" w:eastAsia="Arial" w:hAnsi="Arial"/>
          <w:sz w:val="18"/>
          <w:szCs w:val="18"/>
          <w:color w:val="auto"/>
        </w:rPr>
        <w:t>. This Indenture and the Securities shall be governed by and construed in accordance with the laws of the State of New York in the United States, but without giving effect to the conflicts of laws principles thereof.</w:t>
      </w:r>
    </w:p>
    <w:p>
      <w:pPr>
        <w:spacing w:after="0" w:line="13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SECTION 113. </w:t>
      </w:r>
      <w:r>
        <w:rPr>
          <w:rFonts w:ascii="Arial" w:cs="Arial" w:eastAsia="Arial" w:hAnsi="Arial"/>
          <w:sz w:val="16"/>
          <w:szCs w:val="16"/>
          <w:i w:val="1"/>
          <w:iCs w:val="1"/>
          <w:color w:val="auto"/>
        </w:rPr>
        <w:t>Legal Holidays</w:t>
      </w:r>
      <w:r>
        <w:rPr>
          <w:rFonts w:ascii="Arial" w:cs="Arial" w:eastAsia="Arial" w:hAnsi="Arial"/>
          <w:sz w:val="16"/>
          <w:szCs w:val="16"/>
          <w:color w:val="auto"/>
        </w:rPr>
        <w:t>. In any case where any Interest Payment Date, Redemption Date, Repayment Date or Stated Maturity of any</w:t>
      </w:r>
    </w:p>
    <w:p>
      <w:pPr>
        <w:spacing w:after="0" w:line="73"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 xml:space="preserve">Security is not a Business Day at any Place of Payment or the city in which the Corporate Trust Office of the Trustee is located, then (notwithstanding any other provision of this Indenture or of the Securities, other than a provision in Securities of any series, or in the Board Resolution, Supplemental Indenture or Officer’s Certificate that establishes the terms of such Securities, that specifically states that such provision shall apply in lieu of this Section) payment of interest or principal (and premium, if any) need not be made at such Place of Payment on such date, but may be made on the next succeeding Business Day at such Place of Payment with the same force and effect as if made on the Interest Payment Date or Redemption Date, Repayment Date, or at the Stated Maturity, and such extension of time shall in such case be (1) excluded in the computation of interest, if any, accruing on such Security at a fixed rate and (2) included in the computation of interest, if any, accruing on such Security at a floating rate;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such extension would cause payment of interest at a floating rate to be made in the next following calendar month, such payment shall be made on the next preceding Business Day.</w:t>
      </w:r>
    </w:p>
    <w:p>
      <w:pPr>
        <w:spacing w:after="0" w:line="166" w:lineRule="exact"/>
        <w:rPr>
          <w:sz w:val="20"/>
          <w:szCs w:val="20"/>
          <w:color w:val="auto"/>
        </w:rPr>
      </w:pPr>
    </w:p>
    <w:p>
      <w:pPr>
        <w:ind w:right="380" w:firstLine="1297"/>
        <w:spacing w:after="0" w:line="357" w:lineRule="auto"/>
        <w:rPr>
          <w:sz w:val="20"/>
          <w:szCs w:val="20"/>
          <w:color w:val="auto"/>
        </w:rPr>
      </w:pPr>
      <w:r>
        <w:rPr>
          <w:rFonts w:ascii="Arial" w:cs="Arial" w:eastAsia="Arial" w:hAnsi="Arial"/>
          <w:sz w:val="17"/>
          <w:szCs w:val="17"/>
          <w:color w:val="auto"/>
        </w:rPr>
        <w:t xml:space="preserve">SECTION 114. </w:t>
      </w:r>
      <w:r>
        <w:rPr>
          <w:rFonts w:ascii="Arial" w:cs="Arial" w:eastAsia="Arial" w:hAnsi="Arial"/>
          <w:sz w:val="17"/>
          <w:szCs w:val="17"/>
          <w:i w:val="1"/>
          <w:iCs w:val="1"/>
          <w:color w:val="auto"/>
        </w:rPr>
        <w:t>Rules by Trustee and Agents</w:t>
      </w:r>
      <w:r>
        <w:rPr>
          <w:rFonts w:ascii="Arial" w:cs="Arial" w:eastAsia="Arial" w:hAnsi="Arial"/>
          <w:sz w:val="17"/>
          <w:szCs w:val="17"/>
          <w:color w:val="auto"/>
        </w:rPr>
        <w:t>. The Trustee may make reasonable rules for action by or at a meeting of Holders of one or more series. The Paying Agent or Security Registrar may make reasonable rules and set reasonable requirements for its functions.</w:t>
      </w:r>
    </w:p>
    <w:p>
      <w:pPr>
        <w:spacing w:after="0" w:line="10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SECTION 115. </w:t>
      </w:r>
      <w:r>
        <w:rPr>
          <w:rFonts w:ascii="Arial" w:cs="Arial" w:eastAsia="Arial" w:hAnsi="Arial"/>
          <w:sz w:val="16"/>
          <w:szCs w:val="16"/>
          <w:i w:val="1"/>
          <w:iCs w:val="1"/>
          <w:color w:val="auto"/>
        </w:rPr>
        <w:t>No Recourse Against Others</w:t>
      </w:r>
      <w:r>
        <w:rPr>
          <w:rFonts w:ascii="Arial" w:cs="Arial" w:eastAsia="Arial" w:hAnsi="Arial"/>
          <w:sz w:val="16"/>
          <w:szCs w:val="16"/>
          <w:color w:val="auto"/>
        </w:rPr>
        <w:t>. No past, present or future director, officer, stockholder or employee, as such, of the Company</w:t>
      </w:r>
    </w:p>
    <w:p>
      <w:pPr>
        <w:spacing w:after="0" w:line="73"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or any of its Affiliates or any successor corporation shall have any liability for any obligation, covenant or agreement of the Company under this Indenture or any indenture supplemental hereto, or in the Securities, or for any claim based on, in respect of or by reason of such obligations, covenants or agreements or their creation. Each Holder by accepting a Security waives and releases all such</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720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48" w:name="page49"/>
    <w:bookmarkEnd w:id="48"/>
    <w:p>
      <w:pPr>
        <w:spacing w:after="0"/>
        <w:rPr>
          <w:sz w:val="20"/>
          <w:szCs w:val="20"/>
          <w:color w:val="auto"/>
        </w:rPr>
      </w:pPr>
      <w:r>
        <w:rPr>
          <w:rFonts w:ascii="Arial" w:cs="Arial" w:eastAsia="Arial" w:hAnsi="Arial"/>
          <w:sz w:val="18"/>
          <w:szCs w:val="18"/>
          <w:color w:val="auto"/>
        </w:rPr>
        <w:t>liability. The waiver and release are part of the consideration for the execution and delivery of this Indenture and the issue of the Securities.</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TWO</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SECURITY FORMS</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SECTION 201. </w:t>
      </w:r>
      <w:r>
        <w:rPr>
          <w:rFonts w:ascii="Arial" w:cs="Arial" w:eastAsia="Arial" w:hAnsi="Arial"/>
          <w:sz w:val="16"/>
          <w:szCs w:val="16"/>
          <w:i w:val="1"/>
          <w:iCs w:val="1"/>
          <w:color w:val="auto"/>
        </w:rPr>
        <w:t>Forms Generally</w:t>
      </w:r>
      <w:r>
        <w:rPr>
          <w:rFonts w:ascii="Arial" w:cs="Arial" w:eastAsia="Arial" w:hAnsi="Arial"/>
          <w:sz w:val="16"/>
          <w:szCs w:val="16"/>
          <w:color w:val="auto"/>
        </w:rPr>
        <w:t>. (a) The Securities of each series shall be in substantially such form as shall be established by or pursuant</w:t>
      </w:r>
    </w:p>
    <w:p>
      <w:pPr>
        <w:spacing w:after="0" w:line="73"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to a Board Resolution, and set forth in an Officer’s Certificate, or established in one or more indentures supplemental hereto, in each case with such appropriate insertions, omissions, substitutions and other variations as are required or permitted by this Indenture and may have such letters, numbers or other marks of identification and such legends or endorsements placed thereon as may be required to comply with law or with any rules or regulations pursuant thereto, or with any rules of any securities exchange or to conform with general usage, all as may, consistently herewith, be determined by the officers executing such Securities, as evidenced by their execution of the Securities. When the form of Securities of any series is established by action taken pursuant to a Board Resolution, a copy of an appropriate record of such action shall be delivered to the Trustee at or prior to the delivery of the Company Order contemplated by Section 303 for the authentication and delivery of such Securities.</w:t>
      </w:r>
    </w:p>
    <w:p>
      <w:pPr>
        <w:spacing w:after="0" w:line="178" w:lineRule="exact"/>
        <w:rPr>
          <w:sz w:val="20"/>
          <w:szCs w:val="20"/>
          <w:color w:val="auto"/>
        </w:rPr>
      </w:pPr>
    </w:p>
    <w:p>
      <w:pPr>
        <w:ind w:right="120" w:firstLine="1305"/>
        <w:spacing w:after="0" w:line="357" w:lineRule="auto"/>
        <w:tabs>
          <w:tab w:leader="none" w:pos="15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definitive Securities shall be produced in such manner or combination of manners, all as determined by the officers executing such Securities, as evidenced by their execution of such Securities.</w:t>
      </w:r>
    </w:p>
    <w:p>
      <w:pPr>
        <w:spacing w:after="0" w:line="107"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 xml:space="preserve">SECTION 202. </w:t>
      </w:r>
      <w:r>
        <w:rPr>
          <w:rFonts w:ascii="Arial" w:cs="Arial" w:eastAsia="Arial" w:hAnsi="Arial"/>
          <w:sz w:val="17"/>
          <w:szCs w:val="17"/>
          <w:i w:val="1"/>
          <w:iCs w:val="1"/>
          <w:color w:val="auto"/>
        </w:rPr>
        <w:t>Form of Trustee’s Certificate of Authentication</w:t>
      </w:r>
      <w:r>
        <w:rPr>
          <w:rFonts w:ascii="Arial" w:cs="Arial" w:eastAsia="Arial" w:hAnsi="Arial"/>
          <w:sz w:val="17"/>
          <w:szCs w:val="17"/>
          <w:color w:val="auto"/>
        </w:rPr>
        <w:t>. The Trustee’s certificate of authentication shall be in substantially the</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following form:</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is one of the Securities of the series designated herein, referred to in the within-mentioned Indenture.</w:t>
      </w:r>
    </w:p>
    <w:p>
      <w:pPr>
        <w:spacing w:after="0" w:line="387" w:lineRule="exact"/>
        <w:rPr>
          <w:sz w:val="20"/>
          <w:szCs w:val="20"/>
          <w:color w:val="auto"/>
        </w:rPr>
      </w:pPr>
    </w:p>
    <w:p>
      <w:pPr>
        <w:jc w:val="center"/>
        <w:ind w:left="300"/>
        <w:spacing w:after="0"/>
        <w:rPr>
          <w:sz w:val="20"/>
          <w:szCs w:val="20"/>
          <w:color w:val="auto"/>
        </w:rPr>
      </w:pPr>
      <w:r>
        <w:rPr>
          <w:rFonts w:ascii="Arial" w:cs="Arial" w:eastAsia="Arial" w:hAnsi="Arial"/>
          <w:sz w:val="18"/>
          <w:szCs w:val="18"/>
          <w:color w:val="auto"/>
        </w:rPr>
        <w:t>[ ]</w:t>
      </w:r>
    </w:p>
    <w:p>
      <w:pPr>
        <w:spacing w:after="0" w:line="293"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as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177800</wp:posOffset>
            </wp:positionV>
            <wp:extent cx="338772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7">
                      <a:extLst>
                        <a:ext uri="{28A0092B-C50C-407E-A947-70E740481C1C}"/>
                      </a:extLst>
                    </a:blip>
                    <a:srcRect/>
                    <a:stretch>
                      <a:fillRect/>
                    </a:stretch>
                  </pic:blipFill>
                  <pic:spPr bwMode="auto">
                    <a:xfrm>
                      <a:off x="0" y="0"/>
                      <a:ext cx="3387725" cy="8890"/>
                    </a:xfrm>
                    <a:prstGeom prst="rect">
                      <a:avLst/>
                    </a:prstGeom>
                    <a:noFill/>
                  </pic:spPr>
                </pic:pic>
              </a:graphicData>
            </a:graphic>
          </wp:anchor>
        </w:drawing>
      </w:r>
    </w:p>
    <w:p>
      <w:pPr>
        <w:spacing w:after="0" w:line="273"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Authorized Officer</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THREE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SECURITIES</w:t>
      </w:r>
    </w:p>
    <w:p>
      <w:pPr>
        <w:spacing w:after="0" w:line="229" w:lineRule="exact"/>
        <w:rPr>
          <w:sz w:val="20"/>
          <w:szCs w:val="20"/>
          <w:color w:val="auto"/>
        </w:rPr>
      </w:pPr>
    </w:p>
    <w:p>
      <w:pPr>
        <w:ind w:right="460" w:firstLine="1297"/>
        <w:spacing w:after="0" w:line="324"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i w:val="1"/>
          <w:iCs w:val="1"/>
          <w:color w:val="auto"/>
        </w:rPr>
        <w:t>Amount Unlimited; Issuable in Series</w:t>
      </w:r>
      <w:r>
        <w:rPr>
          <w:rFonts w:ascii="Arial" w:cs="Arial" w:eastAsia="Arial" w:hAnsi="Arial"/>
          <w:sz w:val="18"/>
          <w:szCs w:val="18"/>
          <w:color w:val="auto"/>
        </w:rPr>
        <w:t>. (a) The aggregate principal amount of Securities that may be authenticated and delivered under this Indenture is unlimited.</w:t>
      </w:r>
    </w:p>
    <w:p>
      <w:pPr>
        <w:sectPr>
          <w:pgSz w:w="11900" w:h="16838" w:orient="portrait"/>
          <w:cols w:equalWidth="0" w:num="1">
            <w:col w:w="11380"/>
          </w:cols>
          <w:pgMar w:left="240" w:top="584" w:right="279" w:bottom="1440" w:gutter="0" w:footer="0" w:header="0"/>
        </w:sectPr>
      </w:pPr>
    </w:p>
    <w:bookmarkStart w:id="49" w:name="page50"/>
    <w:bookmarkEnd w:id="49"/>
    <w:p>
      <w:pPr>
        <w:ind w:left="-240" w:firstLine="1305"/>
        <w:spacing w:after="0" w:line="357" w:lineRule="auto"/>
        <w:tabs>
          <w:tab w:leader="none" w:pos="12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Securities may be issued in one or more series. There shall be established in or pursuant to a Board Resolution, and set forth in an Officer’s Certificate, or established in one or more indentures supplemental hereto, prior to the issuance of Securities of any series,</w:t>
      </w:r>
    </w:p>
    <w:p>
      <w:pPr>
        <w:spacing w:after="0" w:line="107" w:lineRule="exact"/>
        <w:rPr>
          <w:sz w:val="20"/>
          <w:szCs w:val="20"/>
          <w:color w:val="auto"/>
        </w:rPr>
      </w:pPr>
    </w:p>
    <w:p>
      <w:pPr>
        <w:ind w:left="1280" w:hanging="215"/>
        <w:spacing w:after="0"/>
        <w:tabs>
          <w:tab w:leader="none" w:pos="12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title of the Securities of such series (which shall distinguish the Securities of the series from all other Securities);</w:t>
      </w:r>
    </w:p>
    <w:p>
      <w:pPr>
        <w:spacing w:after="0" w:line="277" w:lineRule="exact"/>
        <w:rPr>
          <w:rFonts w:ascii="Arial" w:cs="Arial" w:eastAsia="Arial" w:hAnsi="Arial"/>
          <w:sz w:val="17"/>
          <w:szCs w:val="17"/>
          <w:color w:val="auto"/>
        </w:rPr>
      </w:pPr>
    </w:p>
    <w:p>
      <w:pPr>
        <w:ind w:left="420" w:right="440" w:firstLine="645"/>
        <w:spacing w:after="0" w:line="324" w:lineRule="auto"/>
        <w:tabs>
          <w:tab w:leader="none" w:pos="1292"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limit upon the aggregate principal amount of the Securities of such series that may be authenticated and delivered under this Indenture (except for Securities authenticated and delivered upon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216535</wp:posOffset>
            </wp:positionV>
            <wp:extent cx="72720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960"/>
          </w:cols>
          <w:pgMar w:left="480" w:top="584" w:right="459" w:bottom="1440" w:gutter="0" w:footer="0" w:header="0"/>
        </w:sectPr>
      </w:pPr>
    </w:p>
    <w:bookmarkStart w:id="50" w:name="page51"/>
    <w:bookmarkEnd w:id="50"/>
    <w:p>
      <w:pPr>
        <w:ind w:right="180"/>
        <w:spacing w:after="0" w:line="308" w:lineRule="auto"/>
        <w:rPr>
          <w:sz w:val="20"/>
          <w:szCs w:val="20"/>
          <w:color w:val="auto"/>
        </w:rPr>
      </w:pPr>
      <w:r>
        <w:rPr>
          <w:rFonts w:ascii="Arial" w:cs="Arial" w:eastAsia="Arial" w:hAnsi="Arial"/>
          <w:sz w:val="17"/>
          <w:szCs w:val="17"/>
          <w:color w:val="auto"/>
        </w:rPr>
        <w:t>registration of transfer of, or in exchange for, or in lieu of, other Securities of such series pursuant to Section 304, 305, 306, 906, 1107 or 1204 and except for any Securities that, pursuant to Section 303, are deemed never to have been authenticated and delivered hereunder);</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(3) the date or dates on which the principal and premium, if any, of the Securities of such series, or any Tranche thereof, is payable or any</w:t>
      </w:r>
    </w:p>
    <w:p>
      <w:pPr>
        <w:spacing w:after="0" w:line="73"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formula or other method or other means by which such date or dates shall be determined, by reference to an index or other fact or event ascertainable outside of this Indenture or otherwise (without regard to any provisions for redemption, prepayment, acceleration, purchase or extension);</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6"/>
          <w:szCs w:val="16"/>
          <w:color w:val="auto"/>
        </w:rPr>
        <w:t>(4) the rate or rates at which the Securities of such series, or any Tranche thereof, shall bear interest, if any (including the rate or rates at</w:t>
      </w:r>
    </w:p>
    <w:p>
      <w:pPr>
        <w:spacing w:after="0" w:line="73"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which overdue principal shall bear interest, if different from the rate or rates at which such Securities shall bear interest prior to Maturity, and, if applicable, the rate or rates at which overdue premium or interest shall bear interest, if any), or any formula or other method or other means by which such rate or rates shall be determined, by reference to an index or other fact or event ascertainable outside of this Indenture or otherwise; the date or dates from which such interest shall accrue; the Interest Payment Dates on which such interest shall be payable and the Regular Record Date, if any, for the interest payable on such Securities on any Interest Payment Date; the right of the Company, if any, to extend the interest payment periods and the duration of any such extension as contemplated by Section 312; and the basis of computation of interest, if other than as provided in Section 310;</w:t>
      </w:r>
    </w:p>
    <w:p>
      <w:pPr>
        <w:spacing w:after="0" w:line="16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(5) the place or places where the principal of and premium, if any, and interest, if any, on Securities of such series, or any Tranche thereof,</w:t>
      </w:r>
    </w:p>
    <w:p>
      <w:pPr>
        <w:spacing w:after="0" w:line="73" w:lineRule="exact"/>
        <w:rPr>
          <w:sz w:val="20"/>
          <w:szCs w:val="20"/>
          <w:color w:val="auto"/>
        </w:rPr>
      </w:pPr>
    </w:p>
    <w:p>
      <w:pPr>
        <w:jc w:val="both"/>
        <w:ind w:right="240"/>
        <w:spacing w:after="0" w:line="302" w:lineRule="auto"/>
        <w:rPr>
          <w:sz w:val="20"/>
          <w:szCs w:val="20"/>
          <w:color w:val="auto"/>
        </w:rPr>
      </w:pPr>
      <w:r>
        <w:rPr>
          <w:rFonts w:ascii="Arial" w:cs="Arial" w:eastAsia="Arial" w:hAnsi="Arial"/>
          <w:sz w:val="16"/>
          <w:szCs w:val="16"/>
          <w:color w:val="auto"/>
        </w:rPr>
        <w:t>shall be payable, where the Securities of such series, or any Tranche thereof, may be surrendered for registration of transferor for exchange, and where notices and demands to or upon the Company in respect of the Securities of such series, or any Tranche thereof, and this Indenture may be served and notices to Holders pursuant to Section 106 will be published; the Security Registrar and any Paying Agent or Agents for such series or Tranche; and if such is the case, that the principal of such Securities shall be payable without presentment or surrender thereof;</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6"/>
          <w:szCs w:val="16"/>
          <w:color w:val="auto"/>
        </w:rPr>
        <w:t>(6) if applicable, the period or periods within which, the price or prices at which and the terms and conditions upon which Securities of such</w:t>
      </w:r>
    </w:p>
    <w:p>
      <w:pPr>
        <w:spacing w:after="0" w:line="7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series, or any Tranche thereof, may be redeemed, in whole or in part, at the option of the Company and, if other than by a Board Resolution, the manner in which any election by the Company to redeem such Securities shall be evidenced;</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(7) the obligation, if any, of the Company to redeem or purchase Securities of such series, or any Tranche thereof, pursuant to any sinking</w:t>
      </w:r>
    </w:p>
    <w:p>
      <w:pPr>
        <w:spacing w:after="0" w:line="7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fund or analogous provisions or at the option of the Holder thereof and the period or periods within which, the price or prices at which and the terms and conditions upon which Securities of such series, or any Tranche thereof, shall be redeemed or purchased, in whole or in part, pursuant to such obligation;</w:t>
      </w:r>
    </w:p>
    <w:p>
      <w:pPr>
        <w:spacing w:after="0" w:line="181" w:lineRule="exact"/>
        <w:rPr>
          <w:sz w:val="20"/>
          <w:szCs w:val="20"/>
          <w:color w:val="auto"/>
        </w:rPr>
      </w:pPr>
    </w:p>
    <w:p>
      <w:pPr>
        <w:ind w:left="860" w:hanging="215"/>
        <w:spacing w:after="0"/>
        <w:tabs>
          <w:tab w:leader="none" w:pos="8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terms, if any, on which the Securities of such series will be subordinate in right and priority of payment to other debt of the</w:t>
      </w:r>
    </w:p>
    <w:p>
      <w:pPr>
        <w:spacing w:after="0" w:line="6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225" w:lineRule="exact"/>
        <w:rPr>
          <w:rFonts w:ascii="Arial" w:cs="Arial" w:eastAsia="Arial" w:hAnsi="Arial"/>
          <w:sz w:val="17"/>
          <w:szCs w:val="17"/>
          <w:color w:val="auto"/>
        </w:rPr>
      </w:pPr>
    </w:p>
    <w:p>
      <w:pPr>
        <w:ind w:right="560" w:firstLine="645"/>
        <w:spacing w:after="0" w:line="324" w:lineRule="auto"/>
        <w:tabs>
          <w:tab w:leader="none" w:pos="872"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denominations in which any Securities of such series shall be issuable, if other than denominations of $1,000 and any integral multiple thereof;</w:t>
      </w:r>
    </w:p>
    <w:p>
      <w:pPr>
        <w:spacing w:after="0" w:line="129" w:lineRule="exact"/>
        <w:rPr>
          <w:rFonts w:ascii="Arial" w:cs="Arial" w:eastAsia="Arial" w:hAnsi="Arial"/>
          <w:sz w:val="18"/>
          <w:szCs w:val="18"/>
          <w:color w:val="auto"/>
        </w:rPr>
      </w:pPr>
    </w:p>
    <w:p>
      <w:pPr>
        <w:ind w:right="300" w:firstLine="645"/>
        <w:spacing w:after="0" w:line="357" w:lineRule="auto"/>
        <w:tabs>
          <w:tab w:leader="none" w:pos="962" w:val="left"/>
        </w:tabs>
        <w:numPr>
          <w:ilvl w:val="0"/>
          <w:numId w:val="46"/>
        </w:numPr>
        <w:rPr>
          <w:rFonts w:ascii="Arial" w:cs="Arial" w:eastAsia="Arial" w:hAnsi="Arial"/>
          <w:sz w:val="17"/>
          <w:szCs w:val="17"/>
          <w:color w:val="auto"/>
        </w:rPr>
      </w:pPr>
      <w:r>
        <w:rPr>
          <w:rFonts w:ascii="Arial" w:cs="Arial" w:eastAsia="Arial" w:hAnsi="Arial"/>
          <w:sz w:val="17"/>
          <w:szCs w:val="17"/>
          <w:color w:val="auto"/>
        </w:rPr>
        <w:t>if other than the principal amount thereof, the portion of the principal amount of Securities of such series that shall be payable upon declaration of acceleration of the Maturity thereof pursuant to Section 502;</w:t>
      </w:r>
    </w:p>
    <w:p>
      <w:pPr>
        <w:spacing w:after="0" w:line="107" w:lineRule="exact"/>
        <w:rPr>
          <w:rFonts w:ascii="Arial" w:cs="Arial" w:eastAsia="Arial" w:hAnsi="Arial"/>
          <w:sz w:val="17"/>
          <w:szCs w:val="17"/>
          <w:color w:val="auto"/>
        </w:rPr>
      </w:pPr>
    </w:p>
    <w:p>
      <w:pPr>
        <w:ind w:left="960" w:hanging="315"/>
        <w:spacing w:after="0"/>
        <w:tabs>
          <w:tab w:leader="none" w:pos="9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if other than the currency of the United States of America, the currency or currencies, including composite currencies, in which the</w:t>
      </w:r>
    </w:p>
    <w:p>
      <w:pPr>
        <w:spacing w:after="0" w:line="61"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principal of or any premium or interest on the Securities of such series shall be payable and the manner of determining the equivalent of any such amount in Dollars is to be determined for any purpose, including for the purpose of determining the principal amount of such Securities deemed to be Outstanding at any time;</w:t>
      </w:r>
    </w:p>
    <w:p>
      <w:pPr>
        <w:spacing w:after="0" w:line="18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216535</wp:posOffset>
            </wp:positionV>
            <wp:extent cx="72720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740"/>
          </w:cols>
          <w:pgMar w:left="900" w:top="584" w:right="259" w:bottom="1440" w:gutter="0" w:footer="0" w:header="0"/>
        </w:sectPr>
      </w:pPr>
    </w:p>
    <w:bookmarkStart w:id="51" w:name="page52"/>
    <w:bookmarkEnd w:id="51"/>
    <w:p>
      <w:pPr>
        <w:ind w:left="1300"/>
        <w:spacing w:after="0"/>
        <w:rPr>
          <w:sz w:val="20"/>
          <w:szCs w:val="20"/>
          <w:color w:val="auto"/>
        </w:rPr>
      </w:pPr>
      <w:r>
        <w:rPr>
          <w:rFonts w:ascii="Arial" w:cs="Arial" w:eastAsia="Arial" w:hAnsi="Arial"/>
          <w:sz w:val="16"/>
          <w:szCs w:val="16"/>
          <w:color w:val="auto"/>
        </w:rPr>
        <w:t>(12) if the principal of or any premium or interest on the Securities of such series is to be payable, or is to be payable at the election of the</w:t>
      </w:r>
    </w:p>
    <w:p>
      <w:pPr>
        <w:spacing w:after="0" w:line="73" w:lineRule="exact"/>
        <w:rPr>
          <w:sz w:val="20"/>
          <w:szCs w:val="20"/>
          <w:color w:val="auto"/>
        </w:rPr>
      </w:pPr>
    </w:p>
    <w:p>
      <w:pPr>
        <w:ind w:left="660" w:right="80"/>
        <w:spacing w:after="0" w:line="342" w:lineRule="auto"/>
        <w:rPr>
          <w:sz w:val="20"/>
          <w:szCs w:val="20"/>
          <w:color w:val="auto"/>
        </w:rPr>
      </w:pPr>
      <w:r>
        <w:rPr>
          <w:rFonts w:ascii="Arial" w:cs="Arial" w:eastAsia="Arial" w:hAnsi="Arial"/>
          <w:sz w:val="16"/>
          <w:szCs w:val="16"/>
          <w:color w:val="auto"/>
        </w:rPr>
        <w:t>Company or a Holder thereof, in securities or other property, the type and amount of such securities or other property, or the manner of determining such amount shall be determined, and the period or periods within which, and the terms and conditions upon which, any such election may be made;</w:t>
      </w:r>
    </w:p>
    <w:p>
      <w:pPr>
        <w:spacing w:after="0" w:line="124"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(13) the Person to whom any interest on any Security of such series shall be payable, if other than the Person in whose name that Security is</w:t>
      </w:r>
    </w:p>
    <w:p>
      <w:pPr>
        <w:spacing w:after="0" w:line="73" w:lineRule="exact"/>
        <w:rPr>
          <w:sz w:val="20"/>
          <w:szCs w:val="20"/>
          <w:color w:val="auto"/>
        </w:rPr>
      </w:pPr>
    </w:p>
    <w:p>
      <w:pPr>
        <w:ind w:left="660" w:right="40"/>
        <w:spacing w:after="0" w:line="277" w:lineRule="auto"/>
        <w:rPr>
          <w:sz w:val="20"/>
          <w:szCs w:val="20"/>
          <w:color w:val="auto"/>
        </w:rPr>
      </w:pPr>
      <w:r>
        <w:rPr>
          <w:rFonts w:ascii="Arial" w:cs="Arial" w:eastAsia="Arial" w:hAnsi="Arial"/>
          <w:sz w:val="18"/>
          <w:szCs w:val="18"/>
          <w:color w:val="auto"/>
        </w:rPr>
        <w:t>registered at the close of business on the Regular Record Date for such interest, and the extent to which, or the manner in which, any interest payable on a temporary or permanent Global Security on an interest payment date will be paid;</w:t>
      </w:r>
    </w:p>
    <w:p>
      <w:pPr>
        <w:spacing w:after="0" w:line="170" w:lineRule="exact"/>
        <w:rPr>
          <w:sz w:val="20"/>
          <w:szCs w:val="20"/>
          <w:color w:val="auto"/>
        </w:rPr>
      </w:pPr>
    </w:p>
    <w:p>
      <w:pPr>
        <w:ind w:left="660" w:right="340" w:firstLine="645"/>
        <w:spacing w:after="0" w:line="357" w:lineRule="auto"/>
        <w:tabs>
          <w:tab w:leader="none" w:pos="1622" w:val="left"/>
        </w:tabs>
        <w:numPr>
          <w:ilvl w:val="0"/>
          <w:numId w:val="47"/>
        </w:numPr>
        <w:rPr>
          <w:rFonts w:ascii="Arial" w:cs="Arial" w:eastAsia="Arial" w:hAnsi="Arial"/>
          <w:sz w:val="17"/>
          <w:szCs w:val="17"/>
          <w:color w:val="auto"/>
        </w:rPr>
      </w:pPr>
      <w:r>
        <w:rPr>
          <w:rFonts w:ascii="Arial" w:cs="Arial" w:eastAsia="Arial" w:hAnsi="Arial"/>
          <w:sz w:val="17"/>
          <w:szCs w:val="17"/>
          <w:color w:val="auto"/>
        </w:rPr>
        <w:t>any addition to or change in the Events of Default, with respect to the Securities of such series, and any addition to or change in the covenants of the Company for the benefit of the Holders of the Securities of such series in addition to those set forth in Article Ten;</w:t>
      </w:r>
    </w:p>
    <w:p>
      <w:pPr>
        <w:spacing w:after="0" w:line="107" w:lineRule="exact"/>
        <w:rPr>
          <w:rFonts w:ascii="Arial" w:cs="Arial" w:eastAsia="Arial" w:hAnsi="Arial"/>
          <w:sz w:val="17"/>
          <w:szCs w:val="17"/>
          <w:color w:val="auto"/>
        </w:rPr>
      </w:pPr>
    </w:p>
    <w:p>
      <w:pPr>
        <w:ind w:left="660" w:right="280" w:firstLine="645"/>
        <w:spacing w:after="0" w:line="357" w:lineRule="auto"/>
        <w:tabs>
          <w:tab w:leader="none" w:pos="1622"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terms and conditions, if any, pursuant to which the Securities of such series may be converted into or exchanged for securities or other property of the Company or any other Person;</w:t>
      </w:r>
    </w:p>
    <w:p>
      <w:pPr>
        <w:spacing w:after="0" w:line="107" w:lineRule="exact"/>
        <w:rPr>
          <w:rFonts w:ascii="Arial" w:cs="Arial" w:eastAsia="Arial" w:hAnsi="Arial"/>
          <w:sz w:val="17"/>
          <w:szCs w:val="17"/>
          <w:color w:val="auto"/>
        </w:rPr>
      </w:pPr>
    </w:p>
    <w:p>
      <w:pPr>
        <w:ind w:left="660" w:right="440" w:firstLine="645"/>
        <w:spacing w:after="0" w:line="357" w:lineRule="auto"/>
        <w:tabs>
          <w:tab w:leader="none" w:pos="1622"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terms and conditions, if any, pursuant to which the Company’s obligations under this Indenture may be terminated through the deposit of money or Eligible Instruments as provided in Article Four;</w:t>
      </w:r>
    </w:p>
    <w:p>
      <w:pPr>
        <w:spacing w:after="0" w:line="107" w:lineRule="exact"/>
        <w:rPr>
          <w:rFonts w:ascii="Arial" w:cs="Arial" w:eastAsia="Arial" w:hAnsi="Arial"/>
          <w:sz w:val="17"/>
          <w:szCs w:val="17"/>
          <w:color w:val="auto"/>
        </w:rPr>
      </w:pPr>
    </w:p>
    <w:p>
      <w:pPr>
        <w:ind w:left="1620" w:hanging="315"/>
        <w:spacing w:after="0"/>
        <w:tabs>
          <w:tab w:leader="none" w:pos="16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any exceptions to Section 113, or variation in the definition of Business Day, with respect to the Securities of such series;</w:t>
      </w:r>
    </w:p>
    <w:p>
      <w:pPr>
        <w:spacing w:after="0" w:line="277" w:lineRule="exact"/>
        <w:rPr>
          <w:rFonts w:ascii="Arial" w:cs="Arial" w:eastAsia="Arial" w:hAnsi="Arial"/>
          <w:sz w:val="17"/>
          <w:szCs w:val="17"/>
          <w:color w:val="auto"/>
        </w:rPr>
      </w:pPr>
    </w:p>
    <w:p>
      <w:pPr>
        <w:ind w:left="1620" w:hanging="315"/>
        <w:spacing w:after="0"/>
        <w:tabs>
          <w:tab w:leader="none" w:pos="16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any collateral security, assurance or guaranty for the Securities of such series;</w:t>
      </w:r>
    </w:p>
    <w:p>
      <w:pPr>
        <w:spacing w:after="0" w:line="277" w:lineRule="exact"/>
        <w:rPr>
          <w:rFonts w:ascii="Arial" w:cs="Arial" w:eastAsia="Arial" w:hAnsi="Arial"/>
          <w:sz w:val="17"/>
          <w:szCs w:val="17"/>
          <w:color w:val="auto"/>
        </w:rPr>
      </w:pPr>
    </w:p>
    <w:p>
      <w:pPr>
        <w:ind w:left="660" w:right="240" w:firstLine="645"/>
        <w:spacing w:after="0" w:line="357" w:lineRule="auto"/>
        <w:tabs>
          <w:tab w:leader="none" w:pos="1622"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non-applicability of Section 608 to the Securities of such series or any exceptions or modifications of Section 608 with respect to the Securities of such series;</w:t>
      </w:r>
    </w:p>
    <w:p>
      <w:pPr>
        <w:spacing w:after="0" w:line="107" w:lineRule="exact"/>
        <w:rPr>
          <w:rFonts w:ascii="Arial" w:cs="Arial" w:eastAsia="Arial" w:hAnsi="Arial"/>
          <w:sz w:val="17"/>
          <w:szCs w:val="17"/>
          <w:color w:val="auto"/>
        </w:rPr>
      </w:pPr>
    </w:p>
    <w:p>
      <w:pPr>
        <w:ind w:left="1620" w:hanging="315"/>
        <w:spacing w:after="0"/>
        <w:tabs>
          <w:tab w:leader="none" w:pos="16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any rights or duties of another Person to assume the obligations of the Company with respect to the Securities of such series (whether</w:t>
      </w:r>
    </w:p>
    <w:p>
      <w:pPr>
        <w:spacing w:after="0" w:line="73" w:lineRule="exact"/>
        <w:rPr>
          <w:sz w:val="20"/>
          <w:szCs w:val="20"/>
          <w:color w:val="auto"/>
        </w:rPr>
      </w:pPr>
    </w:p>
    <w:p>
      <w:pPr>
        <w:ind w:left="660" w:right="40"/>
        <w:spacing w:after="0" w:line="277" w:lineRule="auto"/>
        <w:rPr>
          <w:sz w:val="20"/>
          <w:szCs w:val="20"/>
          <w:color w:val="auto"/>
        </w:rPr>
      </w:pPr>
      <w:r>
        <w:rPr>
          <w:rFonts w:ascii="Arial" w:cs="Arial" w:eastAsia="Arial" w:hAnsi="Arial"/>
          <w:sz w:val="18"/>
          <w:szCs w:val="18"/>
          <w:color w:val="auto"/>
        </w:rPr>
        <w:t>as joint obligor, primary obligor, secondary obligor or substitute obligor) and any rights or duties to discharge and release any obligor with respect to the Securities of such series or this Indenture to the extent related to such series; and</w:t>
      </w:r>
    </w:p>
    <w:p>
      <w:pPr>
        <w:spacing w:after="0" w:line="170" w:lineRule="exact"/>
        <w:rPr>
          <w:sz w:val="20"/>
          <w:szCs w:val="20"/>
          <w:color w:val="auto"/>
        </w:rPr>
      </w:pPr>
    </w:p>
    <w:p>
      <w:pPr>
        <w:ind w:left="660" w:right="60" w:firstLine="645"/>
        <w:spacing w:after="0" w:line="357" w:lineRule="auto"/>
        <w:tabs>
          <w:tab w:leader="none" w:pos="1622" w:val="left"/>
        </w:tabs>
        <w:numPr>
          <w:ilvl w:val="0"/>
          <w:numId w:val="48"/>
        </w:numPr>
        <w:rPr>
          <w:rFonts w:ascii="Arial" w:cs="Arial" w:eastAsia="Arial" w:hAnsi="Arial"/>
          <w:sz w:val="17"/>
          <w:szCs w:val="17"/>
          <w:color w:val="auto"/>
        </w:rPr>
      </w:pPr>
      <w:r>
        <w:rPr>
          <w:rFonts w:ascii="Arial" w:cs="Arial" w:eastAsia="Arial" w:hAnsi="Arial"/>
          <w:sz w:val="17"/>
          <w:szCs w:val="17"/>
          <w:color w:val="auto"/>
        </w:rPr>
        <w:t>any other terms, conditions and rights of such series (which terms, conditions and rights shall not be inconsistent with the provisions of this Indenture, except as permitted by Section 901(a)(4)).</w:t>
      </w:r>
    </w:p>
    <w:p>
      <w:pPr>
        <w:spacing w:after="0" w:line="107"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(c) All Securities of any one series (other than Securities offered in a Periodic Offering) shall be substantially identical except as to</w:t>
      </w:r>
    </w:p>
    <w:p>
      <w:pPr>
        <w:spacing w:after="0" w:line="61"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denomination and except as may otherwise be provided in or pursuant to such Board Resolution and set forth in such Officer’s Certificate or in any such indenture supplemental hereto and as reasonably acceptable to the Trustee. Securities of different series may differ in any respect.</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(d) If the terms and form or forms of any series of Securities are established by or pursuant to a Board Resolution, the Company shall</w:t>
      </w:r>
    </w:p>
    <w:p>
      <w:pPr>
        <w:spacing w:after="0" w:line="6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deliver a copy of such Board Resolution to the Trustee at or prior to the issuance of such series with (1) the form or forms of Security that have been approved attached thereto, or (2) if such Board Resolution authorizes a specific officer or officers to approve the terms and form or forms of the Securities, a certificate of such officer or officers approving the terms and form or forms of Security with such form or forms of Securities attached thereto. Such Board Resolution or certificate may provide general terms or parameters for Securities of any series and may provide that the specific terms of particular Securities of a series may be determined in accordance with or pursuant to the Company Order referred to in Section 303.</w:t>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(e) With respect to Securities of a series subject to a Periodic Offering, the indenture supplemental hereto or the Board Resolution that</w:t>
      </w:r>
    </w:p>
    <w:p>
      <w:pPr>
        <w:spacing w:after="0" w:line="6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establishes such series, or the Officer’s Certificate pursuant to such supplemental indenture or Board Resolution, as the case may be, may provide general terms or parameters for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720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2" w:name="page53"/>
    <w:bookmarkEnd w:id="52"/>
    <w:p>
      <w:pPr>
        <w:ind w:right="200"/>
        <w:spacing w:after="0" w:line="342" w:lineRule="auto"/>
        <w:rPr>
          <w:sz w:val="20"/>
          <w:szCs w:val="20"/>
          <w:color w:val="auto"/>
        </w:rPr>
      </w:pPr>
      <w:r>
        <w:rPr>
          <w:rFonts w:ascii="Arial" w:cs="Arial" w:eastAsia="Arial" w:hAnsi="Arial"/>
          <w:sz w:val="16"/>
          <w:szCs w:val="16"/>
          <w:color w:val="auto"/>
        </w:rPr>
        <w:t>Securities of such series and provide either that the specific terms of Securities of such series shall be specified in a Company Order or that such terms shall be determined by the Company or its agents in accordance with procedures specified in a Company Order as contemplated by Section 303(c).</w:t>
      </w:r>
    </w:p>
    <w:p>
      <w:pPr>
        <w:spacing w:after="0" w:line="124"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(f) Unless otherwise specified with respect to a series of Securities pursuant to paragraph (2) of Section 301(b), such series of Securities may</w:t>
      </w:r>
    </w:p>
    <w:p>
      <w:pPr>
        <w:spacing w:after="0" w:line="73"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be issued in one or more Tranches with various principal amounts without the consent of any Holders and additional Tranches of such series may be authenticated and delivered pursuant to Section 303.</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SECTION 302. </w:t>
      </w:r>
      <w:r>
        <w:rPr>
          <w:rFonts w:ascii="Arial" w:cs="Arial" w:eastAsia="Arial" w:hAnsi="Arial"/>
          <w:sz w:val="16"/>
          <w:szCs w:val="16"/>
          <w:i w:val="1"/>
          <w:iCs w:val="1"/>
          <w:color w:val="auto"/>
        </w:rPr>
        <w:t>Denominations</w:t>
      </w:r>
      <w:r>
        <w:rPr>
          <w:rFonts w:ascii="Arial" w:cs="Arial" w:eastAsia="Arial" w:hAnsi="Arial"/>
          <w:sz w:val="16"/>
          <w:szCs w:val="16"/>
          <w:color w:val="auto"/>
        </w:rPr>
        <w:t>. The Securities of each series shall be issuable in registered form in such denominations as shall be specified</w:t>
      </w:r>
    </w:p>
    <w:p>
      <w:pPr>
        <w:spacing w:after="0" w:line="7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as contemplated by Section 301(b). In the absence of any such provisions with respect to the Securities of any series, the Securities of such series shall be issuable in denominations of $1,000 and any integral multiple thereof.</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 xml:space="preserve">SECTION 303. </w:t>
      </w:r>
      <w:r>
        <w:rPr>
          <w:rFonts w:ascii="Arial" w:cs="Arial" w:eastAsia="Arial" w:hAnsi="Arial"/>
          <w:sz w:val="17"/>
          <w:szCs w:val="17"/>
          <w:i w:val="1"/>
          <w:iCs w:val="1"/>
          <w:color w:val="auto"/>
        </w:rPr>
        <w:t>Execution, Authentication, Delivery and Dating</w:t>
      </w:r>
      <w:r>
        <w:rPr>
          <w:rFonts w:ascii="Arial" w:cs="Arial" w:eastAsia="Arial" w:hAnsi="Arial"/>
          <w:sz w:val="17"/>
          <w:szCs w:val="17"/>
          <w:color w:val="auto"/>
        </w:rPr>
        <w:t>. (a) The Securities shall be signed on behalf of the Company by an</w:t>
      </w:r>
    </w:p>
    <w:p>
      <w:pPr>
        <w:spacing w:after="0" w:line="61"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Authorized Officer and attested by its Secretary or any Assistant Secretary. The signature of any of these officers on the Securities may be manual or facsimile. Typographical and other minor errors or defects in any such signature shall not affect the validity or enforceability of any Security that has been duly authenticated and delivered by the Trustee.</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(b) Securities bearing the manual or facsimile signatures of individuals who were at any time the proper officers of the Company shall bind</w:t>
      </w:r>
    </w:p>
    <w:p>
      <w:pPr>
        <w:spacing w:after="0" w:line="7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Company notwithstanding that such individuals or any of them have ceased to hold such offices prior to the authentication and delivery of such Securities or did not hold such offices at the date of such Securities.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(c) At any time and from time to time after the execution and delivery of this Indenture, the Company may deliver Securities of any series</w:t>
      </w:r>
    </w:p>
    <w:p>
      <w:pPr>
        <w:spacing w:after="0" w:line="73"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 xml:space="preserve">(or any Tranche thereof) executed by the Company to the Trustee for authentication, together with a Company Order for the authentication and delivery of such Securities (or such Tranche), and the Trustee in accordance with the Company Order shall authenticate and deliver such Securities (or such Tranche); </w:t>
      </w:r>
      <w:r>
        <w:rPr>
          <w:rFonts w:ascii="Arial" w:cs="Arial" w:eastAsia="Arial" w:hAnsi="Arial"/>
          <w:sz w:val="16"/>
          <w:szCs w:val="16"/>
          <w:i w:val="1"/>
          <w:iCs w:val="1"/>
          <w:color w:val="auto"/>
        </w:rPr>
        <w:t xml:space="preserve">provided, however, </w:t>
      </w:r>
      <w:r>
        <w:rPr>
          <w:rFonts w:ascii="Arial" w:cs="Arial" w:eastAsia="Arial" w:hAnsi="Arial"/>
          <w:sz w:val="16"/>
          <w:szCs w:val="16"/>
          <w:color w:val="auto"/>
        </w:rPr>
        <w:t>that with respect to Securities of a series subject to a Periodic Offering, (i) such Company Order may be delivered by the Company to the</w:t>
      </w:r>
      <w:r>
        <w:rPr>
          <w:rFonts w:ascii="Arial" w:cs="Arial" w:eastAsia="Arial" w:hAnsi="Arial"/>
          <w:sz w:val="16"/>
          <w:szCs w:val="16"/>
          <w:i w:val="1"/>
          <w:iCs w:val="1"/>
          <w:color w:val="auto"/>
        </w:rPr>
        <w:t xml:space="preserve"> </w:t>
      </w:r>
      <w:r>
        <w:rPr>
          <w:rFonts w:ascii="Arial" w:cs="Arial" w:eastAsia="Arial" w:hAnsi="Arial"/>
          <w:sz w:val="16"/>
          <w:szCs w:val="16"/>
          <w:color w:val="auto"/>
        </w:rPr>
        <w:t>Trustee prior to the delivery to the Trustee of such Securities for authentication and delivery, (ii) the Trustee shall authenticate and deliver Securities of such series for original issue from time to time, in an aggregate principal amount not exceeding the aggregate principal amount established for such series, all pursuant to a Company Order or pursuant to such procedures acceptable to the Trustee as may be specified from time to time by a Company Order, (iii) the maturity date or dates, original issue date or dates, interest rate or rates and any other terms of Securities of such series shall be determined by Company Order or pursuant to such procedures and (iv) if provided for in such procedures, such Company Order may authorize authentication and delivery pursuant to oral or electronic instructions from the Company or its duly authorized agent or agents, which oral instructions shall be promptly confirmed in writing.</w:t>
      </w:r>
    </w:p>
    <w:p>
      <w:pPr>
        <w:spacing w:after="0" w:line="167" w:lineRule="exact"/>
        <w:rPr>
          <w:sz w:val="20"/>
          <w:szCs w:val="20"/>
          <w:color w:val="auto"/>
        </w:rPr>
      </w:pPr>
    </w:p>
    <w:p>
      <w:pPr>
        <w:ind w:right="440" w:firstLine="1305"/>
        <w:spacing w:after="0" w:line="395" w:lineRule="auto"/>
        <w:tabs>
          <w:tab w:leader="none" w:pos="15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In authenticating such Securities and accepting the additional responsibilities under this Indenture in relation to such Securities, the Trustee shall be entitled to receive, and (subject to Section 601) shall be fully protected in relying upon, an Opinion of Counsel stating:</w:t>
      </w:r>
    </w:p>
    <w:p>
      <w:pPr>
        <w:spacing w:after="0" w:line="83" w:lineRule="exact"/>
        <w:rPr>
          <w:sz w:val="20"/>
          <w:szCs w:val="20"/>
          <w:color w:val="auto"/>
        </w:rPr>
      </w:pPr>
    </w:p>
    <w:p>
      <w:pPr>
        <w:ind w:left="1480" w:hanging="175"/>
        <w:spacing w:after="0"/>
        <w:tabs>
          <w:tab w:leader="none" w:pos="14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that such form of Securities has been established in conformity with the provisions of this Indenture;</w:t>
      </w:r>
    </w:p>
    <w:p>
      <w:pPr>
        <w:spacing w:after="0" w:line="265" w:lineRule="exact"/>
        <w:rPr>
          <w:rFonts w:ascii="Arial" w:cs="Arial" w:eastAsia="Arial" w:hAnsi="Arial"/>
          <w:sz w:val="18"/>
          <w:szCs w:val="18"/>
          <w:color w:val="auto"/>
        </w:rPr>
      </w:pPr>
    </w:p>
    <w:p>
      <w:pPr>
        <w:ind w:left="1540" w:hanging="235"/>
        <w:spacing w:after="0"/>
        <w:tabs>
          <w:tab w:leader="none" w:pos="1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that the terms of such Securities have been established in conformity with the provisions of this Indenture; and</w:t>
      </w:r>
    </w:p>
    <w:p>
      <w:pPr>
        <w:spacing w:after="0" w:line="265" w:lineRule="exact"/>
        <w:rPr>
          <w:rFonts w:ascii="Arial" w:cs="Arial" w:eastAsia="Arial" w:hAnsi="Arial"/>
          <w:sz w:val="18"/>
          <w:szCs w:val="18"/>
          <w:color w:val="auto"/>
        </w:rPr>
      </w:pPr>
    </w:p>
    <w:p>
      <w:pPr>
        <w:ind w:left="1580" w:hanging="275"/>
        <w:spacing w:after="0"/>
        <w:tabs>
          <w:tab w:leader="none" w:pos="15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that such Securities, when authenticated and delivered by the Trustee and issued by the Company in the manner and subject to any</w:t>
      </w:r>
    </w:p>
    <w:p>
      <w:pPr>
        <w:spacing w:after="0" w:line="73" w:lineRule="exact"/>
        <w:rPr>
          <w:sz w:val="20"/>
          <w:szCs w:val="20"/>
          <w:color w:val="auto"/>
        </w:rPr>
      </w:pPr>
    </w:p>
    <w:p>
      <w:pPr>
        <w:ind w:left="660" w:right="120"/>
        <w:spacing w:after="0" w:line="264" w:lineRule="auto"/>
        <w:rPr>
          <w:sz w:val="20"/>
          <w:szCs w:val="20"/>
          <w:color w:val="auto"/>
        </w:rPr>
      </w:pPr>
      <w:r>
        <w:rPr>
          <w:rFonts w:ascii="Arial" w:cs="Arial" w:eastAsia="Arial" w:hAnsi="Arial"/>
          <w:sz w:val="18"/>
          <w:szCs w:val="18"/>
          <w:color w:val="auto"/>
        </w:rPr>
        <w:t>conditions specified in such Opinion of Counsel, will constitute valid and legally binding obligations of the Company, enforceable in accordance with their terms, subject to bankruptcy, insolvency, fraudulent transfer, reorganization, moratorium and similar laws of general applicability relating to or affecting creditors’ rights generally and to general principles of equity.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720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3" w:name="page54"/>
    <w:bookmarkEnd w:id="53"/>
    <w:p>
      <w:pPr>
        <w:ind w:left="1300"/>
        <w:spacing w:after="0"/>
        <w:rPr>
          <w:sz w:val="20"/>
          <w:szCs w:val="20"/>
          <w:color w:val="auto"/>
        </w:rPr>
      </w:pPr>
      <w:r>
        <w:rPr>
          <w:rFonts w:ascii="Arial" w:cs="Arial" w:eastAsia="Arial" w:hAnsi="Arial"/>
          <w:sz w:val="17"/>
          <w:szCs w:val="17"/>
          <w:color w:val="auto"/>
        </w:rPr>
        <w:t>(e) Notwithstanding the provisions of Section 301 and of the preceding paragraphs of Sections 303(c) and 303(d) in connection with a</w:t>
      </w:r>
    </w:p>
    <w:p>
      <w:pPr>
        <w:spacing w:after="0" w:line="6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Periodic Offering, if all Securities of a series are not to be originally issued at one time, it shall not be necessary to deliver an Officer’s Certificate or execute a supplemental indenture otherwise required pursuant to Section 301(b) or the Company Order and Opinion of Counsel otherwise required pursuant to such preceding paragraphs at or prior to the time of authentication of each Security of such series if such documents are delivered at or prior to the authentication upon original issuance of the first Security of such series to be issued.</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(f) If such form or terms have been so established, the Trustee shall not be required to authenticate such Securities if the issuance of such</w:t>
      </w:r>
    </w:p>
    <w:p>
      <w:pPr>
        <w:spacing w:after="0" w:line="7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Securities pursuant to this Indenture will affect the Trustee’s own rights, duties or immunities under the Securities and this Indenture or otherwise in a manner that is not reasonably acceptable to the Trustee.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(g) No Security shall be entitled to any benefit under this Indenture or be valid or obligatory for any purpose unless there appears on such</w:t>
      </w:r>
    </w:p>
    <w:p>
      <w:pPr>
        <w:spacing w:after="0" w:line="7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Security a certificate of authentication substantially in the form provided for herein executed by the Trustee by manual or facsimile signature, and such certificate upon any Security shall be conclusive evidence, and the only evidence, that such Security has been duly authenticated and delivered hereunder and is entitled to the benefits of this Indenture.</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SECTION 304. </w:t>
      </w:r>
      <w:r>
        <w:rPr>
          <w:rFonts w:ascii="Arial" w:cs="Arial" w:eastAsia="Arial" w:hAnsi="Arial"/>
          <w:sz w:val="16"/>
          <w:szCs w:val="16"/>
          <w:i w:val="1"/>
          <w:iCs w:val="1"/>
          <w:color w:val="auto"/>
        </w:rPr>
        <w:t>Temporary Securities</w:t>
      </w:r>
      <w:r>
        <w:rPr>
          <w:rFonts w:ascii="Arial" w:cs="Arial" w:eastAsia="Arial" w:hAnsi="Arial"/>
          <w:sz w:val="16"/>
          <w:szCs w:val="16"/>
          <w:color w:val="auto"/>
        </w:rPr>
        <w:t>. (a) Until definitive Securities of any series (including Global Securities) are ready for delivery, the</w:t>
      </w:r>
    </w:p>
    <w:p>
      <w:pPr>
        <w:spacing w:after="0" w:line="73" w:lineRule="exact"/>
        <w:rPr>
          <w:sz w:val="20"/>
          <w:szCs w:val="20"/>
          <w:color w:val="auto"/>
        </w:rPr>
      </w:pPr>
    </w:p>
    <w:p>
      <w:pPr>
        <w:ind w:right="440"/>
        <w:spacing w:after="0" w:line="312" w:lineRule="auto"/>
        <w:rPr>
          <w:sz w:val="20"/>
          <w:szCs w:val="20"/>
          <w:color w:val="auto"/>
        </w:rPr>
      </w:pPr>
      <w:r>
        <w:rPr>
          <w:rFonts w:ascii="Arial" w:cs="Arial" w:eastAsia="Arial" w:hAnsi="Arial"/>
          <w:sz w:val="16"/>
          <w:szCs w:val="16"/>
          <w:color w:val="auto"/>
        </w:rPr>
        <w:t>Company may execute, and upon Company Order the Trustee shall authenticate and deliver one or more temporary Securities that are produced in any authorized denomination, substantially of the tenor of the definitive Securities in lieu of which they are issued and with such appropriate insertions, omissions, substitutions and other variations as the officers executing such Securities may determine, as evidenced by their execution of such Securities.</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(b) If temporary Securities of any series are issued, the Company will cause definitive Securities of that series to be prepared without</w:t>
      </w:r>
    </w:p>
    <w:p>
      <w:pPr>
        <w:spacing w:after="0" w:line="6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unreasonable delay. After the preparation of definitive Securities of such series, the temporary Securities of such series shall be exchangeable for definitive Securities of such series upon surrender of the temporary Securities of such series at the office or agency of the Company in a Place of Payment for that series, without charge to the Holder. Upon surrender for cancellation of any one or more temporary Securities of any series the Company shall execute and the Trustee shall authenticate and deliver in exchange therefor a like principal amount of definitive Securities of the same series of authorized denominations. Until so exchanged the temporary Securities of any series shall in all respects be entitled to the same benefits under this Indenture as definitive Securities of such series.</w:t>
      </w:r>
    </w:p>
    <w:p>
      <w:pPr>
        <w:spacing w:after="0" w:line="193"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SECTION 305. </w:t>
      </w:r>
      <w:r>
        <w:rPr>
          <w:rFonts w:ascii="Arial" w:cs="Arial" w:eastAsia="Arial" w:hAnsi="Arial"/>
          <w:sz w:val="16"/>
          <w:szCs w:val="16"/>
          <w:i w:val="1"/>
          <w:iCs w:val="1"/>
          <w:color w:val="auto"/>
        </w:rPr>
        <w:t>Registration, Registration of Transfer and Exchange</w:t>
      </w:r>
      <w:r>
        <w:rPr>
          <w:rFonts w:ascii="Arial" w:cs="Arial" w:eastAsia="Arial" w:hAnsi="Arial"/>
          <w:sz w:val="16"/>
          <w:szCs w:val="16"/>
          <w:color w:val="auto"/>
        </w:rPr>
        <w:t>. (a) The Company shall cause to be kept at the Corporate Trust Office</w:t>
      </w:r>
    </w:p>
    <w:p>
      <w:pPr>
        <w:spacing w:after="0" w:line="7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of the Trustee a register (the register maintained in such office and in any other office or agency of the Company in a Place of Payment being herein sometimes collectively referred to as the “</w:t>
      </w:r>
      <w:r>
        <w:rPr>
          <w:rFonts w:ascii="Arial" w:cs="Arial" w:eastAsia="Arial" w:hAnsi="Arial"/>
          <w:sz w:val="18"/>
          <w:szCs w:val="18"/>
          <w:b w:val="1"/>
          <w:bCs w:val="1"/>
          <w:i w:val="1"/>
          <w:iCs w:val="1"/>
          <w:color w:val="auto"/>
        </w:rPr>
        <w:t>Security Register</w:t>
      </w:r>
      <w:r>
        <w:rPr>
          <w:rFonts w:ascii="Arial" w:cs="Arial" w:eastAsia="Arial" w:hAnsi="Arial"/>
          <w:sz w:val="18"/>
          <w:szCs w:val="18"/>
          <w:color w:val="auto"/>
        </w:rPr>
        <w:t>”) in which, subject to such reasonable regulations as it may prescribe, the Company shall provide for the registration of Securities and of transfers of Securities. The Trustee is hereby appointed “</w:t>
      </w:r>
      <w:r>
        <w:rPr>
          <w:rFonts w:ascii="Arial" w:cs="Arial" w:eastAsia="Arial" w:hAnsi="Arial"/>
          <w:sz w:val="18"/>
          <w:szCs w:val="18"/>
          <w:b w:val="1"/>
          <w:bCs w:val="1"/>
          <w:i w:val="1"/>
          <w:iCs w:val="1"/>
          <w:color w:val="auto"/>
        </w:rPr>
        <w:t>Security Registrar</w:t>
      </w:r>
      <w:r>
        <w:rPr>
          <w:rFonts w:ascii="Arial" w:cs="Arial" w:eastAsia="Arial" w:hAnsi="Arial"/>
          <w:sz w:val="18"/>
          <w:szCs w:val="18"/>
          <w:color w:val="auto"/>
        </w:rPr>
        <w:t>” for the purpose of registering Securities and transfers of Securities as herein provided.</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(b) Except in the case of Securities issued in the form of a Global Security, upon surrender for registration of transfer of any Security of any</w:t>
      </w:r>
    </w:p>
    <w:p>
      <w:pPr>
        <w:spacing w:after="0" w:line="7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series at the office or agency of the Company in a Place of Payment for that series, the Company shall execute, and the Trustee shall authenticate and deliver, in the name of the designated transferee or transferees, one or more new Securities of the same series, of any authorized denominations and of a like aggregate principal amount.</w:t>
      </w:r>
    </w:p>
    <w:p>
      <w:pPr>
        <w:spacing w:after="0" w:line="181" w:lineRule="exact"/>
        <w:rPr>
          <w:sz w:val="20"/>
          <w:szCs w:val="20"/>
          <w:color w:val="auto"/>
        </w:rPr>
      </w:pPr>
    </w:p>
    <w:p>
      <w:pPr>
        <w:ind w:firstLine="1305"/>
        <w:spacing w:after="0" w:line="395" w:lineRule="auto"/>
        <w:tabs>
          <w:tab w:leader="none" w:pos="1510" w:val="left"/>
        </w:tabs>
        <w:numPr>
          <w:ilvl w:val="0"/>
          <w:numId w:val="51"/>
        </w:numPr>
        <w:rPr>
          <w:rFonts w:ascii="Arial" w:cs="Arial" w:eastAsia="Arial" w:hAnsi="Arial"/>
          <w:sz w:val="16"/>
          <w:szCs w:val="16"/>
          <w:color w:val="auto"/>
        </w:rPr>
      </w:pPr>
      <w:r>
        <w:rPr>
          <w:rFonts w:ascii="Arial" w:cs="Arial" w:eastAsia="Arial" w:hAnsi="Arial"/>
          <w:sz w:val="16"/>
          <w:szCs w:val="16"/>
          <w:color w:val="auto"/>
        </w:rPr>
        <w:t>All Securities issued upon any registration of transfer or exchange of Securities shall be the valid obligations of the Company, evidencing the same debt, and entitled to the same benefits under this Indenture, as the Securities surrendered upon such registration of transfer or exchange.</w:t>
      </w:r>
    </w:p>
    <w:p>
      <w:pPr>
        <w:spacing w:after="0" w:line="83" w:lineRule="exact"/>
        <w:rPr>
          <w:rFonts w:ascii="Arial" w:cs="Arial" w:eastAsia="Arial" w:hAnsi="Arial"/>
          <w:sz w:val="16"/>
          <w:szCs w:val="16"/>
          <w:color w:val="auto"/>
        </w:rPr>
      </w:pPr>
    </w:p>
    <w:p>
      <w:pPr>
        <w:ind w:right="120" w:firstLine="1305"/>
        <w:spacing w:after="0" w:line="357" w:lineRule="auto"/>
        <w:tabs>
          <w:tab w:leader="none" w:pos="15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Every Security presented or surrendered for registration of transfer or for exchange shall (if so required by the Company or the Trustee) be duly endorsed, or be accompanied by a written instrument of</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720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4" w:name="page55"/>
    <w:bookmarkEnd w:id="54"/>
    <w:p>
      <w:pPr>
        <w:ind w:right="400"/>
        <w:spacing w:after="0" w:line="277" w:lineRule="auto"/>
        <w:rPr>
          <w:sz w:val="20"/>
          <w:szCs w:val="20"/>
          <w:color w:val="auto"/>
        </w:rPr>
      </w:pPr>
      <w:r>
        <w:rPr>
          <w:rFonts w:ascii="Arial" w:cs="Arial" w:eastAsia="Arial" w:hAnsi="Arial"/>
          <w:sz w:val="18"/>
          <w:szCs w:val="18"/>
          <w:color w:val="auto"/>
        </w:rPr>
        <w:t>transfer in form satisfactory to the Company and the Security Registrar duly executed by the Holder thereof or such Holder’s attorney duly authorized in writing.</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(e) Unless otherwise provided in a Board Resolution or an Officer’s Certificate pursuant to a Board Resolution, or in an indenture</w:t>
      </w:r>
    </w:p>
    <w:p>
      <w:pPr>
        <w:spacing w:after="0" w:line="61"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supplemental hereto, with respect to Securities of any series, no service charge shall be made to the Holder for any registration of transfer or exchange of Securities, but the Company may require payment of a sum sufficient to cover any tax or other governmental charge that may be imposed in connection with any registration of transfer or exchange of Securities, other than exchanges pursuant to Section 304, 906, 1106 or 1204 not involving any transfer.</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(f) The Company shall not be required (i) to issue, register the transfer of or exchange Securities of any series during a period beginning at</w:t>
      </w:r>
    </w:p>
    <w:p>
      <w:pPr>
        <w:spacing w:after="0" w:line="7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opening of business 15 days before the day of the mailing of a notice of redemption of Securities of that series selected for redemption under Section 1103 and ending at the close of business on the day of such mailing, or (ii) to register the transfer of or exchange any Security so selected for redemption in whole or in part, except the unredeemed portion of any Security being redeemed in part.</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SECTION 306. </w:t>
      </w:r>
      <w:r>
        <w:rPr>
          <w:rFonts w:ascii="Arial" w:cs="Arial" w:eastAsia="Arial" w:hAnsi="Arial"/>
          <w:sz w:val="16"/>
          <w:szCs w:val="16"/>
          <w:i w:val="1"/>
          <w:iCs w:val="1"/>
          <w:color w:val="auto"/>
        </w:rPr>
        <w:t>Mutilated, Destroyed, Lost and Stolen Securities</w:t>
      </w:r>
      <w:r>
        <w:rPr>
          <w:rFonts w:ascii="Arial" w:cs="Arial" w:eastAsia="Arial" w:hAnsi="Arial"/>
          <w:sz w:val="16"/>
          <w:szCs w:val="16"/>
          <w:color w:val="auto"/>
        </w:rPr>
        <w:t>. (a) If any mutilated Security is surrendered to the Trustee, the Company</w:t>
      </w:r>
    </w:p>
    <w:p>
      <w:pPr>
        <w:spacing w:after="0" w:line="73"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shall execute and the Trustee shall authenticate and deliver in exchange therefor a replacement Security of the same series and of like tenor and principal amount and bearing a number not contemporaneously outstanding.</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(b) If there has been delivered to the Company and the Trustee (i) evidence to their satisfaction of the destruction, loss or theft of any</w:t>
      </w:r>
    </w:p>
    <w:p>
      <w:pPr>
        <w:spacing w:after="0" w:line="6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Security and (ii) such bond, security or indemnity as may be required by them to save each of them and any agent of either of them harmless, then, in the absence of actual notice to the Company or the Trustee that such Security has been acquired by a bona fide purchaser, the Company shall execute and upon its request the Trustee shall authenticate and deliver, a replacement Security of the same series (and Tranche, if applicable) and of like tenor and principal amount and bearing a number not contemporaneously outstanding.</w:t>
      </w:r>
    </w:p>
    <w:p>
      <w:pPr>
        <w:spacing w:after="0" w:line="187" w:lineRule="exact"/>
        <w:rPr>
          <w:sz w:val="20"/>
          <w:szCs w:val="20"/>
          <w:color w:val="auto"/>
        </w:rPr>
      </w:pPr>
    </w:p>
    <w:p>
      <w:pPr>
        <w:ind w:right="360" w:firstLine="1305"/>
        <w:spacing w:after="0" w:line="357" w:lineRule="auto"/>
        <w:tabs>
          <w:tab w:leader="none" w:pos="1510" w:val="left"/>
        </w:tabs>
        <w:numPr>
          <w:ilvl w:val="0"/>
          <w:numId w:val="52"/>
        </w:numPr>
        <w:rPr>
          <w:rFonts w:ascii="Arial" w:cs="Arial" w:eastAsia="Arial" w:hAnsi="Arial"/>
          <w:sz w:val="17"/>
          <w:szCs w:val="17"/>
          <w:color w:val="auto"/>
        </w:rPr>
      </w:pPr>
      <w:r>
        <w:rPr>
          <w:rFonts w:ascii="Arial" w:cs="Arial" w:eastAsia="Arial" w:hAnsi="Arial"/>
          <w:sz w:val="17"/>
          <w:szCs w:val="17"/>
          <w:color w:val="auto"/>
        </w:rPr>
        <w:t>In case any such mutilated, destroyed, lost or stolen Security has become or is about to become due and payable, the Company in its discretion may, instead of issuing a new Security, pay such Security.</w:t>
      </w:r>
    </w:p>
    <w:p>
      <w:pPr>
        <w:spacing w:after="0" w:line="107" w:lineRule="exact"/>
        <w:rPr>
          <w:rFonts w:ascii="Arial" w:cs="Arial" w:eastAsia="Arial" w:hAnsi="Arial"/>
          <w:sz w:val="17"/>
          <w:szCs w:val="17"/>
          <w:color w:val="auto"/>
        </w:rPr>
      </w:pPr>
    </w:p>
    <w:p>
      <w:pPr>
        <w:ind w:left="1520" w:hanging="215"/>
        <w:spacing w:after="0"/>
        <w:tabs>
          <w:tab w:leader="none" w:pos="15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Upon the issuance of any new Security under this Section, the Company may require the payment of a sum sufficient to cover any tax or</w:t>
      </w:r>
    </w:p>
    <w:p>
      <w:pPr>
        <w:spacing w:after="0" w:line="73"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other governmental charge that may be imposed in relation thereto and any other expenses (including the fees and expenses of the Trustee) connected therewith.</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(e) Every new Security of any series issued pursuant to this Section in lieu of any destroyed, lost or stolen Security shall constitute an</w:t>
      </w:r>
    </w:p>
    <w:p>
      <w:pPr>
        <w:spacing w:after="0" w:line="61"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original additional contractual obligation of the Company, whether or not the destroyed, lost or stolen Security is at any time enforceable by anyone, and shall be entitled to all the benefits of this Indenture equally and proportionately with any and all other Securities of that series duly issued hereunder.</w:t>
      </w:r>
    </w:p>
    <w:p>
      <w:pPr>
        <w:spacing w:after="0" w:line="124" w:lineRule="exact"/>
        <w:rPr>
          <w:sz w:val="20"/>
          <w:szCs w:val="20"/>
          <w:color w:val="auto"/>
        </w:rPr>
      </w:pPr>
    </w:p>
    <w:p>
      <w:pPr>
        <w:ind w:right="380" w:firstLine="1305"/>
        <w:spacing w:after="0" w:line="324" w:lineRule="auto"/>
        <w:tabs>
          <w:tab w:leader="none" w:pos="149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provisions of this Section are exclusive and shall preclude (to the extent lawful) all other rights and remedies with respect to the replacement or payment of mutilated, destroyed, lost or stolen Securities.</w:t>
      </w:r>
    </w:p>
    <w:p>
      <w:pPr>
        <w:spacing w:after="0" w:line="130"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 xml:space="preserve">SECTION 307. </w:t>
      </w:r>
      <w:r>
        <w:rPr>
          <w:rFonts w:ascii="Arial" w:cs="Arial" w:eastAsia="Arial" w:hAnsi="Arial"/>
          <w:sz w:val="17"/>
          <w:szCs w:val="17"/>
          <w:i w:val="1"/>
          <w:iCs w:val="1"/>
          <w:color w:val="auto"/>
        </w:rPr>
        <w:t>Payment of Interest; Interest Rights Preserved</w:t>
      </w:r>
      <w:r>
        <w:rPr>
          <w:rFonts w:ascii="Arial" w:cs="Arial" w:eastAsia="Arial" w:hAnsi="Arial"/>
          <w:sz w:val="17"/>
          <w:szCs w:val="17"/>
          <w:color w:val="auto"/>
        </w:rPr>
        <w:t>. (a) Unless otherwise provided as contemplated by Section 301(b) with</w:t>
      </w:r>
    </w:p>
    <w:p>
      <w:pPr>
        <w:spacing w:after="0" w:line="61"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 xml:space="preserve">respect to the Securities of any series, interest on any Security that is payable, and is punctually paid or duly provided for, on any Interest Payment Date shall be paid to the Person in whose name that Security (or one or more Predecessor Securities) is registered at the close of business on the Regular Record Date for such interest;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interest payable at Maturity will be paid to the Person to whom principal is payable.</w:t>
      </w:r>
    </w:p>
    <w:p>
      <w:pPr>
        <w:spacing w:after="0" w:line="166" w:lineRule="exact"/>
        <w:rPr>
          <w:sz w:val="20"/>
          <w:szCs w:val="20"/>
          <w:color w:val="auto"/>
        </w:rPr>
      </w:pPr>
    </w:p>
    <w:p>
      <w:pPr>
        <w:ind w:right="140" w:firstLine="1305"/>
        <w:spacing w:after="0" w:line="357" w:lineRule="auto"/>
        <w:tabs>
          <w:tab w:leader="none" w:pos="15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Any interest on any Security of any series that is payable, but is not punctually paid or duly provided for, on any Interest Payment Date (herein called “</w:t>
      </w:r>
      <w:r>
        <w:rPr>
          <w:rFonts w:ascii="Arial" w:cs="Arial" w:eastAsia="Arial" w:hAnsi="Arial"/>
          <w:sz w:val="17"/>
          <w:szCs w:val="17"/>
          <w:b w:val="1"/>
          <w:bCs w:val="1"/>
          <w:i w:val="1"/>
          <w:iCs w:val="1"/>
          <w:color w:val="auto"/>
        </w:rPr>
        <w:t>Defaulted Interest</w:t>
      </w:r>
      <w:r>
        <w:rPr>
          <w:rFonts w:ascii="Arial" w:cs="Arial" w:eastAsia="Arial" w:hAnsi="Arial"/>
          <w:sz w:val="17"/>
          <w:szCs w:val="17"/>
          <w:color w:val="auto"/>
        </w:rPr>
        <w:t>”) shall forthwith cease to be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720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55" w:name="page56"/>
    <w:bookmarkEnd w:id="55"/>
    <w:p>
      <w:pPr>
        <w:ind w:right="20"/>
        <w:spacing w:after="0" w:line="277" w:lineRule="auto"/>
        <w:rPr>
          <w:sz w:val="20"/>
          <w:szCs w:val="20"/>
          <w:color w:val="auto"/>
        </w:rPr>
      </w:pPr>
      <w:r>
        <w:rPr>
          <w:rFonts w:ascii="Arial" w:cs="Arial" w:eastAsia="Arial" w:hAnsi="Arial"/>
          <w:sz w:val="18"/>
          <w:szCs w:val="18"/>
          <w:color w:val="auto"/>
        </w:rPr>
        <w:t>payable to the Holder on the relevant Regular Record Date by virtue of having been such Holder, and such Defaulted Interest may be paid by the Company, at its election in each case, as provided in clause (i) or (ii) below:</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(i) The Company may elect to make payment of any Defaulted Interest to the Persons in whose names the Securities of such series (or their</w:t>
      </w:r>
    </w:p>
    <w:p>
      <w:pPr>
        <w:spacing w:after="0" w:line="73" w:lineRule="exact"/>
        <w:rPr>
          <w:sz w:val="20"/>
          <w:szCs w:val="20"/>
          <w:color w:val="auto"/>
        </w:rPr>
      </w:pPr>
    </w:p>
    <w:p>
      <w:pPr>
        <w:ind w:left="660"/>
        <w:spacing w:after="0" w:line="268" w:lineRule="auto"/>
        <w:rPr>
          <w:sz w:val="20"/>
          <w:szCs w:val="20"/>
          <w:color w:val="auto"/>
        </w:rPr>
      </w:pPr>
      <w:r>
        <w:rPr>
          <w:rFonts w:ascii="Arial" w:cs="Arial" w:eastAsia="Arial" w:hAnsi="Arial"/>
          <w:sz w:val="17"/>
          <w:szCs w:val="17"/>
          <w:color w:val="auto"/>
        </w:rPr>
        <w:t>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Security of such series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Company shall fix a Special Record Date for the payment of such Defaulted Interest which shall be not more than 15 days and not less than 10 days prior to the date of the proposed payment and not less than 10 days after the receipt by the Trustee of the notice of the proposed payment. The Company shall promptly notify the Trustee of such Special Record Date and, in the name and at the expense of the Company, shall cause notice of the proposed payment of such Defaulted Interest and the Special Record Date therefor to be mailed, first-class postage prepaid, to each Holder of Securities of such series at the address of such Holder as it appears in the Security Register, not less than 10 days prior to such Special Record Date. Notice of the proposed payment of such Defaulted Interest and the Special Record Date therefor having been so mailed, such Defaulted Interest shall be paid to the Persons in whose names the Securities of such series (or their respective Predecessor Securities) are registered at the close of business on such Special Record Date and shall no longer be payable pursuant to the following clause (ii).</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(ii) The Company may make payment of any Defaulted Interest on the Securities of any series in any other lawful manner not inconsistent</w:t>
      </w:r>
    </w:p>
    <w:p>
      <w:pPr>
        <w:spacing w:after="0" w:line="73" w:lineRule="exact"/>
        <w:rPr>
          <w:sz w:val="20"/>
          <w:szCs w:val="20"/>
          <w:color w:val="auto"/>
        </w:rPr>
      </w:pPr>
    </w:p>
    <w:p>
      <w:pPr>
        <w:ind w:left="660"/>
        <w:spacing w:after="0" w:line="264" w:lineRule="auto"/>
        <w:rPr>
          <w:sz w:val="20"/>
          <w:szCs w:val="20"/>
          <w:color w:val="auto"/>
        </w:rPr>
      </w:pPr>
      <w:r>
        <w:rPr>
          <w:rFonts w:ascii="Arial" w:cs="Arial" w:eastAsia="Arial" w:hAnsi="Arial"/>
          <w:sz w:val="18"/>
          <w:szCs w:val="18"/>
          <w:color w:val="auto"/>
        </w:rPr>
        <w:t>with the requirements of any securities exchange on which such Securities may be listed, and upon such notice as may be required by such exchange, if, after notice given by the Company to the Trustee of the proposed payment pursuant to this clause (ii), such manner of payment shall be deemed practicable by the Trustee.</w:t>
      </w:r>
    </w:p>
    <w:p>
      <w:pPr>
        <w:spacing w:after="0" w:line="181" w:lineRule="exact"/>
        <w:rPr>
          <w:sz w:val="20"/>
          <w:szCs w:val="20"/>
          <w:color w:val="auto"/>
        </w:rPr>
      </w:pPr>
    </w:p>
    <w:p>
      <w:pPr>
        <w:ind w:right="280" w:firstLine="1305"/>
        <w:spacing w:after="0" w:line="395" w:lineRule="auto"/>
        <w:tabs>
          <w:tab w:leader="none" w:pos="1510" w:val="left"/>
        </w:tabs>
        <w:numPr>
          <w:ilvl w:val="0"/>
          <w:numId w:val="55"/>
        </w:numPr>
        <w:rPr>
          <w:rFonts w:ascii="Arial" w:cs="Arial" w:eastAsia="Arial" w:hAnsi="Arial"/>
          <w:sz w:val="16"/>
          <w:szCs w:val="16"/>
          <w:color w:val="auto"/>
        </w:rPr>
      </w:pPr>
      <w:r>
        <w:rPr>
          <w:rFonts w:ascii="Arial" w:cs="Arial" w:eastAsia="Arial" w:hAnsi="Arial"/>
          <w:sz w:val="16"/>
          <w:szCs w:val="16"/>
          <w:color w:val="auto"/>
        </w:rPr>
        <w:t>Subject to the foregoing provisions of this Section, each Security delivered under this Indenture upon registration of transfer of or in exchange for or in lieu of any other Security shall carry the rights to interest accrued and unpaid, and to accrue, which were carried by such other Security.</w:t>
      </w:r>
    </w:p>
    <w:p>
      <w:pPr>
        <w:spacing w:after="0" w:line="83"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SECTION 308. </w:t>
      </w:r>
      <w:r>
        <w:rPr>
          <w:rFonts w:ascii="Arial" w:cs="Arial" w:eastAsia="Arial" w:hAnsi="Arial"/>
          <w:sz w:val="16"/>
          <w:szCs w:val="16"/>
          <w:i w:val="1"/>
          <w:iCs w:val="1"/>
          <w:color w:val="auto"/>
        </w:rPr>
        <w:t>Persons Deemed Owners</w:t>
      </w:r>
      <w:r>
        <w:rPr>
          <w:rFonts w:ascii="Arial" w:cs="Arial" w:eastAsia="Arial" w:hAnsi="Arial"/>
          <w:sz w:val="16"/>
          <w:szCs w:val="16"/>
          <w:color w:val="auto"/>
        </w:rPr>
        <w:t>. Prior to due presentment of a Security for registration of transfer, the Company, the Trustee and</w:t>
      </w:r>
    </w:p>
    <w:p>
      <w:pPr>
        <w:spacing w:after="0" w:line="7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any agent of the Company or the Trustee may treat the Person in whose name such Security is registered as the owner of such Security for the purpose of receiving payment of principal of (and any premium) and (subject to Section 301 and Section 307) any interest on such Security and for all other purposes whatsoever, whether or not such Security be overdue, and neither the Company, the Trustee nor any agent of the Company or the Trustee shall be affected by notice to the contrary.</w:t>
      </w:r>
    </w:p>
    <w:p>
      <w:pPr>
        <w:spacing w:after="0" w:line="187" w:lineRule="exact"/>
        <w:rPr>
          <w:sz w:val="20"/>
          <w:szCs w:val="20"/>
          <w:color w:val="auto"/>
        </w:rPr>
      </w:pPr>
    </w:p>
    <w:p>
      <w:pPr>
        <w:ind w:right="20" w:firstLine="1297"/>
        <w:spacing w:after="0" w:line="277" w:lineRule="auto"/>
        <w:rPr>
          <w:sz w:val="20"/>
          <w:szCs w:val="20"/>
          <w:color w:val="auto"/>
        </w:rPr>
      </w:pPr>
      <w:r>
        <w:rPr>
          <w:rFonts w:ascii="Arial" w:cs="Arial" w:eastAsia="Arial" w:hAnsi="Arial"/>
          <w:sz w:val="18"/>
          <w:szCs w:val="18"/>
          <w:color w:val="auto"/>
        </w:rPr>
        <w:t>Ownership of Securities of a series shall be proved by the computerized book-entry system of the Depositary in the case of Securities issued in the form of a Global Security.</w:t>
      </w:r>
    </w:p>
    <w:p>
      <w:pPr>
        <w:spacing w:after="0" w:line="170" w:lineRule="exact"/>
        <w:rPr>
          <w:sz w:val="20"/>
          <w:szCs w:val="20"/>
          <w:color w:val="auto"/>
        </w:rPr>
      </w:pPr>
    </w:p>
    <w:p>
      <w:pPr>
        <w:ind w:right="40" w:firstLine="1297"/>
        <w:spacing w:after="0" w:line="264" w:lineRule="auto"/>
        <w:rPr>
          <w:sz w:val="20"/>
          <w:szCs w:val="20"/>
          <w:color w:val="auto"/>
        </w:rPr>
      </w:pPr>
      <w:r>
        <w:rPr>
          <w:rFonts w:ascii="Arial" w:cs="Arial" w:eastAsia="Arial" w:hAnsi="Arial"/>
          <w:sz w:val="18"/>
          <w:szCs w:val="18"/>
          <w:color w:val="auto"/>
        </w:rPr>
        <w:t>None of the Company, the Trustee, any Paying Agent or the Security Registrar shall have any responsibility or liability for any aspect of the records relating to or payments made on account of beneficial ownership interests of a Global Security or for maintaining, supervising or reviewing any records relating to such beneficial ownership interests.</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SECTION 309. </w:t>
      </w:r>
      <w:r>
        <w:rPr>
          <w:rFonts w:ascii="Arial" w:cs="Arial" w:eastAsia="Arial" w:hAnsi="Arial"/>
          <w:sz w:val="16"/>
          <w:szCs w:val="16"/>
          <w:i w:val="1"/>
          <w:iCs w:val="1"/>
          <w:color w:val="auto"/>
        </w:rPr>
        <w:t>Cancellation</w:t>
      </w:r>
      <w:r>
        <w:rPr>
          <w:rFonts w:ascii="Arial" w:cs="Arial" w:eastAsia="Arial" w:hAnsi="Arial"/>
          <w:sz w:val="16"/>
          <w:szCs w:val="16"/>
          <w:color w:val="auto"/>
        </w:rPr>
        <w:t>. Except as otherwise specified as contemplated by Section 301(b) for Securities of any series, all Securities</w:t>
      </w:r>
    </w:p>
    <w:p>
      <w:pPr>
        <w:spacing w:after="0" w:line="73"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surrendered for payment, redemption, registration of transfer or exchange or for credit against any sinking fund payment shall, if surrendered to any Person other than the Trustee, be delivered to the Trustee and, if not theretofore cancelled, shall be promptly cancelled by it. Except as otherwise specified as contemplated by Section 301(b) for Securities of any series, the Company may at any time deliver to the Trustee for cancellation any Securities previously authenticated and delivered hereunder that the Company may have acquired in any manner whatsoever or that the Company has not issued and sold, and all Securities so delivered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720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6" w:name="page57"/>
    <w:bookmarkEnd w:id="56"/>
    <w:p>
      <w:pPr>
        <w:ind w:right="480"/>
        <w:spacing w:after="0" w:line="342" w:lineRule="auto"/>
        <w:rPr>
          <w:sz w:val="20"/>
          <w:szCs w:val="20"/>
          <w:color w:val="auto"/>
        </w:rPr>
      </w:pPr>
      <w:r>
        <w:rPr>
          <w:rFonts w:ascii="Arial" w:cs="Arial" w:eastAsia="Arial" w:hAnsi="Arial"/>
          <w:sz w:val="16"/>
          <w:szCs w:val="16"/>
          <w:color w:val="auto"/>
        </w:rPr>
        <w:t>shall be promptly cancelled by the Trustee. No Securities shall be authenticated in lieu of or in exchange for any Securities cancelled as provided in this Section, except as expressly permitted by this Indenture. Upon request of the Company, the Trustee shall provide it with a certificate of cancellation.</w:t>
      </w:r>
    </w:p>
    <w:p>
      <w:pPr>
        <w:spacing w:after="0" w:line="124" w:lineRule="exact"/>
        <w:rPr>
          <w:sz w:val="20"/>
          <w:szCs w:val="20"/>
          <w:color w:val="auto"/>
        </w:rPr>
      </w:pPr>
    </w:p>
    <w:p>
      <w:pPr>
        <w:ind w:right="500" w:firstLine="1297"/>
        <w:spacing w:after="0" w:line="324" w:lineRule="auto"/>
        <w:rPr>
          <w:sz w:val="20"/>
          <w:szCs w:val="20"/>
          <w:color w:val="auto"/>
        </w:rPr>
      </w:pPr>
      <w:r>
        <w:rPr>
          <w:rFonts w:ascii="Arial" w:cs="Arial" w:eastAsia="Arial" w:hAnsi="Arial"/>
          <w:sz w:val="18"/>
          <w:szCs w:val="18"/>
          <w:color w:val="auto"/>
        </w:rPr>
        <w:t xml:space="preserve">SECTION 310. </w:t>
      </w:r>
      <w:r>
        <w:rPr>
          <w:rFonts w:ascii="Arial" w:cs="Arial" w:eastAsia="Arial" w:hAnsi="Arial"/>
          <w:sz w:val="18"/>
          <w:szCs w:val="18"/>
          <w:i w:val="1"/>
          <w:iCs w:val="1"/>
          <w:color w:val="auto"/>
        </w:rPr>
        <w:t>Computation of Interest</w:t>
      </w:r>
      <w:r>
        <w:rPr>
          <w:rFonts w:ascii="Arial" w:cs="Arial" w:eastAsia="Arial" w:hAnsi="Arial"/>
          <w:sz w:val="18"/>
          <w:szCs w:val="18"/>
          <w:color w:val="auto"/>
        </w:rPr>
        <w:t>. Except as otherwise specified as contemplated by Section 301(b) for Securities of any series, interest on the Securities of each series shall be computed on the basis of a 360-day year of twelve 30-day months.</w:t>
      </w:r>
    </w:p>
    <w:p>
      <w:pPr>
        <w:spacing w:after="0" w:line="13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SECTION 311. </w:t>
      </w:r>
      <w:r>
        <w:rPr>
          <w:rFonts w:ascii="Arial" w:cs="Arial" w:eastAsia="Arial" w:hAnsi="Arial"/>
          <w:sz w:val="16"/>
          <w:szCs w:val="16"/>
          <w:i w:val="1"/>
          <w:iCs w:val="1"/>
          <w:color w:val="auto"/>
        </w:rPr>
        <w:t>Global Securities; Exchanges; Registration and Registration of Transfer</w:t>
      </w:r>
      <w:r>
        <w:rPr>
          <w:rFonts w:ascii="Arial" w:cs="Arial" w:eastAsia="Arial" w:hAnsi="Arial"/>
          <w:sz w:val="16"/>
          <w:szCs w:val="16"/>
          <w:color w:val="auto"/>
        </w:rPr>
        <w:t>. If specified as contemplated by Section 301(b) for</w:t>
      </w:r>
    </w:p>
    <w:p>
      <w:pPr>
        <w:spacing w:after="0" w:line="73"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Securities of any series, the Securities of such series may be issued in the form of one or more Global Securities, which shall be deposited with the Depositary, and, unless otherwise specified in the form of Global Security adopted pursuant to Section 301, be registered in the name of the Depository’s nominee.</w:t>
      </w:r>
    </w:p>
    <w:p>
      <w:pPr>
        <w:spacing w:after="0" w:line="181" w:lineRule="exact"/>
        <w:rPr>
          <w:sz w:val="20"/>
          <w:szCs w:val="20"/>
          <w:color w:val="auto"/>
        </w:rPr>
      </w:pPr>
    </w:p>
    <w:p>
      <w:pPr>
        <w:ind w:right="100" w:firstLine="1297"/>
        <w:spacing w:after="0" w:line="287" w:lineRule="auto"/>
        <w:rPr>
          <w:sz w:val="20"/>
          <w:szCs w:val="20"/>
          <w:color w:val="auto"/>
        </w:rPr>
      </w:pPr>
      <w:r>
        <w:rPr>
          <w:rFonts w:ascii="Arial" w:cs="Arial" w:eastAsia="Arial" w:hAnsi="Arial"/>
          <w:sz w:val="16"/>
          <w:szCs w:val="16"/>
          <w:color w:val="auto"/>
        </w:rPr>
        <w:t xml:space="preserve">Except as otherwise specified as contemplated by Section 301(b) for Securities of any series, any permanent Global Security shall be exchangeable only as provided in this paragraph. If the beneficial owners of interests in a permanent Global Security are entitled to exchange such interests for Securities of such series of like tenor and principal amount of another authorized form, as specified as contemplated by Section 301(b), then without unnecessary delay but in any event not later than the earliest date on which such interests may be so exchanged, the Company shall deliver to the Trustee definitive Securities of that series in aggregate principal amount equal to the principal amount of such permanent Global Security, executed by the Company. On or after the earliest date on which such interests may be so exchanged, such permanent Global Security shall be surrendered from time to time in accordance with instructions given to the Trustee and the Depositary (which instructions shall be in writing but need not comply with Section 102 or be accompanied by an Opinion of Counsel) by the Depositary or such other depositary as shall be specified in the Company Order with respect thereto to the Trustee, as the Company’s agent for such purpose, to be exchanged, in whole or in part, for definitive Securities of the same series without charge and the Trustee shall authenticate and deliver, in exchange for each portion of such permanent Global Security, a like aggregate principal amount of definitive Securities of the same series of authorized denominations and of like tenor as the portion of such permanent Global Security to be exchanged, as shall be specified by the Depositary;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 such exchanges may occur during the periods specified by Section 305.</w:t>
      </w:r>
    </w:p>
    <w:p>
      <w:pPr>
        <w:spacing w:after="0" w:line="169" w:lineRule="exact"/>
        <w:rPr>
          <w:sz w:val="20"/>
          <w:szCs w:val="20"/>
          <w:color w:val="auto"/>
        </w:rPr>
      </w:pPr>
    </w:p>
    <w:p>
      <w:pPr>
        <w:ind w:right="60" w:firstLine="1297"/>
        <w:spacing w:after="0" w:line="290" w:lineRule="auto"/>
        <w:rPr>
          <w:sz w:val="20"/>
          <w:szCs w:val="20"/>
          <w:color w:val="auto"/>
        </w:rPr>
      </w:pPr>
      <w:r>
        <w:rPr>
          <w:rFonts w:ascii="Arial" w:cs="Arial" w:eastAsia="Arial" w:hAnsi="Arial"/>
          <w:sz w:val="16"/>
          <w:szCs w:val="16"/>
          <w:color w:val="auto"/>
        </w:rPr>
        <w:t>The Global Security may be transferred to another nominee of the Depositary, or to a successor Depositary selected by the Company, and upon surrender for registration of transfer of the Global Security to the Trustee, the Company shall execute, and the Trustee shall authenticate and deliver, in the name of the designated transferee, a new Global Security in the same aggregate principal amount. If at any time the Depositary notifies the Company that it is unwilling or unable to continue as Depositary and a successor Depositary satisfactory to the Company is not appointed within 90 days after the Company receives such notice, the Company will execute, and the Trustee will authenticate and deliver, Securities in definitive form to the Depositary in exchange for the Global Security. In addition, if at any time the Company determines that it is not in the best interest of the Company or the beneficial owners of Securities to continue to have a Global Security representing all of the Securities held by a Depositary, the Company may, at its option, execute, and the Trustee will authenticate and deliver, Securities in definitive form to the Depositary in exchange for all or a portion of the Global Security.</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SECTION 312. </w:t>
      </w:r>
      <w:r>
        <w:rPr>
          <w:rFonts w:ascii="Arial" w:cs="Arial" w:eastAsia="Arial" w:hAnsi="Arial"/>
          <w:sz w:val="16"/>
          <w:szCs w:val="16"/>
          <w:i w:val="1"/>
          <w:iCs w:val="1"/>
          <w:color w:val="auto"/>
        </w:rPr>
        <w:t>Extension of Interest Payment</w:t>
      </w:r>
      <w:r>
        <w:rPr>
          <w:rFonts w:ascii="Arial" w:cs="Arial" w:eastAsia="Arial" w:hAnsi="Arial"/>
          <w:sz w:val="16"/>
          <w:szCs w:val="16"/>
          <w:color w:val="auto"/>
        </w:rPr>
        <w:t>. The Company shall have the right at any time, so long as the Company is not in default in the</w:t>
      </w:r>
    </w:p>
    <w:p>
      <w:pPr>
        <w:spacing w:after="0" w:line="73"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payment of interest on the Securities of any series hereunder, to extend interest payment periods on all Securities of one or more series, if so specified as contemplated by Section 301(b) with respect to such Securities and upon such terms as may be specified as contemplated by Section 301(b) with respect to such Securities. If the Company ever so extends any such interest payment period, the Company shall promptly notify the Trustee.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720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7" w:name="page58"/>
    <w:bookmarkEnd w:id="57"/>
    <w:p>
      <w:pPr>
        <w:jc w:val="center"/>
        <w:ind w:right="-19"/>
        <w:spacing w:after="0"/>
        <w:rPr>
          <w:sz w:val="20"/>
          <w:szCs w:val="20"/>
          <w:color w:val="auto"/>
        </w:rPr>
      </w:pPr>
      <w:r>
        <w:rPr>
          <w:rFonts w:ascii="Arial" w:cs="Arial" w:eastAsia="Arial" w:hAnsi="Arial"/>
          <w:sz w:val="18"/>
          <w:szCs w:val="18"/>
          <w:b w:val="1"/>
          <w:bCs w:val="1"/>
          <w:color w:val="auto"/>
        </w:rPr>
        <w:t>ARTICLE FOUR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SATISFACTION AND DISCHARGE; DEFEASANCE</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SECTION 401. </w:t>
      </w:r>
      <w:r>
        <w:rPr>
          <w:rFonts w:ascii="Arial" w:cs="Arial" w:eastAsia="Arial" w:hAnsi="Arial"/>
          <w:sz w:val="16"/>
          <w:szCs w:val="16"/>
          <w:i w:val="1"/>
          <w:iCs w:val="1"/>
          <w:color w:val="auto"/>
        </w:rPr>
        <w:t>Termination of Company’s Obligations</w:t>
      </w:r>
      <w:r>
        <w:rPr>
          <w:rFonts w:ascii="Arial" w:cs="Arial" w:eastAsia="Arial" w:hAnsi="Arial"/>
          <w:sz w:val="16"/>
          <w:szCs w:val="16"/>
          <w:color w:val="auto"/>
        </w:rPr>
        <w:t>. (a) This Indenture shall upon Company Request cease to be of further effect with</w:t>
      </w:r>
    </w:p>
    <w:p>
      <w:pPr>
        <w:spacing w:after="0" w:line="7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respect to the Securities of any series (except as to any surviving rights of registration of transfer or exchange of Securities herein expressly provided for), and the Trustee, at the expense of the Company, shall execute instruments in form and substance satisfactory to the Trustee and the Company acknowledging termination of the Company’s obligations under the Securities of such series and this Indenture, when</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 either</w:t>
      </w:r>
    </w:p>
    <w:p>
      <w:pPr>
        <w:spacing w:after="0" w:line="266" w:lineRule="exact"/>
        <w:rPr>
          <w:sz w:val="20"/>
          <w:szCs w:val="20"/>
          <w:color w:val="auto"/>
        </w:rPr>
      </w:pPr>
    </w:p>
    <w:p>
      <w:pPr>
        <w:ind w:left="1960"/>
        <w:spacing w:after="0"/>
        <w:rPr>
          <w:sz w:val="20"/>
          <w:szCs w:val="20"/>
          <w:color w:val="auto"/>
        </w:rPr>
      </w:pPr>
      <w:r>
        <w:rPr>
          <w:rFonts w:ascii="Arial" w:cs="Arial" w:eastAsia="Arial" w:hAnsi="Arial"/>
          <w:sz w:val="17"/>
          <w:szCs w:val="17"/>
          <w:color w:val="auto"/>
        </w:rPr>
        <w:t>(A) all Securities of such series previously authenticated and delivered (other than (i) Securities of such series that have been</w:t>
      </w:r>
    </w:p>
    <w:p>
      <w:pPr>
        <w:spacing w:after="0" w:line="61" w:lineRule="exact"/>
        <w:rPr>
          <w:sz w:val="20"/>
          <w:szCs w:val="20"/>
          <w:color w:val="auto"/>
        </w:rPr>
      </w:pPr>
    </w:p>
    <w:p>
      <w:pPr>
        <w:ind w:left="660" w:right="280"/>
        <w:spacing w:after="0" w:line="277" w:lineRule="auto"/>
        <w:rPr>
          <w:sz w:val="20"/>
          <w:szCs w:val="20"/>
          <w:color w:val="auto"/>
        </w:rPr>
      </w:pPr>
      <w:r>
        <w:rPr>
          <w:rFonts w:ascii="Arial" w:cs="Arial" w:eastAsia="Arial" w:hAnsi="Arial"/>
          <w:sz w:val="18"/>
          <w:szCs w:val="18"/>
          <w:color w:val="auto"/>
        </w:rPr>
        <w:t>destroyed, lost or stolen and that have been replaced or paid as provided in Section 306 and (ii) Securities of such series that are deemed paid and discharged pursuant to Section 402) have been delivered to the Trustee for cancellation; or</w:t>
      </w:r>
    </w:p>
    <w:p>
      <w:pPr>
        <w:spacing w:after="0" w:line="170" w:lineRule="exact"/>
        <w:rPr>
          <w:sz w:val="20"/>
          <w:szCs w:val="20"/>
          <w:color w:val="auto"/>
        </w:rPr>
      </w:pPr>
    </w:p>
    <w:p>
      <w:pPr>
        <w:ind w:left="2200" w:hanging="247"/>
        <w:spacing w:after="0"/>
        <w:tabs>
          <w:tab w:leader="none" w:pos="22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all such Securities of such series not previously delivered to the Trustee for cancellation</w:t>
      </w:r>
    </w:p>
    <w:p>
      <w:pPr>
        <w:spacing w:after="0" w:line="265" w:lineRule="exact"/>
        <w:rPr>
          <w:rFonts w:ascii="Arial" w:cs="Arial" w:eastAsia="Arial" w:hAnsi="Arial"/>
          <w:sz w:val="18"/>
          <w:szCs w:val="18"/>
          <w:color w:val="auto"/>
        </w:rPr>
      </w:pPr>
    </w:p>
    <w:p>
      <w:pPr>
        <w:ind w:left="2540" w:hanging="182"/>
        <w:spacing w:after="0"/>
        <w:tabs>
          <w:tab w:leader="none" w:pos="2540" w:val="left"/>
        </w:tabs>
        <w:numPr>
          <w:ilvl w:val="1"/>
          <w:numId w:val="56"/>
        </w:numPr>
        <w:rPr>
          <w:rFonts w:ascii="Arial" w:cs="Arial" w:eastAsia="Arial" w:hAnsi="Arial"/>
          <w:sz w:val="18"/>
          <w:szCs w:val="18"/>
          <w:color w:val="auto"/>
        </w:rPr>
      </w:pPr>
      <w:r>
        <w:rPr>
          <w:rFonts w:ascii="Arial" w:cs="Arial" w:eastAsia="Arial" w:hAnsi="Arial"/>
          <w:sz w:val="18"/>
          <w:szCs w:val="18"/>
          <w:color w:val="auto"/>
        </w:rPr>
        <w:t>have become due and payable (whether at Stated Maturity, early redemption or otherwise), or</w:t>
      </w:r>
    </w:p>
    <w:p>
      <w:pPr>
        <w:spacing w:after="0" w:line="265" w:lineRule="exact"/>
        <w:rPr>
          <w:rFonts w:ascii="Arial" w:cs="Arial" w:eastAsia="Arial" w:hAnsi="Arial"/>
          <w:sz w:val="18"/>
          <w:szCs w:val="18"/>
          <w:color w:val="auto"/>
        </w:rPr>
      </w:pPr>
    </w:p>
    <w:p>
      <w:pPr>
        <w:ind w:left="2600" w:hanging="242"/>
        <w:spacing w:after="0"/>
        <w:tabs>
          <w:tab w:leader="none" w:pos="26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will become due and payable at their Stated Maturity within one year, or</w:t>
      </w:r>
    </w:p>
    <w:p>
      <w:pPr>
        <w:spacing w:after="0" w:line="265" w:lineRule="exact"/>
        <w:rPr>
          <w:rFonts w:ascii="Arial" w:cs="Arial" w:eastAsia="Arial" w:hAnsi="Arial"/>
          <w:sz w:val="18"/>
          <w:szCs w:val="18"/>
          <w:color w:val="auto"/>
        </w:rPr>
      </w:pPr>
    </w:p>
    <w:p>
      <w:pPr>
        <w:ind w:left="660" w:right="100" w:firstLine="1698"/>
        <w:spacing w:after="0" w:line="324" w:lineRule="auto"/>
        <w:tabs>
          <w:tab w:leader="none" w:pos="2645" w:val="left"/>
        </w:tabs>
        <w:numPr>
          <w:ilvl w:val="1"/>
          <w:numId w:val="56"/>
        </w:numPr>
        <w:rPr>
          <w:rFonts w:ascii="Arial" w:cs="Arial" w:eastAsia="Arial" w:hAnsi="Arial"/>
          <w:sz w:val="18"/>
          <w:szCs w:val="18"/>
          <w:color w:val="auto"/>
        </w:rPr>
      </w:pPr>
      <w:r>
        <w:rPr>
          <w:rFonts w:ascii="Arial" w:cs="Arial" w:eastAsia="Arial" w:hAnsi="Arial"/>
          <w:sz w:val="18"/>
          <w:szCs w:val="18"/>
          <w:color w:val="auto"/>
        </w:rPr>
        <w:t>are to be called for redemption within one year under arrangements satisfactory to the Trustee for the giving of notice of redemption by the Trustee in the name, and at the expense, of the Company,</w:t>
      </w:r>
    </w:p>
    <w:p>
      <w:pPr>
        <w:spacing w:after="0" w:line="130" w:lineRule="exact"/>
        <w:rPr>
          <w:sz w:val="20"/>
          <w:szCs w:val="20"/>
          <w:color w:val="auto"/>
        </w:rPr>
      </w:pPr>
    </w:p>
    <w:p>
      <w:pPr>
        <w:ind w:left="660"/>
        <w:spacing w:after="0" w:line="257" w:lineRule="auto"/>
        <w:rPr>
          <w:sz w:val="20"/>
          <w:szCs w:val="20"/>
          <w:color w:val="auto"/>
        </w:rPr>
      </w:pPr>
      <w:r>
        <w:rPr>
          <w:rFonts w:ascii="Arial" w:cs="Arial" w:eastAsia="Arial" w:hAnsi="Arial"/>
          <w:sz w:val="18"/>
          <w:szCs w:val="18"/>
          <w:color w:val="auto"/>
        </w:rPr>
        <w:t>and the Company in the case of (i), (ii) or (iii) above has irrevocably deposited or caused to be deposited with the Trustee as funds in trust solely for the benefit of the Holders of the Securities of such series an amount in cash in Dollars (or such other currency or composite currency in which the Securities of such series are denominated), Eligible Obligations or any combination thereof, together (if necessary in the case of a series of Securities not bearing interest at a fixed rate) with any Hedging Obligation, so that such funds in each case are sufficient to pay principal of, and any premium and interest on, all Outstanding Securities of such series;</w:t>
      </w:r>
    </w:p>
    <w:p>
      <w:pPr>
        <w:spacing w:after="0" w:line="188" w:lineRule="exact"/>
        <w:rPr>
          <w:sz w:val="20"/>
          <w:szCs w:val="20"/>
          <w:color w:val="auto"/>
        </w:rPr>
      </w:pPr>
    </w:p>
    <w:p>
      <w:pPr>
        <w:ind w:left="1520" w:hanging="215"/>
        <w:spacing w:after="0"/>
        <w:tabs>
          <w:tab w:leader="none" w:pos="15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Company has paid or caused to be paid all other sums payable hereunder by the Company; and</w:t>
      </w:r>
    </w:p>
    <w:p>
      <w:pPr>
        <w:spacing w:after="0" w:line="277" w:lineRule="exact"/>
        <w:rPr>
          <w:rFonts w:ascii="Arial" w:cs="Arial" w:eastAsia="Arial" w:hAnsi="Arial"/>
          <w:sz w:val="17"/>
          <w:szCs w:val="17"/>
          <w:color w:val="auto"/>
        </w:rPr>
      </w:pPr>
    </w:p>
    <w:p>
      <w:pPr>
        <w:ind w:left="660" w:right="160" w:firstLine="645"/>
        <w:spacing w:after="0" w:line="324" w:lineRule="auto"/>
        <w:tabs>
          <w:tab w:leader="none" w:pos="1532"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Company has delivered to the Trustee an Officer’s Certificate and an Opinion of Counsel, each stating that all conditions precedent herein provided for relating to the satisfaction and discharge of this Indenture have been complied with.</w:t>
      </w:r>
    </w:p>
    <w:p>
      <w:pPr>
        <w:spacing w:after="0" w:line="13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(b) Notwithstanding the satisfaction and discharge of this Indenture, the obligations of the Company to the Trustee under Section 607, the</w:t>
      </w:r>
    </w:p>
    <w:p>
      <w:pPr>
        <w:spacing w:after="0" w:line="7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obligations of the Trustee to any Authenticating Agent under Section 614 and, if money has been deposited with the Trustee pursuant to subclause (B) of clause (1) of this Section, the obligations of the Trustee under Section 405 and Section 1003(e) shall survive.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(c) Upon satisfaction and discharge of this Indenture as provided in this Section 401, the Trustee shall assign, transfer and turn over to the</w:t>
      </w:r>
    </w:p>
    <w:p>
      <w:pPr>
        <w:spacing w:after="0" w:line="73"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Company, subject to the claim provided by Section 607, any and all money, securities and other property then held by the Trustee for the benefit of the Holders of the Securities.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720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58" w:name="page59"/>
    <w:bookmarkEnd w:id="58"/>
    <w:p>
      <w:pPr>
        <w:jc w:val="both"/>
        <w:ind w:right="100" w:firstLine="1297"/>
        <w:spacing w:after="0" w:line="312" w:lineRule="auto"/>
        <w:rPr>
          <w:sz w:val="20"/>
          <w:szCs w:val="20"/>
          <w:color w:val="auto"/>
        </w:rPr>
      </w:pPr>
      <w:r>
        <w:rPr>
          <w:rFonts w:ascii="Arial" w:cs="Arial" w:eastAsia="Arial" w:hAnsi="Arial"/>
          <w:sz w:val="16"/>
          <w:szCs w:val="16"/>
          <w:color w:val="auto"/>
        </w:rPr>
        <w:t>The Company may elect, at its option at any time, to have Section 402 or Section 403 applied to the Outstanding Securities of any series in accordance with any applicable requirements provided pursuant to Section 301 and upon compliance with the conditions set forth below in this Article. Any such election shall be evidenced by a Board Resolution or in another manner specified as contemplated by Section 301(b) for such Securities.</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SECTION 402. </w:t>
      </w:r>
      <w:r>
        <w:rPr>
          <w:rFonts w:ascii="Arial" w:cs="Arial" w:eastAsia="Arial" w:hAnsi="Arial"/>
          <w:sz w:val="16"/>
          <w:szCs w:val="16"/>
          <w:i w:val="1"/>
          <w:iCs w:val="1"/>
          <w:color w:val="auto"/>
        </w:rPr>
        <w:t>Defeasance and Discharge of Indenture</w:t>
      </w:r>
      <w:r>
        <w:rPr>
          <w:rFonts w:ascii="Arial" w:cs="Arial" w:eastAsia="Arial" w:hAnsi="Arial"/>
          <w:sz w:val="16"/>
          <w:szCs w:val="16"/>
          <w:color w:val="auto"/>
        </w:rPr>
        <w:t>. Upon the Company’s exercise of its option (if any) to have this Section applied to</w:t>
      </w:r>
    </w:p>
    <w:p>
      <w:pPr>
        <w:spacing w:after="0" w:line="73"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all the Outstanding Securities of any series or Tranche, or any portion of the principal amount thereof, and subject to the conditions set forth in Section 404 being satisfied, the Company shall be deemed to have paid and discharged the entire indebtedness on such Outstanding Securities of such series or Tranche, and the provisions of this Indenture, as it relates to such Outstanding Securities of such series or Tranche, shall be satisfied and discharged and shall no longer be in effect (and the Trustee, at the expense of the Company, shall at Company Request execute proper instruments acknowledging the same), except as to:</w:t>
      </w:r>
    </w:p>
    <w:p>
      <w:pPr>
        <w:spacing w:after="0" w:line="154"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(a) the rights of Holders of Securities of such series to receive, solely from the trust funds described in Section 405, (x) payment of the</w:t>
      </w:r>
    </w:p>
    <w:p>
      <w:pPr>
        <w:spacing w:after="0" w:line="61" w:lineRule="exact"/>
        <w:rPr>
          <w:sz w:val="20"/>
          <w:szCs w:val="20"/>
          <w:color w:val="auto"/>
        </w:rPr>
      </w:pPr>
    </w:p>
    <w:p>
      <w:pPr>
        <w:ind w:left="660" w:right="20"/>
        <w:spacing w:after="0" w:line="257" w:lineRule="auto"/>
        <w:rPr>
          <w:sz w:val="20"/>
          <w:szCs w:val="20"/>
          <w:color w:val="auto"/>
        </w:rPr>
      </w:pPr>
      <w:r>
        <w:rPr>
          <w:rFonts w:ascii="Arial" w:cs="Arial" w:eastAsia="Arial" w:hAnsi="Arial"/>
          <w:sz w:val="18"/>
          <w:szCs w:val="18"/>
          <w:color w:val="auto"/>
        </w:rPr>
        <w:t>principal of (and premium, if any) and each installment of principal of (and premium, if any) or interest, if any, on the Outstanding Securities of such series, or portions thereof, on the Stated Maturity of such principal or installment of principal or interest to but excluding the Redemption Date designated by the Company pursuant to subparagraph (viii) of Section 404 and (y) the benefit of any mandatory sinking fund payments applicable to the Securities of such series or Tranche on the day on which such payments are due and payable in accordance with the terms of this Indenture and the Securities of such series or Tranche;</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(b) the obligations of the Company and the Trustee with respect to such Securities of such series or Tranche under Sections 304, 305, 306,</w:t>
      </w:r>
    </w:p>
    <w:p>
      <w:pPr>
        <w:spacing w:after="0" w:line="73" w:lineRule="exact"/>
        <w:rPr>
          <w:sz w:val="20"/>
          <w:szCs w:val="20"/>
          <w:color w:val="auto"/>
        </w:rPr>
      </w:pPr>
    </w:p>
    <w:p>
      <w:pPr>
        <w:ind w:left="660" w:right="160"/>
        <w:spacing w:after="0" w:line="277" w:lineRule="auto"/>
        <w:rPr>
          <w:sz w:val="20"/>
          <w:szCs w:val="20"/>
          <w:color w:val="auto"/>
        </w:rPr>
      </w:pPr>
      <w:r>
        <w:rPr>
          <w:rFonts w:ascii="Arial" w:cs="Arial" w:eastAsia="Arial" w:hAnsi="Arial"/>
          <w:sz w:val="18"/>
          <w:szCs w:val="18"/>
          <w:color w:val="auto"/>
        </w:rPr>
        <w:t>614, 1002 and 1003 and, if the Company shall have designated a Redemption Date pursuant to subparagraph (x) of Section 404, Sections 1104 and 1106; and</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 the Company’s obligations with respect to the Trustee under Section 607.</w:t>
      </w:r>
    </w:p>
    <w:p>
      <w:pPr>
        <w:spacing w:after="0" w:line="266"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SECTION 403. </w:t>
      </w:r>
      <w:r>
        <w:rPr>
          <w:rFonts w:ascii="Arial" w:cs="Arial" w:eastAsia="Arial" w:hAnsi="Arial"/>
          <w:sz w:val="16"/>
          <w:szCs w:val="16"/>
          <w:i w:val="1"/>
          <w:iCs w:val="1"/>
          <w:color w:val="auto"/>
        </w:rPr>
        <w:t>Defeasance of Certain Obligations</w:t>
      </w:r>
      <w:r>
        <w:rPr>
          <w:rFonts w:ascii="Arial" w:cs="Arial" w:eastAsia="Arial" w:hAnsi="Arial"/>
          <w:sz w:val="16"/>
          <w:szCs w:val="16"/>
          <w:color w:val="auto"/>
        </w:rPr>
        <w:t>. The Company may omit to comply with its obligations under the covenants contained in</w:t>
      </w:r>
    </w:p>
    <w:p>
      <w:pPr>
        <w:spacing w:after="0" w:line="73"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 xml:space="preserve">Sections 801, 1006 and 1007 with respect to any Security or Securities of any series (and in respect of any term, provision or condition set forth in the covenants or restrictions specified for such Securities pursuant to Section 301(b), in any supplemental indenture, Board Resolution or Officer’s Certificate establishing such Security), and the failure to comply with any such provisions shall not constitute a Default or Event of Default under Section 501(4),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the conditions set forth in Section 404 have been satisfied.</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SECTION 404. </w:t>
      </w:r>
      <w:r>
        <w:rPr>
          <w:rFonts w:ascii="Arial" w:cs="Arial" w:eastAsia="Arial" w:hAnsi="Arial"/>
          <w:sz w:val="16"/>
          <w:szCs w:val="16"/>
          <w:i w:val="1"/>
          <w:iCs w:val="1"/>
          <w:color w:val="auto"/>
        </w:rPr>
        <w:t>Conditions to Defeasance</w:t>
      </w:r>
      <w:r>
        <w:rPr>
          <w:rFonts w:ascii="Arial" w:cs="Arial" w:eastAsia="Arial" w:hAnsi="Arial"/>
          <w:sz w:val="16"/>
          <w:szCs w:val="16"/>
          <w:color w:val="auto"/>
        </w:rPr>
        <w:t>. The following conditions shall be the conditions to the application of Section 402 and Section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403:</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(i) the Company has deposited or caused to be deposited irrevocably with the Trustee as trust funds in trust, specifically pledged as security</w:t>
      </w:r>
    </w:p>
    <w:p>
      <w:pPr>
        <w:spacing w:after="0" w:line="73" w:lineRule="exact"/>
        <w:rPr>
          <w:sz w:val="20"/>
          <w:szCs w:val="20"/>
          <w:color w:val="auto"/>
        </w:rPr>
      </w:pPr>
    </w:p>
    <w:p>
      <w:pPr>
        <w:ind w:left="660"/>
        <w:spacing w:after="0" w:line="284" w:lineRule="auto"/>
        <w:rPr>
          <w:sz w:val="20"/>
          <w:szCs w:val="20"/>
          <w:color w:val="auto"/>
        </w:rPr>
      </w:pPr>
      <w:r>
        <w:rPr>
          <w:rFonts w:ascii="Arial" w:cs="Arial" w:eastAsia="Arial" w:hAnsi="Arial"/>
          <w:sz w:val="16"/>
          <w:szCs w:val="16"/>
          <w:color w:val="auto"/>
        </w:rPr>
        <w:t>for, and dedicated solely to, the benefit of the Holders of the Securities of such series, (x) cash in Dollars (or such other currency or composite currency in which such Securities are denominated) in an amount sufficient, or (y) Eligible Obligations which through the payment of interest and principal in respect thereof in accordance with their terms will provide on or before the due date of any payment referred to in clause (1) or (2) of this subparagraph (i) money in an amount sufficient or (z) a combination of such cash and Eligible Obligations, together (if necessary in the case of a series of Securities not bearing interest at a fixed rate) with any Hedging Obligation so that such funds are sufficient, in the opinion of a nationally recognized firm of independent certified public accountants expressed in a written certification thereof delivered to the Trustee, to pay and discharge</w:t>
      </w:r>
    </w:p>
    <w:p>
      <w:pPr>
        <w:spacing w:after="0" w:line="5" w:lineRule="exact"/>
        <w:rPr>
          <w:sz w:val="20"/>
          <w:szCs w:val="20"/>
          <w:color w:val="auto"/>
        </w:rPr>
      </w:pPr>
    </w:p>
    <w:p>
      <w:pPr>
        <w:jc w:val="both"/>
        <w:ind w:left="660" w:right="360" w:hanging="4"/>
        <w:spacing w:after="0" w:line="295" w:lineRule="auto"/>
        <w:tabs>
          <w:tab w:leader="none" w:pos="915"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principal of (and premium, if any) and each installment of principal (and premium, if any) and interest, if any, on such Securities on the Stated Maturity of such principal or installment of principal or interest or to but excluding the Redemption Date designated by the Company in accordance with Section 404(a)(1)(B)(iii) and (2) any mandatory sinking fund payments applicable to the Securities of such series on the day on which such payments are due and payable in accordance with the terms of this Indenture and of the Securities of such series;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720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59" w:name="page60"/>
    <w:bookmarkEnd w:id="59"/>
    <w:p>
      <w:pPr>
        <w:ind w:left="1300"/>
        <w:spacing w:after="0"/>
        <w:rPr>
          <w:sz w:val="20"/>
          <w:szCs w:val="20"/>
          <w:color w:val="auto"/>
        </w:rPr>
      </w:pPr>
      <w:r>
        <w:rPr>
          <w:rFonts w:ascii="Arial" w:cs="Arial" w:eastAsia="Arial" w:hAnsi="Arial"/>
          <w:sz w:val="16"/>
          <w:szCs w:val="16"/>
          <w:color w:val="auto"/>
        </w:rPr>
        <w:t>(ii) in the event of an election to have Section 402 apply, the Company has delivered to the Trustee an Officer’s Certificate and an Opinion</w:t>
      </w:r>
    </w:p>
    <w:p>
      <w:pPr>
        <w:spacing w:after="0" w:line="73" w:lineRule="exact"/>
        <w:rPr>
          <w:sz w:val="20"/>
          <w:szCs w:val="20"/>
          <w:color w:val="auto"/>
        </w:rPr>
      </w:pPr>
    </w:p>
    <w:p>
      <w:pPr>
        <w:ind w:left="660" w:right="160"/>
        <w:spacing w:after="0" w:line="257" w:lineRule="auto"/>
        <w:rPr>
          <w:sz w:val="20"/>
          <w:szCs w:val="20"/>
          <w:color w:val="auto"/>
        </w:rPr>
      </w:pPr>
      <w:r>
        <w:rPr>
          <w:rFonts w:ascii="Arial" w:cs="Arial" w:eastAsia="Arial" w:hAnsi="Arial"/>
          <w:sz w:val="18"/>
          <w:szCs w:val="18"/>
          <w:color w:val="auto"/>
        </w:rPr>
        <w:t>of Counsel to the effect that (x) the Company has received from, or there has been published by, the Internal Revenue Service a ruling or (y) there has been a change in law or regulation occurring after the date hereof, to the effect that Holders of the Securities of such series will not recognize income, gain or loss for federal income tax purposes as a result of such deposit, defeasance and discharge and will be subject to federal income tax on the same amount and in the same manner and at the same times, as would have been the case if such deposit, defeasance and discharge had not occurred;</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(iii) in the event of an election to have Section 403 apply, the Company has delivered to the Trustee an Officer’s Certificate and an Opinion</w:t>
      </w:r>
    </w:p>
    <w:p>
      <w:pPr>
        <w:spacing w:after="0" w:line="73" w:lineRule="exact"/>
        <w:rPr>
          <w:sz w:val="20"/>
          <w:szCs w:val="20"/>
          <w:color w:val="auto"/>
        </w:rPr>
      </w:pPr>
    </w:p>
    <w:p>
      <w:pPr>
        <w:ind w:left="660"/>
        <w:spacing w:after="0" w:line="264" w:lineRule="auto"/>
        <w:rPr>
          <w:sz w:val="20"/>
          <w:szCs w:val="20"/>
          <w:color w:val="auto"/>
        </w:rPr>
      </w:pPr>
      <w:r>
        <w:rPr>
          <w:rFonts w:ascii="Arial" w:cs="Arial" w:eastAsia="Arial" w:hAnsi="Arial"/>
          <w:sz w:val="18"/>
          <w:szCs w:val="18"/>
          <w:color w:val="auto"/>
        </w:rPr>
        <w:t>of Counsel to the effect that Holders of the Securities of such series will not recognize income, gain or loss for federal income tax purposes as a result of such deposit and defeasance and will be subject to federal income tax on the same amount and in the same manner and at the same times, as would have been the case if such deposit and defeasance had not occurred;</w:t>
      </w:r>
    </w:p>
    <w:p>
      <w:pPr>
        <w:spacing w:after="0" w:line="181" w:lineRule="exact"/>
        <w:rPr>
          <w:sz w:val="20"/>
          <w:szCs w:val="20"/>
          <w:color w:val="auto"/>
        </w:rPr>
      </w:pPr>
    </w:p>
    <w:p>
      <w:pPr>
        <w:ind w:left="660" w:right="40" w:firstLine="645"/>
        <w:spacing w:after="0" w:line="324" w:lineRule="auto"/>
        <w:tabs>
          <w:tab w:leader="none" w:pos="1582" w:val="left"/>
        </w:tabs>
        <w:numPr>
          <w:ilvl w:val="0"/>
          <w:numId w:val="59"/>
        </w:numPr>
        <w:rPr>
          <w:rFonts w:ascii="Arial" w:cs="Arial" w:eastAsia="Arial" w:hAnsi="Arial"/>
          <w:sz w:val="18"/>
          <w:szCs w:val="18"/>
          <w:color w:val="auto"/>
        </w:rPr>
      </w:pPr>
      <w:r>
        <w:rPr>
          <w:rFonts w:ascii="Arial" w:cs="Arial" w:eastAsia="Arial" w:hAnsi="Arial"/>
          <w:sz w:val="18"/>
          <w:szCs w:val="18"/>
          <w:color w:val="auto"/>
        </w:rPr>
        <w:t>such deposit will not result in a breach or violation of, or constitute a default under, this Indenture or any other agreement or instrument to which the Company is a party or by which it is bound;</w:t>
      </w:r>
    </w:p>
    <w:p>
      <w:pPr>
        <w:spacing w:after="0" w:line="129" w:lineRule="exact"/>
        <w:rPr>
          <w:rFonts w:ascii="Arial" w:cs="Arial" w:eastAsia="Arial" w:hAnsi="Arial"/>
          <w:sz w:val="18"/>
          <w:szCs w:val="18"/>
          <w:color w:val="auto"/>
        </w:rPr>
      </w:pPr>
    </w:p>
    <w:p>
      <w:pPr>
        <w:ind w:left="1520" w:hanging="215"/>
        <w:spacing w:after="0"/>
        <w:tabs>
          <w:tab w:leader="none" w:pos="1520" w:val="left"/>
        </w:tabs>
        <w:numPr>
          <w:ilvl w:val="0"/>
          <w:numId w:val="59"/>
        </w:numPr>
        <w:rPr>
          <w:rFonts w:ascii="Arial" w:cs="Arial" w:eastAsia="Arial" w:hAnsi="Arial"/>
          <w:sz w:val="16"/>
          <w:szCs w:val="16"/>
          <w:color w:val="auto"/>
        </w:rPr>
      </w:pPr>
      <w:r>
        <w:rPr>
          <w:rFonts w:ascii="Arial" w:cs="Arial" w:eastAsia="Arial" w:hAnsi="Arial"/>
          <w:sz w:val="16"/>
          <w:szCs w:val="16"/>
          <w:color w:val="auto"/>
        </w:rPr>
        <w:t>such provision would not cause any Outstanding Securities of such series then listed on a securities exchange to be delisted as a result</w:t>
      </w:r>
    </w:p>
    <w:p>
      <w:pPr>
        <w:spacing w:after="0" w:line="72"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thereof;</w:t>
      </w:r>
    </w:p>
    <w:p>
      <w:pPr>
        <w:spacing w:after="0" w:line="225" w:lineRule="exact"/>
        <w:rPr>
          <w:rFonts w:ascii="Arial" w:cs="Arial" w:eastAsia="Arial" w:hAnsi="Arial"/>
          <w:sz w:val="16"/>
          <w:szCs w:val="16"/>
          <w:color w:val="auto"/>
        </w:rPr>
      </w:pPr>
    </w:p>
    <w:p>
      <w:pPr>
        <w:ind w:left="660" w:right="160" w:firstLine="645"/>
        <w:spacing w:after="0" w:line="324" w:lineRule="auto"/>
        <w:tabs>
          <w:tab w:leader="none" w:pos="1582" w:val="left"/>
        </w:tabs>
        <w:numPr>
          <w:ilvl w:val="0"/>
          <w:numId w:val="59"/>
        </w:numPr>
        <w:rPr>
          <w:rFonts w:ascii="Arial" w:cs="Arial" w:eastAsia="Arial" w:hAnsi="Arial"/>
          <w:sz w:val="18"/>
          <w:szCs w:val="18"/>
          <w:color w:val="auto"/>
        </w:rPr>
      </w:pPr>
      <w:r>
        <w:rPr>
          <w:rFonts w:ascii="Arial" w:cs="Arial" w:eastAsia="Arial" w:hAnsi="Arial"/>
          <w:sz w:val="18"/>
          <w:szCs w:val="18"/>
          <w:color w:val="auto"/>
        </w:rPr>
        <w:t>no Event of Default or event that with notice or lapse of time would become an Event of Default with respect to the Securities of such series has occurred and is continuing on the date of such deposit;</w:t>
      </w:r>
    </w:p>
    <w:p>
      <w:pPr>
        <w:spacing w:after="0" w:line="129" w:lineRule="exact"/>
        <w:rPr>
          <w:rFonts w:ascii="Arial" w:cs="Arial" w:eastAsia="Arial" w:hAnsi="Arial"/>
          <w:sz w:val="18"/>
          <w:szCs w:val="18"/>
          <w:color w:val="auto"/>
        </w:rPr>
      </w:pPr>
    </w:p>
    <w:p>
      <w:pPr>
        <w:ind w:left="1620" w:hanging="315"/>
        <w:spacing w:after="0"/>
        <w:tabs>
          <w:tab w:leader="none" w:pos="162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Company has delivered to the Trustee an Officer’s Certificate stating that the deposit was not made by the Company with the intent</w:t>
      </w:r>
    </w:p>
    <w:p>
      <w:pPr>
        <w:spacing w:after="0" w:line="73" w:lineRule="exact"/>
        <w:rPr>
          <w:sz w:val="20"/>
          <w:szCs w:val="20"/>
          <w:color w:val="auto"/>
        </w:rPr>
      </w:pPr>
    </w:p>
    <w:p>
      <w:pPr>
        <w:ind w:left="660" w:right="80"/>
        <w:spacing w:after="0" w:line="277" w:lineRule="auto"/>
        <w:rPr>
          <w:sz w:val="20"/>
          <w:szCs w:val="20"/>
          <w:color w:val="auto"/>
        </w:rPr>
      </w:pPr>
      <w:r>
        <w:rPr>
          <w:rFonts w:ascii="Arial" w:cs="Arial" w:eastAsia="Arial" w:hAnsi="Arial"/>
          <w:sz w:val="18"/>
          <w:szCs w:val="18"/>
          <w:color w:val="auto"/>
        </w:rPr>
        <w:t>of preferring the holders of the Securities of such series over any other creditors of the Company or with the intent of defeating, hindering, delaying or defrauding any other creditors of the Company;</w:t>
      </w:r>
    </w:p>
    <w:p>
      <w:pPr>
        <w:spacing w:after="0" w:line="170" w:lineRule="exact"/>
        <w:rPr>
          <w:sz w:val="20"/>
          <w:szCs w:val="20"/>
          <w:color w:val="auto"/>
        </w:rPr>
      </w:pPr>
    </w:p>
    <w:p>
      <w:pPr>
        <w:ind w:left="660" w:right="180" w:firstLine="645"/>
        <w:spacing w:after="0" w:line="357" w:lineRule="auto"/>
        <w:tabs>
          <w:tab w:leader="none" w:pos="1682" w:val="left"/>
        </w:tabs>
        <w:numPr>
          <w:ilvl w:val="0"/>
          <w:numId w:val="60"/>
        </w:numPr>
        <w:rPr>
          <w:rFonts w:ascii="Arial" w:cs="Arial" w:eastAsia="Arial" w:hAnsi="Arial"/>
          <w:sz w:val="17"/>
          <w:szCs w:val="17"/>
          <w:color w:val="auto"/>
        </w:rPr>
      </w:pPr>
      <w:r>
        <w:rPr>
          <w:rFonts w:ascii="Arial" w:cs="Arial" w:eastAsia="Arial" w:hAnsi="Arial"/>
          <w:sz w:val="17"/>
          <w:szCs w:val="17"/>
          <w:color w:val="auto"/>
        </w:rPr>
        <w:t>such deposit shall not, as specified in an Opinion of Counsel, cause the Trustee with respect to the Securities of such series to have a conflicting interest as defined in Section 608 and for purposes of the Trust Indenture Act with respect to the Securities of such series;</w:t>
      </w:r>
    </w:p>
    <w:p>
      <w:pPr>
        <w:spacing w:after="0" w:line="107" w:lineRule="exact"/>
        <w:rPr>
          <w:rFonts w:ascii="Arial" w:cs="Arial" w:eastAsia="Arial" w:hAnsi="Arial"/>
          <w:sz w:val="17"/>
          <w:szCs w:val="17"/>
          <w:color w:val="auto"/>
        </w:rPr>
      </w:pPr>
    </w:p>
    <w:p>
      <w:pPr>
        <w:ind w:left="660" w:right="100" w:firstLine="645"/>
        <w:spacing w:after="0" w:line="324" w:lineRule="auto"/>
        <w:tabs>
          <w:tab w:leader="none" w:pos="1582"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Company has delivered to the Trustee an Officer’s Certificate and an Opinion of Counsel, each stating that all conditions precedent provided for relating to the defeasance contemplated by this Section have been complied with; and</w:t>
      </w:r>
    </w:p>
    <w:p>
      <w:pPr>
        <w:spacing w:after="0" w:line="129" w:lineRule="exact"/>
        <w:rPr>
          <w:rFonts w:ascii="Arial" w:cs="Arial" w:eastAsia="Arial" w:hAnsi="Arial"/>
          <w:sz w:val="18"/>
          <w:szCs w:val="18"/>
          <w:color w:val="auto"/>
        </w:rPr>
      </w:pPr>
    </w:p>
    <w:p>
      <w:pPr>
        <w:ind w:left="1520" w:hanging="215"/>
        <w:spacing w:after="0"/>
        <w:tabs>
          <w:tab w:leader="none" w:pos="1520" w:val="left"/>
        </w:tabs>
        <w:numPr>
          <w:ilvl w:val="0"/>
          <w:numId w:val="60"/>
        </w:numPr>
        <w:rPr>
          <w:rFonts w:ascii="Arial" w:cs="Arial" w:eastAsia="Arial" w:hAnsi="Arial"/>
          <w:sz w:val="17"/>
          <w:szCs w:val="17"/>
          <w:color w:val="auto"/>
        </w:rPr>
      </w:pPr>
      <w:r>
        <w:rPr>
          <w:rFonts w:ascii="Arial" w:cs="Arial" w:eastAsia="Arial" w:hAnsi="Arial"/>
          <w:sz w:val="17"/>
          <w:szCs w:val="17"/>
          <w:color w:val="auto"/>
        </w:rPr>
        <w:t>if the Company has deposited or caused to be deposited money or Eligible Obligations to pay or discharge the principal of (and</w:t>
      </w:r>
    </w:p>
    <w:p>
      <w:pPr>
        <w:spacing w:after="0" w:line="61" w:lineRule="exact"/>
        <w:rPr>
          <w:sz w:val="20"/>
          <w:szCs w:val="20"/>
          <w:color w:val="auto"/>
        </w:rPr>
      </w:pPr>
    </w:p>
    <w:p>
      <w:pPr>
        <w:ind w:left="660" w:right="40"/>
        <w:spacing w:after="0" w:line="257" w:lineRule="auto"/>
        <w:rPr>
          <w:sz w:val="20"/>
          <w:szCs w:val="20"/>
          <w:color w:val="auto"/>
        </w:rPr>
      </w:pPr>
      <w:r>
        <w:rPr>
          <w:rFonts w:ascii="Arial" w:cs="Arial" w:eastAsia="Arial" w:hAnsi="Arial"/>
          <w:sz w:val="18"/>
          <w:szCs w:val="18"/>
          <w:color w:val="auto"/>
        </w:rPr>
        <w:t>premium, if any) and interest on the Outstanding Securities of a series to but excluding a Redemption Date pursuant to clause (i) of this Section 404, such Redemption Date shall be irrevocably designated by a Board Resolution delivered to the Trustee on or prior to the date of deposit of such money or Eligible Obligations, and such Board Resolution shall be accompanied by an irrevocable Company Request that the Trustee give notice of such redemption in the name and at the expense of the Company not less than 30 nor more than 60 days prior to such Redemption Date in accordance with Section 1104.</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 xml:space="preserve">SECTION 405. </w:t>
      </w:r>
      <w:r>
        <w:rPr>
          <w:rFonts w:ascii="Arial" w:cs="Arial" w:eastAsia="Arial" w:hAnsi="Arial"/>
          <w:sz w:val="17"/>
          <w:szCs w:val="17"/>
          <w:i w:val="1"/>
          <w:iCs w:val="1"/>
          <w:color w:val="auto"/>
        </w:rPr>
        <w:t>Application of Trust Money</w:t>
      </w:r>
      <w:r>
        <w:rPr>
          <w:rFonts w:ascii="Arial" w:cs="Arial" w:eastAsia="Arial" w:hAnsi="Arial"/>
          <w:sz w:val="17"/>
          <w:szCs w:val="17"/>
          <w:color w:val="auto"/>
        </w:rPr>
        <w:t>. (a) Neither the Eligible Obligations nor the funds deposited with the Trustee pursuant to</w:t>
      </w:r>
    </w:p>
    <w:p>
      <w:pPr>
        <w:spacing w:after="0" w:line="6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 xml:space="preserve">Sections 401, 402 or 403, nor the principal or interest payments on any such Eligible Obligations, shall be withdrawn or used for any purpose other than, and shall be held in trust for, the payment of the principal of and premium, if any, and interest, if any, on the Securities or portions of principal amount thereof in respect of which such deposit was made, all subject, however, to the provisions of Section 606; </w:t>
      </w:r>
      <w:r>
        <w:rPr>
          <w:rFonts w:ascii="Arial" w:cs="Arial" w:eastAsia="Arial" w:hAnsi="Arial"/>
          <w:sz w:val="18"/>
          <w:szCs w:val="18"/>
          <w:i w:val="1"/>
          <w:iCs w:val="1"/>
          <w:color w:val="auto"/>
        </w:rPr>
        <w:t>provided, however</w:t>
      </w:r>
      <w:r>
        <w:rPr>
          <w:rFonts w:ascii="Arial" w:cs="Arial" w:eastAsia="Arial" w:hAnsi="Arial"/>
          <w:sz w:val="18"/>
          <w:szCs w:val="18"/>
          <w:color w:val="auto"/>
        </w:rPr>
        <w:t>, that, so long as no Event of Default has occurred and is continuing, any cash received from such principal or interest payments on such Eligible Obligations deposited with the Trustee, if not then needed for such</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720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60" w:name="page61"/>
    <w:bookmarkEnd w:id="60"/>
    <w:p>
      <w:pPr>
        <w:ind w:right="20"/>
        <w:spacing w:after="0" w:line="272" w:lineRule="auto"/>
        <w:rPr>
          <w:sz w:val="20"/>
          <w:szCs w:val="20"/>
          <w:color w:val="auto"/>
        </w:rPr>
      </w:pPr>
      <w:r>
        <w:rPr>
          <w:rFonts w:ascii="Arial" w:cs="Arial" w:eastAsia="Arial" w:hAnsi="Arial"/>
          <w:sz w:val="17"/>
          <w:szCs w:val="17"/>
          <w:color w:val="auto"/>
        </w:rPr>
        <w:t xml:space="preserve">purpose, shall, to the extent practicable, be invested in Eligible Obligations of the type described in Sections 401 and 402(d)(2)(A) maturing at such times and in such amounts as shall be sufficient to pay when due the principal of and any premium and interest due and to become due on such Securities or portions thereof on and prior to the Maturity thereof, and interest earned from such reinvestment shall be paid over to the Company as received by the Trustee, free and clear of any trust, lien or pledge under this Indenture except the claim provided by Section 607; and </w:t>
      </w:r>
      <w:r>
        <w:rPr>
          <w:rFonts w:ascii="Arial" w:cs="Arial" w:eastAsia="Arial" w:hAnsi="Arial"/>
          <w:sz w:val="17"/>
          <w:szCs w:val="17"/>
          <w:i w:val="1"/>
          <w:iCs w:val="1"/>
          <w:color w:val="auto"/>
        </w:rPr>
        <w:t>provided, further</w:t>
      </w:r>
      <w:r>
        <w:rPr>
          <w:rFonts w:ascii="Arial" w:cs="Arial" w:eastAsia="Arial" w:hAnsi="Arial"/>
          <w:sz w:val="17"/>
          <w:szCs w:val="17"/>
          <w:color w:val="auto"/>
        </w:rPr>
        <w:t>, that, so long as there shall not have occurred and be continuing an Event of Default, any moneys held by the Trustee in accordance with this Section on the Maturity of all such Securities in excess of the amount required to pay the principal of and premium, if any, and interest, if any, then due on such Securities shall be paid over to the Company free and clear of any trust, lien or pledge under this Indenture except the claim provided by Section 607.</w:t>
      </w:r>
    </w:p>
    <w:p>
      <w:pPr>
        <w:spacing w:after="0" w:line="178"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(b) The Company shall pay and shall indemnify the Trustee against any tax, fee or other charge imposed on or assessed against Eligible</w:t>
      </w:r>
    </w:p>
    <w:p>
      <w:pPr>
        <w:spacing w:after="0" w:line="7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Obligations deposited pursuant to Section 401, 402 or 403 or the principal and any premium and interest received in respect of such obligations other than any payable by or on behalf of Holders.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(c) The Trustee shall deliver or pay to the Company from time to time upon Company Request any Eligible Obligations or money held by it</w:t>
      </w:r>
    </w:p>
    <w:p>
      <w:pPr>
        <w:spacing w:after="0" w:line="7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as provided in Section 401, 402 or 403 that, in the opinion of a nationally recognized firm of independent certified public accountants expressed in a written certification thereof delivered to the Trustee, are then in excess of the amount thereof that then would have been required to be deposited for the purpose for which such Eligible Obligations or money was deposited or received. This provision shall not authorize the sale by the Trustee of any Eligible Obligations held under this Indenture.</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SECTION 406. </w:t>
      </w:r>
      <w:r>
        <w:rPr>
          <w:rFonts w:ascii="Arial" w:cs="Arial" w:eastAsia="Arial" w:hAnsi="Arial"/>
          <w:sz w:val="16"/>
          <w:szCs w:val="16"/>
          <w:i w:val="1"/>
          <w:iCs w:val="1"/>
          <w:color w:val="auto"/>
        </w:rPr>
        <w:t>Reinstatement</w:t>
      </w:r>
      <w:r>
        <w:rPr>
          <w:rFonts w:ascii="Arial" w:cs="Arial" w:eastAsia="Arial" w:hAnsi="Arial"/>
          <w:sz w:val="16"/>
          <w:szCs w:val="16"/>
          <w:color w:val="auto"/>
        </w:rPr>
        <w:t>. If the Trustee or the Paying Agent is unable to apply any money in accordance with this Article with respect</w:t>
      </w:r>
    </w:p>
    <w:p>
      <w:pPr>
        <w:spacing w:after="0" w:line="73"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 xml:space="preserve">to any Securities by reason of any order or judgment of any court or governmental authority enjoining, restraining or otherwise prohibiting such application, then the obligations under this Indenture and such Securities from which the Company has been discharged or released pursuant to Section 402 or Section 403 shall be revived and reinstated as though no deposit had occurred pursuant to this Article with respect to such Securities, until such time as the Trustee or Paying Agent is permitted to apply all money held in trust pursuant to Section 405 with respect to such Securities in accordance with this Article;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however, </w:t>
      </w:r>
      <w:r>
        <w:rPr>
          <w:rFonts w:ascii="Arial" w:cs="Arial" w:eastAsia="Arial" w:hAnsi="Arial"/>
          <w:sz w:val="16"/>
          <w:szCs w:val="16"/>
          <w:color w:val="auto"/>
        </w:rPr>
        <w:t>that if the Company makes any payment of principal of or any premium or interest on any such Security following such reinstatement of its</w:t>
      </w:r>
      <w:r>
        <w:rPr>
          <w:rFonts w:ascii="Arial" w:cs="Arial" w:eastAsia="Arial" w:hAnsi="Arial"/>
          <w:sz w:val="16"/>
          <w:szCs w:val="16"/>
          <w:i w:val="1"/>
          <w:iCs w:val="1"/>
          <w:color w:val="auto"/>
        </w:rPr>
        <w:t xml:space="preserve"> </w:t>
      </w:r>
      <w:r>
        <w:rPr>
          <w:rFonts w:ascii="Arial" w:cs="Arial" w:eastAsia="Arial" w:hAnsi="Arial"/>
          <w:sz w:val="16"/>
          <w:szCs w:val="16"/>
          <w:color w:val="auto"/>
        </w:rPr>
        <w:t>obligations, the Company shall be subrogated to the rights (if any) of the Holders of such Securities to receive such payment from the money so held in trust.</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FIVE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REMEDIES</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SECTION 501. </w:t>
      </w:r>
      <w:r>
        <w:rPr>
          <w:rFonts w:ascii="Arial" w:cs="Arial" w:eastAsia="Arial" w:hAnsi="Arial"/>
          <w:sz w:val="16"/>
          <w:szCs w:val="16"/>
          <w:i w:val="1"/>
          <w:iCs w:val="1"/>
          <w:color w:val="auto"/>
        </w:rPr>
        <w:t>Events of Default</w:t>
      </w:r>
      <w:r>
        <w:rPr>
          <w:rFonts w:ascii="Arial" w:cs="Arial" w:eastAsia="Arial" w:hAnsi="Arial"/>
          <w:sz w:val="16"/>
          <w:szCs w:val="16"/>
          <w:color w:val="auto"/>
        </w:rPr>
        <w:t>. “</w:t>
      </w:r>
      <w:r>
        <w:rPr>
          <w:rFonts w:ascii="Arial" w:cs="Arial" w:eastAsia="Arial" w:hAnsi="Arial"/>
          <w:sz w:val="16"/>
          <w:szCs w:val="16"/>
          <w:b w:val="1"/>
          <w:bCs w:val="1"/>
          <w:i w:val="1"/>
          <w:iCs w:val="1"/>
          <w:color w:val="auto"/>
        </w:rPr>
        <w:t>Event of Default</w:t>
      </w:r>
      <w:r>
        <w:rPr>
          <w:rFonts w:ascii="Arial" w:cs="Arial" w:eastAsia="Arial" w:hAnsi="Arial"/>
          <w:sz w:val="16"/>
          <w:szCs w:val="16"/>
          <w:color w:val="auto"/>
        </w:rPr>
        <w:t>”, wherever used herein with respect to Securities of any series, means any one of the</w:t>
      </w:r>
    </w:p>
    <w:p>
      <w:pPr>
        <w:spacing w:after="0" w:line="7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following events, unless such event is either inapplicable to a particular series or its is specifically deleted or modified in the applicable Board Resolution or supplemental indenture under which such series of Securities is issued, as the case may be, as contemplated by Section 301:</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(1) default in the payment of any interest upon any Security of that series when it becomes due and payable, and continuance of such default</w:t>
      </w:r>
    </w:p>
    <w:p>
      <w:pPr>
        <w:spacing w:after="0" w:line="73" w:lineRule="exact"/>
        <w:rPr>
          <w:sz w:val="20"/>
          <w:szCs w:val="20"/>
          <w:color w:val="auto"/>
        </w:rPr>
      </w:pPr>
    </w:p>
    <w:p>
      <w:pPr>
        <w:ind w:left="660" w:right="340"/>
        <w:spacing w:after="0" w:line="277" w:lineRule="auto"/>
        <w:rPr>
          <w:sz w:val="20"/>
          <w:szCs w:val="20"/>
          <w:color w:val="auto"/>
        </w:rPr>
      </w:pPr>
      <w:r>
        <w:rPr>
          <w:rFonts w:ascii="Arial" w:cs="Arial" w:eastAsia="Arial" w:hAnsi="Arial"/>
          <w:sz w:val="18"/>
          <w:szCs w:val="18"/>
          <w:color w:val="auto"/>
        </w:rPr>
        <w:t xml:space="preserve">for a period of 30 days; </w:t>
      </w:r>
      <w:r>
        <w:rPr>
          <w:rFonts w:ascii="Arial" w:cs="Arial" w:eastAsia="Arial" w:hAnsi="Arial"/>
          <w:sz w:val="18"/>
          <w:szCs w:val="18"/>
          <w:i w:val="1"/>
          <w:iCs w:val="1"/>
          <w:color w:val="auto"/>
        </w:rPr>
        <w:t>provided, however</w:t>
      </w:r>
      <w:r>
        <w:rPr>
          <w:rFonts w:ascii="Arial" w:cs="Arial" w:eastAsia="Arial" w:hAnsi="Arial"/>
          <w:sz w:val="18"/>
          <w:szCs w:val="18"/>
          <w:color w:val="auto"/>
        </w:rPr>
        <w:t>, that a valid extension of the interest payment period by the Company as contemplated in Section 312 shall not constitute a failure to pay interest for this purpose; or</w:t>
      </w:r>
    </w:p>
    <w:p>
      <w:pPr>
        <w:spacing w:after="0" w:line="170" w:lineRule="exact"/>
        <w:rPr>
          <w:sz w:val="20"/>
          <w:szCs w:val="20"/>
          <w:color w:val="auto"/>
        </w:rPr>
      </w:pPr>
    </w:p>
    <w:p>
      <w:pPr>
        <w:ind w:left="660" w:right="140" w:firstLine="645"/>
        <w:spacing w:after="0" w:line="324" w:lineRule="auto"/>
        <w:tabs>
          <w:tab w:leader="none" w:pos="1532" w:val="left"/>
        </w:tabs>
        <w:numPr>
          <w:ilvl w:val="0"/>
          <w:numId w:val="61"/>
        </w:numPr>
        <w:rPr>
          <w:rFonts w:ascii="Arial" w:cs="Arial" w:eastAsia="Arial" w:hAnsi="Arial"/>
          <w:sz w:val="18"/>
          <w:szCs w:val="18"/>
          <w:color w:val="auto"/>
        </w:rPr>
      </w:pPr>
      <w:r>
        <w:rPr>
          <w:rFonts w:ascii="Arial" w:cs="Arial" w:eastAsia="Arial" w:hAnsi="Arial"/>
          <w:sz w:val="18"/>
          <w:szCs w:val="18"/>
          <w:color w:val="auto"/>
        </w:rPr>
        <w:t>default in the payment of the principal of (or premium, if any, on) any Security of that series at its Maturity and, in the case of technical or administrative difficulties, only if such default persists for a period of more than three Business Days; or</w:t>
      </w:r>
    </w:p>
    <w:p>
      <w:pPr>
        <w:spacing w:after="0" w:line="129" w:lineRule="exact"/>
        <w:rPr>
          <w:rFonts w:ascii="Arial" w:cs="Arial" w:eastAsia="Arial" w:hAnsi="Arial"/>
          <w:sz w:val="18"/>
          <w:szCs w:val="18"/>
          <w:color w:val="auto"/>
        </w:rPr>
      </w:pPr>
    </w:p>
    <w:p>
      <w:pPr>
        <w:ind w:left="660" w:right="320" w:firstLine="645"/>
        <w:spacing w:after="0" w:line="324" w:lineRule="auto"/>
        <w:tabs>
          <w:tab w:leader="none" w:pos="1532" w:val="left"/>
        </w:tabs>
        <w:numPr>
          <w:ilvl w:val="0"/>
          <w:numId w:val="61"/>
        </w:numPr>
        <w:rPr>
          <w:rFonts w:ascii="Arial" w:cs="Arial" w:eastAsia="Arial" w:hAnsi="Arial"/>
          <w:sz w:val="18"/>
          <w:szCs w:val="18"/>
          <w:color w:val="auto"/>
        </w:rPr>
      </w:pPr>
      <w:r>
        <w:rPr>
          <w:rFonts w:ascii="Arial" w:cs="Arial" w:eastAsia="Arial" w:hAnsi="Arial"/>
          <w:sz w:val="18"/>
          <w:szCs w:val="18"/>
          <w:color w:val="auto"/>
        </w:rPr>
        <w:t>default in the deposit of any sinking fund payment, when and as due by the terms of a Security of that series and continuance of such default for a period of 30 days; or</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720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61" w:name="page62"/>
    <w:bookmarkEnd w:id="61"/>
    <w:p>
      <w:pPr>
        <w:ind w:left="1300"/>
        <w:spacing w:after="0"/>
        <w:rPr>
          <w:sz w:val="20"/>
          <w:szCs w:val="20"/>
          <w:color w:val="auto"/>
        </w:rPr>
      </w:pPr>
      <w:r>
        <w:rPr>
          <w:rFonts w:ascii="Arial" w:cs="Arial" w:eastAsia="Arial" w:hAnsi="Arial"/>
          <w:sz w:val="16"/>
          <w:szCs w:val="16"/>
          <w:color w:val="auto"/>
        </w:rPr>
        <w:t>(4) default in the performance, or breach, of any covenant or warranty of the Company in this Indenture (other than a covenant or warranty a</w:t>
      </w:r>
    </w:p>
    <w:p>
      <w:pPr>
        <w:spacing w:after="0" w:line="73" w:lineRule="exact"/>
        <w:rPr>
          <w:sz w:val="20"/>
          <w:szCs w:val="20"/>
          <w:color w:val="auto"/>
        </w:rPr>
      </w:pPr>
    </w:p>
    <w:p>
      <w:pPr>
        <w:ind w:left="660"/>
        <w:spacing w:after="0" w:line="276" w:lineRule="auto"/>
        <w:rPr>
          <w:sz w:val="20"/>
          <w:szCs w:val="20"/>
          <w:color w:val="auto"/>
        </w:rPr>
      </w:pPr>
      <w:r>
        <w:rPr>
          <w:rFonts w:ascii="Arial" w:cs="Arial" w:eastAsia="Arial" w:hAnsi="Arial"/>
          <w:sz w:val="17"/>
          <w:szCs w:val="17"/>
          <w:color w:val="auto"/>
        </w:rPr>
        <w:t>default in whose performance or whose breach is elsewhere in this Section specifically dealt with or which has expressly been included in this Indenture solely for the benefit of one or more series of Securities other than that series), and continuance of such default or breach for a period of 60 days after there has been given, by registered or certified mail, to the Company by the Trustee or to the Company and the Trustee by the Holders of at least 25% in aggregate principal amount of the Outstanding Securities of such series a written notice specifying such default or breach and requiring it to be remedied and stating that such notice is a “</w:t>
      </w:r>
      <w:r>
        <w:rPr>
          <w:rFonts w:ascii="Arial" w:cs="Arial" w:eastAsia="Arial" w:hAnsi="Arial"/>
          <w:sz w:val="17"/>
          <w:szCs w:val="17"/>
          <w:b w:val="1"/>
          <w:bCs w:val="1"/>
          <w:i w:val="1"/>
          <w:iCs w:val="1"/>
          <w:color w:val="auto"/>
        </w:rPr>
        <w:t>Notice of Default</w:t>
      </w:r>
      <w:r>
        <w:rPr>
          <w:rFonts w:ascii="Arial" w:cs="Arial" w:eastAsia="Arial" w:hAnsi="Arial"/>
          <w:sz w:val="17"/>
          <w:szCs w:val="17"/>
          <w:color w:val="auto"/>
        </w:rPr>
        <w:t>” hereunder; or</w:t>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(5) the entry by a court having jurisdiction in the premises of (A) a decree or order for relief in respect of the Company in an involuntary</w:t>
      </w:r>
    </w:p>
    <w:p>
      <w:pPr>
        <w:spacing w:after="0" w:line="73" w:lineRule="exact"/>
        <w:rPr>
          <w:sz w:val="20"/>
          <w:szCs w:val="20"/>
          <w:color w:val="auto"/>
        </w:rPr>
      </w:pPr>
    </w:p>
    <w:p>
      <w:pPr>
        <w:ind w:left="660" w:right="40"/>
        <w:spacing w:after="0" w:line="255" w:lineRule="auto"/>
        <w:rPr>
          <w:sz w:val="20"/>
          <w:szCs w:val="20"/>
          <w:color w:val="auto"/>
        </w:rPr>
      </w:pPr>
      <w:r>
        <w:rPr>
          <w:rFonts w:ascii="Arial" w:cs="Arial" w:eastAsia="Arial" w:hAnsi="Arial"/>
          <w:sz w:val="18"/>
          <w:szCs w:val="18"/>
          <w:color w:val="auto"/>
        </w:rPr>
        <w:t>case or proceeding under any applicable federal or state bankruptcy, insolvency, reorganization or other similar law or (B) a decree or order adjudging the Company a bankrupt or insolvent, or approving as properly filed a petition seeking reorganization, arrangement, adjustment or composition of or in respect of the Company under any applicable federal or state law, or appointing a custodian, receiver, liquidator, assignee, trustee, sequestrator or other similar official of the Company or of any substantial part of its property, or ordering the winding up or liquidation of its affairs, and the continuance of any such decree or order for relief or any such other decree or order unstayed and in effect for a period of 90 consecutive days; or</w:t>
      </w:r>
    </w:p>
    <w:p>
      <w:pPr>
        <w:spacing w:after="0" w:line="193"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(6) the commencement by the Company of a voluntary case or proceeding under any applicable federal or state bankruptcy, insolvency,</w:t>
      </w:r>
    </w:p>
    <w:p>
      <w:pPr>
        <w:spacing w:after="0" w:line="73" w:lineRule="exact"/>
        <w:rPr>
          <w:sz w:val="20"/>
          <w:szCs w:val="20"/>
          <w:color w:val="auto"/>
        </w:rPr>
      </w:pPr>
    </w:p>
    <w:p>
      <w:pPr>
        <w:ind w:left="660"/>
        <w:spacing w:after="0" w:line="291" w:lineRule="auto"/>
        <w:rPr>
          <w:sz w:val="20"/>
          <w:szCs w:val="20"/>
          <w:color w:val="auto"/>
        </w:rPr>
      </w:pPr>
      <w:r>
        <w:rPr>
          <w:rFonts w:ascii="Arial" w:cs="Arial" w:eastAsia="Arial" w:hAnsi="Arial"/>
          <w:sz w:val="16"/>
          <w:szCs w:val="16"/>
          <w:color w:val="auto"/>
        </w:rPr>
        <w:t>reorganization or other similar law or of any other case or proceeding to be adjudicated a bankrupt or insolvent, or the consent by it to the entry of a decree or order for relief in respect of the Company in an involuntary case or proceeding under any applicable federal or state bankruptcy, insolvency, reorganization or other similar law or to the commencement of any bankruptcy or insolvency case or proceeding against it, or the filing by it of a petition or answer or consent seeking reorganization or relief under any applicable federal or state law, or the consent by it to the filing of such petition or to the appointment of or taking possession by a custodian, receiver, liquidator, assignee, trustee, sequestrator or similar official of the Company or of any substantial part of its property, or the making by it of an assignment for the benefit of creditors, or the admission by it in writing of its inability to pay its debts generally as they become due, or the taking of corporate action by the Company in furtherance of any such action; or</w:t>
      </w:r>
    </w:p>
    <w:p>
      <w:pPr>
        <w:spacing w:after="0" w:line="16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(7) any other Event of Default provided with respect to Securities of such series pursuant to Section 301(b).</w:t>
      </w:r>
    </w:p>
    <w:p>
      <w:pPr>
        <w:spacing w:after="0" w:line="266"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SECTION 502. </w:t>
      </w:r>
      <w:r>
        <w:rPr>
          <w:rFonts w:ascii="Arial" w:cs="Arial" w:eastAsia="Arial" w:hAnsi="Arial"/>
          <w:sz w:val="16"/>
          <w:szCs w:val="16"/>
          <w:i w:val="1"/>
          <w:iCs w:val="1"/>
          <w:color w:val="auto"/>
        </w:rPr>
        <w:t>Acceleration of Maturity; Rescission and Annulment</w:t>
      </w:r>
      <w:r>
        <w:rPr>
          <w:rFonts w:ascii="Arial" w:cs="Arial" w:eastAsia="Arial" w:hAnsi="Arial"/>
          <w:sz w:val="16"/>
          <w:szCs w:val="16"/>
          <w:color w:val="auto"/>
        </w:rPr>
        <w:t>. If an Event of Default with respect to Securities of any series at the</w:t>
      </w:r>
    </w:p>
    <w:p>
      <w:pPr>
        <w:spacing w:after="0" w:line="7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time Outstanding occurs and is continuing, then in every such case the Trustee or the Holders of not less than 25% in aggregate principal amount of the Outstanding Securities of such series, by a notice in writing to the Company (and to the Trustee if given by such Holders), may declare the principal amount (or, if the Securities of such series are Original Issue Discount Securities or Indexed Securities, such portion of the principal amount of such Securities as may be specified in the terms thereof) to be due and payable immediately and upon any such declaration such principal amount (or specified amount) shall become immediately due and payable. If an Event of Default specified in Section 501(5) or (6) occurs, the principal of all the Securities then Outstanding (or if any such Securities are Original Issue Discount Securities or Indexed Securities, such portion of the principal amount of such Securities as may be specified in the terms thereof) shall automatically become and be immediately due and payable without any declaration or other act or notice on the part of the Trustee or any Holders of the Securities.</w:t>
      </w:r>
    </w:p>
    <w:p>
      <w:pPr>
        <w:spacing w:after="0" w:line="179" w:lineRule="exact"/>
        <w:rPr>
          <w:sz w:val="20"/>
          <w:szCs w:val="20"/>
          <w:color w:val="auto"/>
        </w:rPr>
      </w:pPr>
    </w:p>
    <w:p>
      <w:pPr>
        <w:ind w:right="40" w:firstLine="1297"/>
        <w:spacing w:after="0" w:line="259" w:lineRule="auto"/>
        <w:rPr>
          <w:sz w:val="20"/>
          <w:szCs w:val="20"/>
          <w:color w:val="auto"/>
        </w:rPr>
      </w:pPr>
      <w:r>
        <w:rPr>
          <w:rFonts w:ascii="Arial" w:cs="Arial" w:eastAsia="Arial" w:hAnsi="Arial"/>
          <w:sz w:val="18"/>
          <w:szCs w:val="18"/>
          <w:color w:val="auto"/>
        </w:rPr>
        <w:t>At any time after such a declaration of acceleration with respect to Securities of one or more series has been made and before a judgment or decree for payment of the money due has been obtained by the Trustee as hereinafter in this Article provided, the Event or Events of Default giving rise to such declaration of acceleration shall, without further act, be deemed to have been waived, and such declaration and its consequences shall, without further act, be deemed to have been rescinded and annulled, if</w:t>
      </w:r>
    </w:p>
    <w:p>
      <w:pPr>
        <w:spacing w:after="0" w:line="187" w:lineRule="exact"/>
        <w:rPr>
          <w:sz w:val="20"/>
          <w:szCs w:val="20"/>
          <w:color w:val="auto"/>
        </w:rPr>
      </w:pPr>
    </w:p>
    <w:p>
      <w:pPr>
        <w:ind w:left="5620" w:right="3580" w:hanging="4315"/>
        <w:spacing w:after="0" w:line="623" w:lineRule="auto"/>
        <w:tabs>
          <w:tab w:leader="none" w:pos="1524"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Company has paid or deposited irrevocably with the Trustee a sum sufficient to pay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wp:posOffset>
            </wp:positionV>
            <wp:extent cx="72720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62" w:name="page63"/>
    <w:bookmarkEnd w:id="62"/>
    <w:p>
      <w:pPr>
        <w:ind w:left="2220" w:hanging="267"/>
        <w:spacing w:after="0"/>
        <w:tabs>
          <w:tab w:leader="none" w:pos="22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all overdue interest on all Securities of any such series,</w:t>
      </w:r>
    </w:p>
    <w:p>
      <w:pPr>
        <w:spacing w:after="0" w:line="265" w:lineRule="exact"/>
        <w:rPr>
          <w:rFonts w:ascii="Arial" w:cs="Arial" w:eastAsia="Arial" w:hAnsi="Arial"/>
          <w:sz w:val="18"/>
          <w:szCs w:val="18"/>
          <w:color w:val="auto"/>
        </w:rPr>
      </w:pPr>
    </w:p>
    <w:p>
      <w:pPr>
        <w:ind w:left="660" w:right="840" w:firstLine="1293"/>
        <w:spacing w:after="0" w:line="324" w:lineRule="auto"/>
        <w:tabs>
          <w:tab w:leader="none" w:pos="221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principal of (and premium, if any, on) any Securities of such series that have become due otherwise than by such declaration of acceleration and interest thereon at the rate or rates prescribed therefor in such Securities,</w:t>
      </w:r>
    </w:p>
    <w:p>
      <w:pPr>
        <w:spacing w:after="0" w:line="129" w:lineRule="exact"/>
        <w:rPr>
          <w:rFonts w:ascii="Arial" w:cs="Arial" w:eastAsia="Arial" w:hAnsi="Arial"/>
          <w:sz w:val="18"/>
          <w:szCs w:val="18"/>
          <w:color w:val="auto"/>
        </w:rPr>
      </w:pPr>
    </w:p>
    <w:p>
      <w:pPr>
        <w:ind w:left="660" w:right="120" w:firstLine="1293"/>
        <w:spacing w:after="0" w:line="324" w:lineRule="auto"/>
        <w:tabs>
          <w:tab w:leader="none" w:pos="221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to the extent that payment of such interest is lawful, interest upon overdue interest at the rate or rates borne by such Securities, unless another rate is provided in such Securities, and</w:t>
      </w:r>
    </w:p>
    <w:p>
      <w:pPr>
        <w:spacing w:after="0" w:line="129" w:lineRule="exact"/>
        <w:rPr>
          <w:rFonts w:ascii="Arial" w:cs="Arial" w:eastAsia="Arial" w:hAnsi="Arial"/>
          <w:sz w:val="18"/>
          <w:szCs w:val="18"/>
          <w:color w:val="auto"/>
        </w:rPr>
      </w:pPr>
    </w:p>
    <w:p>
      <w:pPr>
        <w:ind w:left="2220" w:hanging="267"/>
        <w:spacing w:after="0"/>
        <w:tabs>
          <w:tab w:leader="none" w:pos="22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all amounts due to the Trustee under Section 607;</w:t>
      </w:r>
    </w:p>
    <w:p>
      <w:pPr>
        <w:spacing w:after="0" w:line="2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660" w:right="120" w:firstLine="645"/>
        <w:spacing w:after="0" w:line="324" w:lineRule="auto"/>
        <w:tabs>
          <w:tab w:leader="none" w:pos="1532" w:val="left"/>
        </w:tabs>
        <w:numPr>
          <w:ilvl w:val="0"/>
          <w:numId w:val="64"/>
        </w:numPr>
        <w:rPr>
          <w:rFonts w:ascii="Arial" w:cs="Arial" w:eastAsia="Arial" w:hAnsi="Arial"/>
          <w:sz w:val="18"/>
          <w:szCs w:val="18"/>
          <w:color w:val="auto"/>
        </w:rPr>
      </w:pPr>
      <w:r>
        <w:rPr>
          <w:rFonts w:ascii="Arial" w:cs="Arial" w:eastAsia="Arial" w:hAnsi="Arial"/>
          <w:sz w:val="18"/>
          <w:szCs w:val="18"/>
          <w:color w:val="auto"/>
        </w:rPr>
        <w:t>all Events of Default with respect to Securities of that series, other than the non-payment of the principal of Securities of that series that have become due solely by such declaration of acceleration, have been cured or waived as provided in Section 513.</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such rescission shall affect any subsequent Event of Default or impair any right consequent thereon.</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SECTION 503. </w:t>
      </w:r>
      <w:r>
        <w:rPr>
          <w:rFonts w:ascii="Arial" w:cs="Arial" w:eastAsia="Arial" w:hAnsi="Arial"/>
          <w:sz w:val="16"/>
          <w:szCs w:val="16"/>
          <w:i w:val="1"/>
          <w:iCs w:val="1"/>
          <w:color w:val="auto"/>
        </w:rPr>
        <w:t>Collection of Indebtedness and Suits for Enforcement by Trustee</w:t>
      </w:r>
      <w:r>
        <w:rPr>
          <w:rFonts w:ascii="Arial" w:cs="Arial" w:eastAsia="Arial" w:hAnsi="Arial"/>
          <w:sz w:val="16"/>
          <w:szCs w:val="16"/>
          <w:color w:val="auto"/>
        </w:rPr>
        <w:t>. If an Event of Default described in clause (1) or (2) of</w:t>
      </w:r>
    </w:p>
    <w:p>
      <w:pPr>
        <w:spacing w:after="0" w:line="73"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Section 501 has occurred and is continuing, the Company shall, upon demand of the Trustee, pay to the Trustee, for the benefit of the Holders of the Securities of the series with respect to which such Event of Default has occurred, the whole amount then due and payable on such Securities for principal and any premium or interest and, to the extent that payment of such interest shall be legally enforceable, interest on any overdue principal and premium and on any overdue interest, at the rate or rates borne by such Securities, unless another rate is provided in such Securities, and, in addition thereto, such further amount as shall be sufficient to cover any amounts due to the Trustee under Section 607.</w:t>
      </w:r>
    </w:p>
    <w:p>
      <w:pPr>
        <w:spacing w:after="0" w:line="173" w:lineRule="exact"/>
        <w:rPr>
          <w:sz w:val="20"/>
          <w:szCs w:val="20"/>
          <w:color w:val="auto"/>
        </w:rPr>
      </w:pPr>
    </w:p>
    <w:p>
      <w:pPr>
        <w:ind w:firstLine="1297"/>
        <w:spacing w:after="0" w:line="259" w:lineRule="auto"/>
        <w:rPr>
          <w:sz w:val="20"/>
          <w:szCs w:val="20"/>
          <w:color w:val="auto"/>
        </w:rPr>
      </w:pPr>
      <w:r>
        <w:rPr>
          <w:rFonts w:ascii="Arial" w:cs="Arial" w:eastAsia="Arial" w:hAnsi="Arial"/>
          <w:sz w:val="18"/>
          <w:szCs w:val="18"/>
          <w:color w:val="auto"/>
        </w:rPr>
        <w:t>If an Event of Default with respect to Securities of any series occurs and is continuing, the Trustee may in its discretion proceed to protect and enforce its rights and the rights of the Holders of Securities of such series by such appropriate judicial proceedings as the Trustee deems most effectual to protect and enforce any such rights, whether for the specific enforcement of any covenant or agreement in this Indenture or in aid of the exercise of any power granted herein, or to enforce any other proper remedy.</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 xml:space="preserve">SECTION 504. </w:t>
      </w:r>
      <w:r>
        <w:rPr>
          <w:rFonts w:ascii="Arial" w:cs="Arial" w:eastAsia="Arial" w:hAnsi="Arial"/>
          <w:sz w:val="17"/>
          <w:szCs w:val="17"/>
          <w:i w:val="1"/>
          <w:iCs w:val="1"/>
          <w:color w:val="auto"/>
        </w:rPr>
        <w:t>Trustee May File Proofs of Claim</w:t>
      </w:r>
      <w:r>
        <w:rPr>
          <w:rFonts w:ascii="Arial" w:cs="Arial" w:eastAsia="Arial" w:hAnsi="Arial"/>
          <w:sz w:val="17"/>
          <w:szCs w:val="17"/>
          <w:color w:val="auto"/>
        </w:rPr>
        <w:t>. In case of the pendency of any receivership, insolvency, liquidation, bankruptcy,</w:t>
      </w:r>
    </w:p>
    <w:p>
      <w:pPr>
        <w:spacing w:after="0" w:line="61"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reorganization, arrangement, adjustment, composition or other judicial proceeding relative to the Company or any other obligor upon the Securities or the property of the Company or of such other obligor or their creditors, the Trustee (irrespective of whether the principal of the Securities shall then be due and payable as therein expressed or by declaration or otherwise and irrespective of whether the Trustee shall have made any demand on the Company for the payment of overdue principal or interest) shall be entitled and empowered, by intervention in such proceeding or otherwise,</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(i) to file and prove a claim for the whole amount of principal and premium or interest owing and unpaid in respect of the Securities and to</w:t>
      </w:r>
    </w:p>
    <w:p>
      <w:pPr>
        <w:spacing w:after="0" w:line="73"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file such other papers or documents as may be necessary or advisable in order to have the claims of the Trustee (including any claim for amounts due to the Trustee under Section 607) and of the Holders allowed in such judicial proceeding, and</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(ii) to collect and receive any moneys or other property payable or deliverable on any such claims and to distribute the same;</w:t>
      </w:r>
    </w:p>
    <w:p>
      <w:pPr>
        <w:spacing w:after="0" w:line="266"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and any custodian, receiver, assignee, trustee, liquidator, sequestrator or other similar official in any such judicial proceeding is hereby authorized by each Holder to make such payments to the Trustee and, if the Trustee consents to the making of such payments directly to the Holders, to pay to the Trustee any amount due it under Section 607.</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720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63" w:name="page64"/>
    <w:bookmarkEnd w:id="63"/>
    <w:p>
      <w:pPr>
        <w:jc w:val="both"/>
        <w:ind w:firstLine="1297"/>
        <w:spacing w:after="0" w:line="264" w:lineRule="auto"/>
        <w:rPr>
          <w:sz w:val="20"/>
          <w:szCs w:val="20"/>
          <w:color w:val="auto"/>
        </w:rPr>
      </w:pPr>
      <w:r>
        <w:rPr>
          <w:rFonts w:ascii="Arial" w:cs="Arial" w:eastAsia="Arial" w:hAnsi="Arial"/>
          <w:sz w:val="18"/>
          <w:szCs w:val="18"/>
          <w:color w:val="auto"/>
        </w:rPr>
        <w:t>Nothing herein contained shall be deemed to authorize the Trustee to authorize or consent to or accept or adopt on behalf of any Holder any plan of reorganization, arrangement, adjustment or composition affecting the Securities or the rights of any Holder thereof or to authorize the Trustee to vote in respect of the claim of any Holder in any such proceeding.</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SECTION 505. </w:t>
      </w:r>
      <w:r>
        <w:rPr>
          <w:rFonts w:ascii="Arial" w:cs="Arial" w:eastAsia="Arial" w:hAnsi="Arial"/>
          <w:sz w:val="16"/>
          <w:szCs w:val="16"/>
          <w:i w:val="1"/>
          <w:iCs w:val="1"/>
          <w:color w:val="auto"/>
        </w:rPr>
        <w:t>Trustee May Enforce Claims Without Possession of Securities</w:t>
      </w:r>
      <w:r>
        <w:rPr>
          <w:rFonts w:ascii="Arial" w:cs="Arial" w:eastAsia="Arial" w:hAnsi="Arial"/>
          <w:sz w:val="16"/>
          <w:szCs w:val="16"/>
          <w:color w:val="auto"/>
        </w:rPr>
        <w:t>. All rights of action and claims under this Indenture or the</w:t>
      </w:r>
    </w:p>
    <w:p>
      <w:pPr>
        <w:spacing w:after="0" w:line="7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Securities may be prosecuted and enforced by the Trustee without the possession of any of the Securities or the production thereof in any proceeding relating thereto, and any such proceeding instituted by the Trustee shall be brought in its own name as trustee of an express trust, and any recovery of judgment shall, after provision for the payment of the amounts due to the Trustee under Section 607, be for the ratable benefit of the Holders of the Securities in respect of which such judgment has been recovered.</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 xml:space="preserve">SECTION 506. </w:t>
      </w:r>
      <w:r>
        <w:rPr>
          <w:rFonts w:ascii="Arial" w:cs="Arial" w:eastAsia="Arial" w:hAnsi="Arial"/>
          <w:sz w:val="17"/>
          <w:szCs w:val="17"/>
          <w:i w:val="1"/>
          <w:iCs w:val="1"/>
          <w:color w:val="auto"/>
        </w:rPr>
        <w:t>Application of Money Collected</w:t>
      </w:r>
      <w:r>
        <w:rPr>
          <w:rFonts w:ascii="Arial" w:cs="Arial" w:eastAsia="Arial" w:hAnsi="Arial"/>
          <w:sz w:val="17"/>
          <w:szCs w:val="17"/>
          <w:color w:val="auto"/>
        </w:rPr>
        <w:t>. Any money collected by the Trustee pursuant to this Article shall be applied in the</w:t>
      </w:r>
    </w:p>
    <w:p>
      <w:pPr>
        <w:spacing w:after="0" w:line="6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following order, at the date or dates fixed by the Trustee, and, in case of the distribution of such money on account of principal and any premium and interest, upon presentation of the Securities in respect of which or for the benefit of which such money shall have been collected and the notation thereon of the payment if only partially paid and upon surrender thereof if fully paid:</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FIRST: To the payment of all amounts due the Trustee under Section 607;</w:t>
      </w:r>
    </w:p>
    <w:p>
      <w:pPr>
        <w:spacing w:after="0" w:line="225" w:lineRule="exact"/>
        <w:rPr>
          <w:sz w:val="20"/>
          <w:szCs w:val="20"/>
          <w:color w:val="auto"/>
        </w:rPr>
      </w:pPr>
    </w:p>
    <w:p>
      <w:pPr>
        <w:ind w:right="20" w:firstLine="1297"/>
        <w:spacing w:after="0" w:line="264" w:lineRule="auto"/>
        <w:rPr>
          <w:sz w:val="20"/>
          <w:szCs w:val="20"/>
          <w:color w:val="auto"/>
        </w:rPr>
      </w:pPr>
      <w:r>
        <w:rPr>
          <w:rFonts w:ascii="Arial" w:cs="Arial" w:eastAsia="Arial" w:hAnsi="Arial"/>
          <w:sz w:val="18"/>
          <w:szCs w:val="18"/>
          <w:color w:val="auto"/>
        </w:rPr>
        <w:t>SECOND: To the payment of the amounts then due and unpaid for principal of and any premium and interest on the Securities in respect of which or for the benefit of which such money has been collected, ratably, without preference or priority of any kind, according to the amounts due and payable on such Securities for principal and any premium and interest, respectively; and</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THIRD: The balance, if any, to the Company.</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Trustee may fix a record date and payment date for any such payment to Holders of Securities.</w:t>
      </w:r>
    </w:p>
    <w:p>
      <w:pPr>
        <w:spacing w:after="0" w:line="225" w:lineRule="exact"/>
        <w:rPr>
          <w:sz w:val="20"/>
          <w:szCs w:val="20"/>
          <w:color w:val="auto"/>
        </w:rPr>
      </w:pPr>
    </w:p>
    <w:p>
      <w:pPr>
        <w:ind w:right="360" w:firstLine="1297"/>
        <w:spacing w:after="0" w:line="395" w:lineRule="auto"/>
        <w:rPr>
          <w:sz w:val="20"/>
          <w:szCs w:val="20"/>
          <w:color w:val="auto"/>
        </w:rPr>
      </w:pPr>
      <w:r>
        <w:rPr>
          <w:rFonts w:ascii="Arial" w:cs="Arial" w:eastAsia="Arial" w:hAnsi="Arial"/>
          <w:sz w:val="16"/>
          <w:szCs w:val="16"/>
          <w:color w:val="auto"/>
        </w:rPr>
        <w:t xml:space="preserve">SECTION 507. </w:t>
      </w:r>
      <w:r>
        <w:rPr>
          <w:rFonts w:ascii="Arial" w:cs="Arial" w:eastAsia="Arial" w:hAnsi="Arial"/>
          <w:sz w:val="16"/>
          <w:szCs w:val="16"/>
          <w:i w:val="1"/>
          <w:iCs w:val="1"/>
          <w:color w:val="auto"/>
        </w:rPr>
        <w:t>Limitation on Suits</w:t>
      </w:r>
      <w:r>
        <w:rPr>
          <w:rFonts w:ascii="Arial" w:cs="Arial" w:eastAsia="Arial" w:hAnsi="Arial"/>
          <w:sz w:val="16"/>
          <w:szCs w:val="16"/>
          <w:color w:val="auto"/>
        </w:rPr>
        <w:t>. No Holder of any Security of any series shall have any right to institute any proceeding, judicial or otherwise, with respect to this Indenture or such Security, or for the appointment of a receiver or trustee, or for any other remedy hereunder, unless</w:t>
      </w:r>
    </w:p>
    <w:p>
      <w:pPr>
        <w:spacing w:after="0" w:line="83"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(1) such Holder has previously given written notice to the Trustee of a continuing Event of Default with respect to the Securities of that</w:t>
      </w:r>
    </w:p>
    <w:p>
      <w:pPr>
        <w:spacing w:after="0" w:line="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series;</w:t>
      </w:r>
    </w:p>
    <w:p>
      <w:pPr>
        <w:spacing w:after="0" w:line="225" w:lineRule="exact"/>
        <w:rPr>
          <w:sz w:val="20"/>
          <w:szCs w:val="20"/>
          <w:color w:val="auto"/>
        </w:rPr>
      </w:pPr>
    </w:p>
    <w:p>
      <w:pPr>
        <w:ind w:left="660" w:right="420" w:firstLine="645"/>
        <w:spacing w:after="0" w:line="357" w:lineRule="auto"/>
        <w:tabs>
          <w:tab w:leader="none" w:pos="1532"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Holders of not less than 25% in aggregate principal amount of the Outstanding Securities of that series shall have made written request to the Trustee to institute proceedings in respect of such Event of Default in its own name as Trustee hereunder;</w:t>
      </w:r>
    </w:p>
    <w:p>
      <w:pPr>
        <w:spacing w:after="0" w:line="107" w:lineRule="exact"/>
        <w:rPr>
          <w:rFonts w:ascii="Arial" w:cs="Arial" w:eastAsia="Arial" w:hAnsi="Arial"/>
          <w:sz w:val="17"/>
          <w:szCs w:val="17"/>
          <w:color w:val="auto"/>
        </w:rPr>
      </w:pPr>
    </w:p>
    <w:p>
      <w:pPr>
        <w:ind w:left="660" w:right="360" w:firstLine="645"/>
        <w:spacing w:after="0" w:line="324" w:lineRule="auto"/>
        <w:tabs>
          <w:tab w:leader="none" w:pos="1532" w:val="left"/>
        </w:tabs>
        <w:numPr>
          <w:ilvl w:val="0"/>
          <w:numId w:val="65"/>
        </w:numPr>
        <w:rPr>
          <w:rFonts w:ascii="Arial" w:cs="Arial" w:eastAsia="Arial" w:hAnsi="Arial"/>
          <w:sz w:val="18"/>
          <w:szCs w:val="18"/>
          <w:color w:val="auto"/>
        </w:rPr>
      </w:pPr>
      <w:r>
        <w:rPr>
          <w:rFonts w:ascii="Arial" w:cs="Arial" w:eastAsia="Arial" w:hAnsi="Arial"/>
          <w:sz w:val="18"/>
          <w:szCs w:val="18"/>
          <w:color w:val="auto"/>
        </w:rPr>
        <w:t>such Holder or Holders have offered to the Trustee indemnity against the reasonable costs, expenses and liabilities to be incurred in compliance with such request;</w:t>
      </w:r>
    </w:p>
    <w:p>
      <w:pPr>
        <w:spacing w:after="0" w:line="129" w:lineRule="exact"/>
        <w:rPr>
          <w:rFonts w:ascii="Arial" w:cs="Arial" w:eastAsia="Arial" w:hAnsi="Arial"/>
          <w:sz w:val="18"/>
          <w:szCs w:val="18"/>
          <w:color w:val="auto"/>
        </w:rPr>
      </w:pPr>
    </w:p>
    <w:p>
      <w:pPr>
        <w:ind w:left="1520" w:hanging="215"/>
        <w:spacing w:after="0"/>
        <w:tabs>
          <w:tab w:leader="none" w:pos="152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Trustee for 60 days after its receipt of such notice, request and offer of indemnity has failed to institute any such proceeding; and</w:t>
      </w:r>
    </w:p>
    <w:p>
      <w:pPr>
        <w:spacing w:after="0" w:line="288" w:lineRule="exact"/>
        <w:rPr>
          <w:rFonts w:ascii="Arial" w:cs="Arial" w:eastAsia="Arial" w:hAnsi="Arial"/>
          <w:sz w:val="16"/>
          <w:szCs w:val="16"/>
          <w:color w:val="auto"/>
        </w:rPr>
      </w:pPr>
    </w:p>
    <w:p>
      <w:pPr>
        <w:ind w:left="660" w:right="40" w:firstLine="645"/>
        <w:spacing w:after="0" w:line="324" w:lineRule="auto"/>
        <w:tabs>
          <w:tab w:leader="none" w:pos="1532" w:val="left"/>
        </w:tabs>
        <w:numPr>
          <w:ilvl w:val="0"/>
          <w:numId w:val="65"/>
        </w:numPr>
        <w:rPr>
          <w:rFonts w:ascii="Arial" w:cs="Arial" w:eastAsia="Arial" w:hAnsi="Arial"/>
          <w:sz w:val="18"/>
          <w:szCs w:val="18"/>
          <w:color w:val="auto"/>
        </w:rPr>
      </w:pPr>
      <w:r>
        <w:rPr>
          <w:rFonts w:ascii="Arial" w:cs="Arial" w:eastAsia="Arial" w:hAnsi="Arial"/>
          <w:sz w:val="18"/>
          <w:szCs w:val="18"/>
          <w:color w:val="auto"/>
        </w:rPr>
        <w:t>no direction inconsistent with such written request has been given to the Trustee during such 60-day period by the Holders of a majority in aggregate principal amount of the Outstanding Securities of that series;</w:t>
      </w:r>
    </w:p>
    <w:p>
      <w:pPr>
        <w:spacing w:after="0" w:line="13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it being understood and intended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720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368" w:right="299" w:bottom="1440" w:gutter="0" w:footer="0" w:header="0"/>
        </w:sectPr>
      </w:pPr>
    </w:p>
    <w:bookmarkStart w:id="64" w:name="page65"/>
    <w:bookmarkEnd w:id="64"/>
    <w:p>
      <w:pPr>
        <w:spacing w:after="0"/>
        <w:rPr>
          <w:sz w:val="20"/>
          <w:szCs w:val="20"/>
          <w:color w:val="auto"/>
        </w:rPr>
      </w:pPr>
      <w:r>
        <w:rPr>
          <w:rFonts w:ascii="Arial" w:cs="Arial" w:eastAsia="Arial" w:hAnsi="Arial"/>
          <w:sz w:val="18"/>
          <w:szCs w:val="18"/>
          <w:color w:val="auto"/>
        </w:rPr>
        <w:t>right under this Indenture, except in the manner herein provided and for the equal and ratable benefit of all of such Holders.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 xml:space="preserve">SECTION 508. </w:t>
      </w:r>
      <w:r>
        <w:rPr>
          <w:rFonts w:ascii="Arial" w:cs="Arial" w:eastAsia="Arial" w:hAnsi="Arial"/>
          <w:sz w:val="17"/>
          <w:szCs w:val="17"/>
          <w:i w:val="1"/>
          <w:iCs w:val="1"/>
          <w:color w:val="auto"/>
        </w:rPr>
        <w:t>Unconditional Right of Holders to Receive Principal, Premium and Interest</w:t>
      </w:r>
      <w:r>
        <w:rPr>
          <w:rFonts w:ascii="Arial" w:cs="Arial" w:eastAsia="Arial" w:hAnsi="Arial"/>
          <w:sz w:val="17"/>
          <w:szCs w:val="17"/>
          <w:color w:val="auto"/>
        </w:rPr>
        <w:t>. Notwithstanding any other provision in this</w:t>
      </w:r>
    </w:p>
    <w:p>
      <w:pPr>
        <w:spacing w:after="0" w:line="61" w:lineRule="exact"/>
        <w:rPr>
          <w:sz w:val="20"/>
          <w:szCs w:val="20"/>
          <w:color w:val="auto"/>
        </w:rPr>
      </w:pPr>
    </w:p>
    <w:p>
      <w:pPr>
        <w:jc w:val="both"/>
        <w:ind w:right="480"/>
        <w:spacing w:after="0" w:line="259" w:lineRule="auto"/>
        <w:rPr>
          <w:sz w:val="20"/>
          <w:szCs w:val="20"/>
          <w:color w:val="auto"/>
        </w:rPr>
      </w:pPr>
      <w:r>
        <w:rPr>
          <w:rFonts w:ascii="Arial" w:cs="Arial" w:eastAsia="Arial" w:hAnsi="Arial"/>
          <w:sz w:val="18"/>
          <w:szCs w:val="18"/>
          <w:color w:val="auto"/>
        </w:rPr>
        <w:t>Indenture, the Holder of any Security shall have the right, which is absolute and unconditional, to receive payment of the principal of and premium and (subject to Section 307) interest on such Security on the Stated Maturity or Maturities expressed in such Security (or, in the case of redemption, on the Redemption Date, or, in the case of repayment at the option of the Holder, on the Repayment Date) and to institute suit for the enforcement of any such payment, and such rights shall not be impaired without the consent of such Holder.</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 xml:space="preserve">SECTION 509. </w:t>
      </w:r>
      <w:r>
        <w:rPr>
          <w:rFonts w:ascii="Arial" w:cs="Arial" w:eastAsia="Arial" w:hAnsi="Arial"/>
          <w:sz w:val="17"/>
          <w:szCs w:val="17"/>
          <w:i w:val="1"/>
          <w:iCs w:val="1"/>
          <w:color w:val="auto"/>
        </w:rPr>
        <w:t>Restoration of Rights and Remedies</w:t>
      </w:r>
      <w:r>
        <w:rPr>
          <w:rFonts w:ascii="Arial" w:cs="Arial" w:eastAsia="Arial" w:hAnsi="Arial"/>
          <w:sz w:val="17"/>
          <w:szCs w:val="17"/>
          <w:color w:val="auto"/>
        </w:rPr>
        <w:t>. If the Trustee or any Holder has instituted any proceeding to enforce any right or</w:t>
      </w:r>
    </w:p>
    <w:p>
      <w:pPr>
        <w:spacing w:after="0" w:line="6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remedy under this Indenture and such proceeding has been discontinued or abandoned for any reason, or has been determined adversely to the Trustee or to such Holder, then and in every such case, subject to any determination in such proceeding, the Company, the Trustee and such Holder shall be restored severally and respectively to their former positions hereunder and thereafter all rights and remedies of the Trustee and such Holder shall continue as though no such proceeding had been instituted.</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SECTION 510. </w:t>
      </w:r>
      <w:r>
        <w:rPr>
          <w:rFonts w:ascii="Arial" w:cs="Arial" w:eastAsia="Arial" w:hAnsi="Arial"/>
          <w:sz w:val="16"/>
          <w:szCs w:val="16"/>
          <w:i w:val="1"/>
          <w:iCs w:val="1"/>
          <w:color w:val="auto"/>
        </w:rPr>
        <w:t>Rights and Remedies Cumulative</w:t>
      </w:r>
      <w:r>
        <w:rPr>
          <w:rFonts w:ascii="Arial" w:cs="Arial" w:eastAsia="Arial" w:hAnsi="Arial"/>
          <w:sz w:val="16"/>
          <w:szCs w:val="16"/>
          <w:color w:val="auto"/>
        </w:rPr>
        <w:t>. Except as otherwise provided with respect to the replacement or payment of mutilated,</w:t>
      </w:r>
    </w:p>
    <w:p>
      <w:pPr>
        <w:spacing w:after="0" w:line="73"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destroyed, lost or stolen Securities in the last paragraph of Section 306,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SECTION 511. </w:t>
      </w:r>
      <w:r>
        <w:rPr>
          <w:rFonts w:ascii="Arial" w:cs="Arial" w:eastAsia="Arial" w:hAnsi="Arial"/>
          <w:sz w:val="16"/>
          <w:szCs w:val="16"/>
          <w:i w:val="1"/>
          <w:iCs w:val="1"/>
          <w:color w:val="auto"/>
        </w:rPr>
        <w:t>Delay or Omission Not Waiver</w:t>
      </w:r>
      <w:r>
        <w:rPr>
          <w:rFonts w:ascii="Arial" w:cs="Arial" w:eastAsia="Arial" w:hAnsi="Arial"/>
          <w:sz w:val="16"/>
          <w:szCs w:val="16"/>
          <w:color w:val="auto"/>
        </w:rPr>
        <w:t>. No delay or omission of the Trustee or of any Holder of any Securities to exercise any right</w:t>
      </w:r>
    </w:p>
    <w:p>
      <w:pPr>
        <w:spacing w:after="0" w:line="73"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as the case may be.</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SECTION 512. </w:t>
      </w:r>
      <w:r>
        <w:rPr>
          <w:rFonts w:ascii="Arial" w:cs="Arial" w:eastAsia="Arial" w:hAnsi="Arial"/>
          <w:sz w:val="16"/>
          <w:szCs w:val="16"/>
          <w:i w:val="1"/>
          <w:iCs w:val="1"/>
          <w:color w:val="auto"/>
        </w:rPr>
        <w:t>Control by Holders</w:t>
      </w:r>
      <w:r>
        <w:rPr>
          <w:rFonts w:ascii="Arial" w:cs="Arial" w:eastAsia="Arial" w:hAnsi="Arial"/>
          <w:sz w:val="16"/>
          <w:szCs w:val="16"/>
          <w:color w:val="auto"/>
        </w:rPr>
        <w:t>. If an Event of Default shall have occurred and be continuing in respect of a series of Securities, the</w:t>
      </w:r>
    </w:p>
    <w:p>
      <w:pPr>
        <w:spacing w:after="0" w:line="73"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 xml:space="preserve">Holders of a majority in aggregate principal amount of the Outstanding Securities of that series shall have the right to direct the time, method and place of conducting any proceeding for any remedy available to the Trustee, or exercising any trust or power conferred on the Trustee, with respect to the Securities of such series or Tranche;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if an Event of Default has occurred and is continuing with respect to more than one series of Securities of equal ranking, the Holders of a majority in aggregate principal amount of the Outstanding Securities of all such series of equal ranking, considered as one class, shall have the right to make such direction, and not the Holders of the Securities of any one of such series of equal ranking;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w:t>
      </w:r>
    </w:p>
    <w:p>
      <w:pPr>
        <w:spacing w:after="0" w:line="158" w:lineRule="exact"/>
        <w:rPr>
          <w:sz w:val="20"/>
          <w:szCs w:val="20"/>
          <w:color w:val="auto"/>
        </w:rPr>
      </w:pPr>
    </w:p>
    <w:p>
      <w:pPr>
        <w:ind w:left="1520" w:hanging="215"/>
        <w:spacing w:after="0"/>
        <w:tabs>
          <w:tab w:leader="none" w:pos="1520" w:val="left"/>
        </w:tabs>
        <w:numPr>
          <w:ilvl w:val="0"/>
          <w:numId w:val="66"/>
        </w:numPr>
        <w:rPr>
          <w:rFonts w:ascii="Arial" w:cs="Arial" w:eastAsia="Arial" w:hAnsi="Arial"/>
          <w:sz w:val="17"/>
          <w:szCs w:val="17"/>
          <w:color w:val="auto"/>
        </w:rPr>
      </w:pPr>
      <w:r>
        <w:rPr>
          <w:rFonts w:ascii="Arial" w:cs="Arial" w:eastAsia="Arial" w:hAnsi="Arial"/>
          <w:sz w:val="17"/>
          <w:szCs w:val="17"/>
          <w:color w:val="auto"/>
        </w:rPr>
        <w:t>such direction shall not be in conflict with any rule of law or with this Indenture, and</w:t>
      </w:r>
    </w:p>
    <w:p>
      <w:pPr>
        <w:spacing w:after="0" w:line="277" w:lineRule="exact"/>
        <w:rPr>
          <w:rFonts w:ascii="Arial" w:cs="Arial" w:eastAsia="Arial" w:hAnsi="Arial"/>
          <w:sz w:val="17"/>
          <w:szCs w:val="17"/>
          <w:color w:val="auto"/>
        </w:rPr>
      </w:pPr>
    </w:p>
    <w:p>
      <w:pPr>
        <w:ind w:left="1520" w:hanging="215"/>
        <w:spacing w:after="0"/>
        <w:tabs>
          <w:tab w:leader="none" w:pos="152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Trustee may take any other action deemed proper by the Trustee which is not inconsistent with such direction.</w:t>
      </w:r>
    </w:p>
    <w:p>
      <w:pPr>
        <w:spacing w:after="0" w:line="27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SECTION 513. </w:t>
      </w:r>
      <w:r>
        <w:rPr>
          <w:rFonts w:ascii="Arial" w:cs="Arial" w:eastAsia="Arial" w:hAnsi="Arial"/>
          <w:sz w:val="16"/>
          <w:szCs w:val="16"/>
          <w:i w:val="1"/>
          <w:iCs w:val="1"/>
          <w:color w:val="auto"/>
        </w:rPr>
        <w:t>Waiver of Past Defaults</w:t>
      </w:r>
      <w:r>
        <w:rPr>
          <w:rFonts w:ascii="Arial" w:cs="Arial" w:eastAsia="Arial" w:hAnsi="Arial"/>
          <w:sz w:val="16"/>
          <w:szCs w:val="16"/>
          <w:color w:val="auto"/>
        </w:rPr>
        <w:t>. The Holders of not less than a majority in aggregate principal amount of the Outstanding Securities</w:t>
      </w:r>
    </w:p>
    <w:p>
      <w:pPr>
        <w:spacing w:after="0" w:line="7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of any series may on behalf of the Holders of all the Securities of such series waive any past default hereunder with respect to such series and its consequences;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any such past default has occurred with respect to more than one series of Securities of equal ranking, the Holders of a majority in aggregate principal amount of the Outstanding Securities of all such series of equal ranking, considered as one class, may make such waiver, and not the Holders of the Securities of any one of such series of equal ranking, in each case, except a default</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720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65" w:name="page66"/>
    <w:bookmarkEnd w:id="65"/>
    <w:p>
      <w:pPr>
        <w:ind w:left="1520" w:hanging="215"/>
        <w:spacing w:after="0"/>
        <w:tabs>
          <w:tab w:leader="none" w:pos="1520" w:val="left"/>
        </w:tabs>
        <w:numPr>
          <w:ilvl w:val="0"/>
          <w:numId w:val="67"/>
        </w:numPr>
        <w:rPr>
          <w:rFonts w:ascii="Arial" w:cs="Arial" w:eastAsia="Arial" w:hAnsi="Arial"/>
          <w:sz w:val="17"/>
          <w:szCs w:val="17"/>
          <w:color w:val="auto"/>
        </w:rPr>
      </w:pPr>
      <w:r>
        <w:rPr>
          <w:rFonts w:ascii="Arial" w:cs="Arial" w:eastAsia="Arial" w:hAnsi="Arial"/>
          <w:sz w:val="17"/>
          <w:szCs w:val="17"/>
          <w:color w:val="auto"/>
        </w:rPr>
        <w:t>in the payment of the principal of or premium or interest on any Security of such series, or</w:t>
      </w:r>
    </w:p>
    <w:p>
      <w:pPr>
        <w:spacing w:after="0" w:line="277" w:lineRule="exact"/>
        <w:rPr>
          <w:rFonts w:ascii="Arial" w:cs="Arial" w:eastAsia="Arial" w:hAnsi="Arial"/>
          <w:sz w:val="17"/>
          <w:szCs w:val="17"/>
          <w:color w:val="auto"/>
        </w:rPr>
      </w:pPr>
    </w:p>
    <w:p>
      <w:pPr>
        <w:ind w:left="660" w:right="80" w:firstLine="645"/>
        <w:spacing w:after="0" w:line="324" w:lineRule="auto"/>
        <w:tabs>
          <w:tab w:leader="none" w:pos="1532"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 respect of a covenant or provision hereof that under Section 902 cannot be modified or amended without the consent of the Holder of each Outstanding Security of such series affected.</w:t>
      </w:r>
    </w:p>
    <w:p>
      <w:pPr>
        <w:spacing w:after="0" w:line="130" w:lineRule="exact"/>
        <w:rPr>
          <w:sz w:val="20"/>
          <w:szCs w:val="20"/>
          <w:color w:val="auto"/>
        </w:rPr>
      </w:pPr>
    </w:p>
    <w:p>
      <w:pPr>
        <w:ind w:right="220" w:firstLine="648"/>
        <w:spacing w:after="0" w:line="308" w:lineRule="auto"/>
        <w:rPr>
          <w:sz w:val="20"/>
          <w:szCs w:val="20"/>
          <w:color w:val="auto"/>
        </w:rPr>
      </w:pPr>
      <w:r>
        <w:rPr>
          <w:rFonts w:ascii="Arial" w:cs="Arial" w:eastAsia="Arial" w:hAnsi="Arial"/>
          <w:sz w:val="17"/>
          <w:szCs w:val="17"/>
          <w:color w:val="auto"/>
        </w:rPr>
        <w:t>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SECTION 514. </w:t>
      </w:r>
      <w:r>
        <w:rPr>
          <w:rFonts w:ascii="Arial" w:cs="Arial" w:eastAsia="Arial" w:hAnsi="Arial"/>
          <w:sz w:val="16"/>
          <w:szCs w:val="16"/>
          <w:i w:val="1"/>
          <w:iCs w:val="1"/>
          <w:color w:val="auto"/>
        </w:rPr>
        <w:t>Undertaking for Costs</w:t>
      </w:r>
      <w:r>
        <w:rPr>
          <w:rFonts w:ascii="Arial" w:cs="Arial" w:eastAsia="Arial" w:hAnsi="Arial"/>
          <w:sz w:val="16"/>
          <w:szCs w:val="16"/>
          <w:color w:val="auto"/>
        </w:rPr>
        <w:t>. All parties to this Indenture agree, and each Holder of any Security by such Holder’s acceptance</w:t>
      </w:r>
    </w:p>
    <w:p>
      <w:pPr>
        <w:spacing w:after="0" w:line="7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thereof shall be deemed to have agreed, that any court may in its discretion require, in any suit for the enforcement of any right or remedy under this Indenture, or in any suit against the Trustee for any action taken, suffered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Company, to any suit instituted by the Trustee, to any suit instituted by any Holder, or group of Holders, holding in the aggregate more than 10% in aggregate principal amount of the Outstanding Securities of all series in respect of which such suit may be brought, considered as one class, or to any suit instituted by any Holder for the enforcement of the payment of the principal of or any premium or interest on any Security on or after the Stated Maturity or Maturities expressed in such Security (or, in the case of redemption, on or after the Redemption Date, or, in the case of repayment at the option of the Holder, on or after the Repayment Date).</w:t>
      </w:r>
    </w:p>
    <w:p>
      <w:pPr>
        <w:spacing w:after="0" w:line="182"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SECTION 515. </w:t>
      </w:r>
      <w:r>
        <w:rPr>
          <w:rFonts w:ascii="Arial" w:cs="Arial" w:eastAsia="Arial" w:hAnsi="Arial"/>
          <w:sz w:val="16"/>
          <w:szCs w:val="16"/>
          <w:i w:val="1"/>
          <w:iCs w:val="1"/>
          <w:color w:val="auto"/>
        </w:rPr>
        <w:t>Waiver of Stay or Extension Laws</w:t>
      </w:r>
      <w:r>
        <w:rPr>
          <w:rFonts w:ascii="Arial" w:cs="Arial" w:eastAsia="Arial" w:hAnsi="Arial"/>
          <w:sz w:val="16"/>
          <w:szCs w:val="16"/>
          <w:color w:val="auto"/>
        </w:rPr>
        <w:t>. The Company covenants (to the extent that it may lawfully do so) that it will not at any</w:t>
      </w:r>
    </w:p>
    <w:p>
      <w:pPr>
        <w:spacing w:after="0" w:line="73"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time insist upon, or plead, or in any manner whatsoever claim or take the benefit or advantage of, any stay or extension law wherever enacted, now or at any time hereafter in force, which may affect the covenants or the performance of this Indenture; and the Company (to the extent that it may lawfully do so) hereby expressly waives all benefit or advantage of any such law and covenants that it will not hinder, delay or impede the execution of any power herein granted to the Trustee, but will suffer and permit the execution of every such power as though no such law had been enacted.</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SIX</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TRUSTEE</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SECTION 601. </w:t>
      </w:r>
      <w:r>
        <w:rPr>
          <w:rFonts w:ascii="Arial" w:cs="Arial" w:eastAsia="Arial" w:hAnsi="Arial"/>
          <w:sz w:val="16"/>
          <w:szCs w:val="16"/>
          <w:i w:val="1"/>
          <w:iCs w:val="1"/>
          <w:color w:val="auto"/>
        </w:rPr>
        <w:t>Certain Duties and Responsibilities</w:t>
      </w:r>
      <w:r>
        <w:rPr>
          <w:rFonts w:ascii="Arial" w:cs="Arial" w:eastAsia="Arial" w:hAnsi="Arial"/>
          <w:sz w:val="16"/>
          <w:szCs w:val="16"/>
          <w:color w:val="auto"/>
        </w:rPr>
        <w:t>. (a) Except during the continuance of an Event of Default with respect to Securities of</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any series,</w:t>
      </w:r>
    </w:p>
    <w:p>
      <w:pPr>
        <w:spacing w:after="0" w:line="225" w:lineRule="exact"/>
        <w:rPr>
          <w:sz w:val="20"/>
          <w:szCs w:val="20"/>
          <w:color w:val="auto"/>
        </w:rPr>
      </w:pPr>
    </w:p>
    <w:p>
      <w:pPr>
        <w:ind w:left="660" w:right="100" w:firstLine="645"/>
        <w:spacing w:after="0" w:line="357" w:lineRule="auto"/>
        <w:tabs>
          <w:tab w:leader="none" w:pos="1532"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Trustee undertakes to perform, with respect to Securities of such series, such duties and only such duties as are specifically set forth in this Indenture, and no implied covenants or obligations shall be read into this Indenture against the Trustee; and</w:t>
      </w:r>
    </w:p>
    <w:p>
      <w:pPr>
        <w:spacing w:after="0" w:line="107" w:lineRule="exact"/>
        <w:rPr>
          <w:rFonts w:ascii="Arial" w:cs="Arial" w:eastAsia="Arial" w:hAnsi="Arial"/>
          <w:sz w:val="17"/>
          <w:szCs w:val="17"/>
          <w:color w:val="auto"/>
        </w:rPr>
      </w:pPr>
    </w:p>
    <w:p>
      <w:pPr>
        <w:ind w:left="1520" w:hanging="215"/>
        <w:spacing w:after="0"/>
        <w:tabs>
          <w:tab w:leader="none" w:pos="1520" w:val="left"/>
        </w:tabs>
        <w:numPr>
          <w:ilvl w:val="0"/>
          <w:numId w:val="68"/>
        </w:numPr>
        <w:rPr>
          <w:rFonts w:ascii="Arial" w:cs="Arial" w:eastAsia="Arial" w:hAnsi="Arial"/>
          <w:sz w:val="16"/>
          <w:szCs w:val="16"/>
          <w:color w:val="auto"/>
        </w:rPr>
      </w:pPr>
      <w:r>
        <w:rPr>
          <w:rFonts w:ascii="Arial" w:cs="Arial" w:eastAsia="Arial" w:hAnsi="Arial"/>
          <w:sz w:val="16"/>
          <w:szCs w:val="16"/>
          <w:color w:val="auto"/>
        </w:rPr>
        <w:t>in the absence of bad faith on its part, the Trustee may, with respect to Securities of such series, conclusively rely, as to the truth of the</w:t>
      </w:r>
    </w:p>
    <w:p>
      <w:pPr>
        <w:spacing w:after="0" w:line="73" w:lineRule="exact"/>
        <w:rPr>
          <w:sz w:val="20"/>
          <w:szCs w:val="20"/>
          <w:color w:val="auto"/>
        </w:rPr>
      </w:pPr>
    </w:p>
    <w:p>
      <w:pPr>
        <w:ind w:left="660" w:right="80"/>
        <w:spacing w:after="0" w:line="259" w:lineRule="auto"/>
        <w:rPr>
          <w:sz w:val="20"/>
          <w:szCs w:val="20"/>
          <w:color w:val="auto"/>
        </w:rPr>
      </w:pPr>
      <w:r>
        <w:rPr>
          <w:rFonts w:ascii="Arial" w:cs="Arial" w:eastAsia="Arial" w:hAnsi="Arial"/>
          <w:sz w:val="18"/>
          <w:szCs w:val="18"/>
          <w:color w:val="auto"/>
        </w:rPr>
        <w:t>statements and the correctness of the opinions expressed therein, upon certificates or opinions furnished to the Trustee and conforming to the requirements of this Indenture; but in the case of any such certificates or opinions which by any provision hereof are specifically required to be furnished to the Trustee, the Trustee shall be under a duty to examine the same to determine whether or not they conform to the requirements of this Indenture.</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(b) If an Event of Default with respect to Securities of any series has occurred and is continuing, the Trustee shall exercise, with respect to</w:t>
      </w:r>
    </w:p>
    <w:p>
      <w:pPr>
        <w:spacing w:after="0" w:line="7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Securities of such series, such of the rights and powers vested in it by this Indenture, and use the same degree of care and skill in their exercise, as a prudent man would exercise or use under the circumstances in the conduct of his own affairs.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720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66" w:name="page67"/>
    <w:bookmarkEnd w:id="66"/>
    <w:p>
      <w:pPr>
        <w:ind w:right="400" w:firstLine="1305"/>
        <w:spacing w:after="0" w:line="357" w:lineRule="auto"/>
        <w:tabs>
          <w:tab w:leader="none" w:pos="1510" w:val="left"/>
        </w:tabs>
        <w:numPr>
          <w:ilvl w:val="0"/>
          <w:numId w:val="69"/>
        </w:numPr>
        <w:rPr>
          <w:rFonts w:ascii="Arial" w:cs="Arial" w:eastAsia="Arial" w:hAnsi="Arial"/>
          <w:sz w:val="17"/>
          <w:szCs w:val="17"/>
          <w:color w:val="auto"/>
        </w:rPr>
      </w:pPr>
      <w:r>
        <w:rPr>
          <w:rFonts w:ascii="Arial" w:cs="Arial" w:eastAsia="Arial" w:hAnsi="Arial"/>
          <w:sz w:val="17"/>
          <w:szCs w:val="17"/>
          <w:color w:val="auto"/>
        </w:rPr>
        <w:t xml:space="preserve">No provision of this Indenture shall be construed to relieve the Trustee from liability for its own negligent action, its own negligent failure to act, or its own willful misconduct, </w:t>
      </w:r>
      <w:r>
        <w:rPr>
          <w:rFonts w:ascii="Arial" w:cs="Arial" w:eastAsia="Arial" w:hAnsi="Arial"/>
          <w:sz w:val="17"/>
          <w:szCs w:val="17"/>
          <w:i w:val="1"/>
          <w:iCs w:val="1"/>
          <w:color w:val="auto"/>
        </w:rPr>
        <w:t>except</w:t>
      </w:r>
      <w:r>
        <w:rPr>
          <w:rFonts w:ascii="Arial" w:cs="Arial" w:eastAsia="Arial" w:hAnsi="Arial"/>
          <w:sz w:val="17"/>
          <w:szCs w:val="17"/>
          <w:color w:val="auto"/>
        </w:rPr>
        <w:t xml:space="preserve"> that</w:t>
      </w:r>
    </w:p>
    <w:p>
      <w:pPr>
        <w:spacing w:after="0" w:line="107" w:lineRule="exact"/>
        <w:rPr>
          <w:rFonts w:ascii="Arial" w:cs="Arial" w:eastAsia="Arial" w:hAnsi="Arial"/>
          <w:sz w:val="17"/>
          <w:szCs w:val="17"/>
          <w:color w:val="auto"/>
        </w:rPr>
      </w:pPr>
    </w:p>
    <w:p>
      <w:pPr>
        <w:ind w:left="2180" w:hanging="227"/>
        <w:spacing w:after="0"/>
        <w:tabs>
          <w:tab w:leader="none" w:pos="2180" w:val="left"/>
        </w:tabs>
        <w:numPr>
          <w:ilvl w:val="1"/>
          <w:numId w:val="69"/>
        </w:numPr>
        <w:rPr>
          <w:rFonts w:ascii="Arial" w:cs="Arial" w:eastAsia="Arial" w:hAnsi="Arial"/>
          <w:sz w:val="18"/>
          <w:szCs w:val="18"/>
          <w:color w:val="auto"/>
        </w:rPr>
      </w:pPr>
      <w:r>
        <w:rPr>
          <w:rFonts w:ascii="Arial" w:cs="Arial" w:eastAsia="Arial" w:hAnsi="Arial"/>
          <w:sz w:val="18"/>
          <w:szCs w:val="18"/>
          <w:color w:val="auto"/>
        </w:rPr>
        <w:t>this subsection shall not be construed to limit the effect of sub-section (a) of this Section;</w:t>
      </w:r>
    </w:p>
    <w:p>
      <w:pPr>
        <w:spacing w:after="0" w:line="265" w:lineRule="exact"/>
        <w:rPr>
          <w:rFonts w:ascii="Arial" w:cs="Arial" w:eastAsia="Arial" w:hAnsi="Arial"/>
          <w:sz w:val="18"/>
          <w:szCs w:val="18"/>
          <w:color w:val="auto"/>
        </w:rPr>
      </w:pPr>
    </w:p>
    <w:p>
      <w:pPr>
        <w:ind w:left="660" w:right="140" w:firstLine="1293"/>
        <w:spacing w:after="0" w:line="324" w:lineRule="auto"/>
        <w:tabs>
          <w:tab w:leader="none" w:pos="2180" w:val="left"/>
        </w:tabs>
        <w:numPr>
          <w:ilvl w:val="1"/>
          <w:numId w:val="69"/>
        </w:numPr>
        <w:rPr>
          <w:rFonts w:ascii="Arial" w:cs="Arial" w:eastAsia="Arial" w:hAnsi="Arial"/>
          <w:sz w:val="18"/>
          <w:szCs w:val="18"/>
          <w:color w:val="auto"/>
        </w:rPr>
      </w:pPr>
      <w:r>
        <w:rPr>
          <w:rFonts w:ascii="Arial" w:cs="Arial" w:eastAsia="Arial" w:hAnsi="Arial"/>
          <w:sz w:val="18"/>
          <w:szCs w:val="18"/>
          <w:color w:val="auto"/>
        </w:rPr>
        <w:t>the Trustee shall not be liable for any error of judgment made in good faith by a Responsible Officer, unless it shall be proved that the Trustee was negligent in ascertaining the pertinent facts;</w:t>
      </w:r>
    </w:p>
    <w:p>
      <w:pPr>
        <w:spacing w:after="0" w:line="129" w:lineRule="exact"/>
        <w:rPr>
          <w:rFonts w:ascii="Arial" w:cs="Arial" w:eastAsia="Arial" w:hAnsi="Arial"/>
          <w:sz w:val="18"/>
          <w:szCs w:val="18"/>
          <w:color w:val="auto"/>
        </w:rPr>
      </w:pPr>
    </w:p>
    <w:p>
      <w:pPr>
        <w:ind w:left="2180" w:hanging="227"/>
        <w:spacing w:after="0"/>
        <w:tabs>
          <w:tab w:leader="none" w:pos="2180" w:val="left"/>
        </w:tabs>
        <w:numPr>
          <w:ilvl w:val="1"/>
          <w:numId w:val="69"/>
        </w:numPr>
        <w:rPr>
          <w:rFonts w:ascii="Arial" w:cs="Arial" w:eastAsia="Arial" w:hAnsi="Arial"/>
          <w:sz w:val="16"/>
          <w:szCs w:val="16"/>
          <w:color w:val="auto"/>
        </w:rPr>
      </w:pPr>
      <w:r>
        <w:rPr>
          <w:rFonts w:ascii="Arial" w:cs="Arial" w:eastAsia="Arial" w:hAnsi="Arial"/>
          <w:sz w:val="16"/>
          <w:szCs w:val="16"/>
          <w:color w:val="auto"/>
        </w:rPr>
        <w:t>the Trustee shall not be liable with respect to any action taken or omitted to be taken by it in good faith in accordance with the</w:t>
      </w:r>
    </w:p>
    <w:p>
      <w:pPr>
        <w:spacing w:after="0" w:line="73" w:lineRule="exact"/>
        <w:rPr>
          <w:sz w:val="20"/>
          <w:szCs w:val="20"/>
          <w:color w:val="auto"/>
        </w:rPr>
      </w:pPr>
    </w:p>
    <w:p>
      <w:pPr>
        <w:ind w:left="660" w:right="340"/>
        <w:spacing w:after="0" w:line="264" w:lineRule="auto"/>
        <w:rPr>
          <w:sz w:val="20"/>
          <w:szCs w:val="20"/>
          <w:color w:val="auto"/>
        </w:rPr>
      </w:pPr>
      <w:r>
        <w:rPr>
          <w:rFonts w:ascii="Arial" w:cs="Arial" w:eastAsia="Arial" w:hAnsi="Arial"/>
          <w:sz w:val="18"/>
          <w:szCs w:val="18"/>
          <w:color w:val="auto"/>
        </w:rPr>
        <w:t>direction of the Holders of a majority in aggregate principal amount of the Outstanding Securities of any one or more series, as provided herein, relating to the time, method and place of conducting any proceeding for any remedy available to the Trustee, or exercising any trust or power conferred upon the Trustee, under this Indenture with respect to the Securities of such series; and</w:t>
      </w:r>
    </w:p>
    <w:p>
      <w:pPr>
        <w:spacing w:after="0" w:line="181"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(4) no provision of this Indenture shall require the Trustee to expend or risk its own funds or otherwise incur any financial liability</w:t>
      </w:r>
    </w:p>
    <w:p>
      <w:pPr>
        <w:spacing w:after="0" w:line="73" w:lineRule="exact"/>
        <w:rPr>
          <w:sz w:val="20"/>
          <w:szCs w:val="20"/>
          <w:color w:val="auto"/>
        </w:rPr>
      </w:pPr>
    </w:p>
    <w:p>
      <w:pPr>
        <w:ind w:left="660" w:right="400"/>
        <w:spacing w:after="0" w:line="277" w:lineRule="auto"/>
        <w:rPr>
          <w:sz w:val="20"/>
          <w:szCs w:val="20"/>
          <w:color w:val="auto"/>
        </w:rPr>
      </w:pPr>
      <w:r>
        <w:rPr>
          <w:rFonts w:ascii="Arial" w:cs="Arial" w:eastAsia="Arial" w:hAnsi="Arial"/>
          <w:sz w:val="18"/>
          <w:szCs w:val="18"/>
          <w:color w:val="auto"/>
        </w:rPr>
        <w:t>in the performance of any of its duties hereunder, or in the exercise of any of its rights or powers, if it has reasonable grounds for believing that repayment of such funds or adequate indemnity against such risk or liability is not reasonably assured to it.</w:t>
      </w:r>
    </w:p>
    <w:p>
      <w:pPr>
        <w:spacing w:after="0" w:line="170" w:lineRule="exact"/>
        <w:rPr>
          <w:sz w:val="20"/>
          <w:szCs w:val="20"/>
          <w:color w:val="auto"/>
        </w:rPr>
      </w:pPr>
    </w:p>
    <w:p>
      <w:pPr>
        <w:ind w:right="340" w:firstLine="1305"/>
        <w:spacing w:after="0" w:line="357" w:lineRule="auto"/>
        <w:tabs>
          <w:tab w:leader="none" w:pos="1520" w:val="left"/>
        </w:tabs>
        <w:numPr>
          <w:ilvl w:val="0"/>
          <w:numId w:val="70"/>
        </w:numPr>
        <w:rPr>
          <w:rFonts w:ascii="Arial" w:cs="Arial" w:eastAsia="Arial" w:hAnsi="Arial"/>
          <w:sz w:val="17"/>
          <w:szCs w:val="17"/>
          <w:color w:val="auto"/>
        </w:rPr>
      </w:pPr>
      <w:r>
        <w:rPr>
          <w:rFonts w:ascii="Arial" w:cs="Arial" w:eastAsia="Arial" w:hAnsi="Arial"/>
          <w:sz w:val="17"/>
          <w:szCs w:val="17"/>
          <w:color w:val="auto"/>
        </w:rPr>
        <w:t>Whether or not therein expressly so provided, every provision of this Indenture relating to the conduct or affecting the liability of or affording protection to the Trustee shall be subject to the provisions of this Section.</w:t>
      </w:r>
    </w:p>
    <w:p>
      <w:pPr>
        <w:spacing w:after="0" w:line="10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SECTION 602. </w:t>
      </w:r>
      <w:r>
        <w:rPr>
          <w:rFonts w:ascii="Arial" w:cs="Arial" w:eastAsia="Arial" w:hAnsi="Arial"/>
          <w:sz w:val="16"/>
          <w:szCs w:val="16"/>
          <w:i w:val="1"/>
          <w:iCs w:val="1"/>
          <w:color w:val="auto"/>
        </w:rPr>
        <w:t>Notice of Defaults</w:t>
      </w:r>
      <w:r>
        <w:rPr>
          <w:rFonts w:ascii="Arial" w:cs="Arial" w:eastAsia="Arial" w:hAnsi="Arial"/>
          <w:sz w:val="16"/>
          <w:szCs w:val="16"/>
          <w:color w:val="auto"/>
        </w:rPr>
        <w:t>. Within 90 days after the occurrence of any default hereunder with respect to the Securities of any series,</w:t>
      </w:r>
    </w:p>
    <w:p>
      <w:pPr>
        <w:spacing w:after="0" w:line="73"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 xml:space="preserve">the Trustee shall transmit by mail to all Holders of Securities of such series entitled to receive reports pursuant to Section 704(3) notice of such default hereunder known to the Trustee, unless such default shall have been cured or waived;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except in the case of a default in the payment of the principal of or any premium or interest on any Security of such series or in the payment of any sinking fund installment with respect to Securities of such series, the Trustee shall be protected in withholding such notice if and so long as the board of directors, the executive committee or a trust committee of directors or Responsible Officers of the Trustee in good faith determine that the withholding of such notice is in the interest of the Holders of Securities of such series; and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in the case of any default of the character specified in Section 501(4) with respect to Securities of such series, no such notice to Holders shall be given until at least 75 days after the occurrence thereof. For the purpose of this Section, the term “</w:t>
      </w:r>
      <w:r>
        <w:rPr>
          <w:rFonts w:ascii="Arial" w:cs="Arial" w:eastAsia="Arial" w:hAnsi="Arial"/>
          <w:sz w:val="16"/>
          <w:szCs w:val="16"/>
          <w:b w:val="1"/>
          <w:bCs w:val="1"/>
          <w:i w:val="1"/>
          <w:iCs w:val="1"/>
          <w:color w:val="auto"/>
        </w:rPr>
        <w:t>default</w:t>
      </w:r>
      <w:r>
        <w:rPr>
          <w:rFonts w:ascii="Arial" w:cs="Arial" w:eastAsia="Arial" w:hAnsi="Arial"/>
          <w:sz w:val="16"/>
          <w:szCs w:val="16"/>
          <w:color w:val="auto"/>
        </w:rPr>
        <w:t>” means any event that is, or after notice or lapse of time or both would become, an Event of Default with respect to Securities of such series.</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SECTION 603. </w:t>
      </w:r>
      <w:r>
        <w:rPr>
          <w:rFonts w:ascii="Arial" w:cs="Arial" w:eastAsia="Arial" w:hAnsi="Arial"/>
          <w:sz w:val="16"/>
          <w:szCs w:val="16"/>
          <w:i w:val="1"/>
          <w:iCs w:val="1"/>
          <w:color w:val="auto"/>
        </w:rPr>
        <w:t>Certain Rights of Trustee</w:t>
      </w:r>
      <w:r>
        <w:rPr>
          <w:rFonts w:ascii="Arial" w:cs="Arial" w:eastAsia="Arial" w:hAnsi="Arial"/>
          <w:sz w:val="16"/>
          <w:szCs w:val="16"/>
          <w:color w:val="auto"/>
        </w:rPr>
        <w:t>. Subject to the provisions of Section 601 and to the applicable provisions of the Trust Indenture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Act: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(a) the Trustee may rely and shall be protected in acting or refraining from acting upon any resolution, certificate, statement, instrument,</w:t>
      </w:r>
    </w:p>
    <w:p>
      <w:pPr>
        <w:spacing w:after="0" w:line="73" w:lineRule="exact"/>
        <w:rPr>
          <w:sz w:val="20"/>
          <w:szCs w:val="20"/>
          <w:color w:val="auto"/>
        </w:rPr>
      </w:pPr>
    </w:p>
    <w:p>
      <w:pPr>
        <w:ind w:left="660" w:right="700"/>
        <w:spacing w:after="0" w:line="308" w:lineRule="auto"/>
        <w:rPr>
          <w:sz w:val="20"/>
          <w:szCs w:val="20"/>
          <w:color w:val="auto"/>
        </w:rPr>
      </w:pPr>
      <w:r>
        <w:rPr>
          <w:rFonts w:ascii="Arial" w:cs="Arial" w:eastAsia="Arial" w:hAnsi="Arial"/>
          <w:sz w:val="17"/>
          <w:szCs w:val="17"/>
          <w:color w:val="auto"/>
        </w:rPr>
        <w:t>opinion, report, notice, request, direction, consent, order, bond, debenture, note, other evidence of indebtedness or other paper or document reasonably believed by it to be genuine and to have been signed or presented by the proper party or parties;</w:t>
      </w:r>
    </w:p>
    <w:p>
      <w:pPr>
        <w:spacing w:after="0" w:line="147" w:lineRule="exact"/>
        <w:rPr>
          <w:sz w:val="20"/>
          <w:szCs w:val="20"/>
          <w:color w:val="auto"/>
        </w:rPr>
      </w:pPr>
    </w:p>
    <w:p>
      <w:pPr>
        <w:ind w:left="660" w:right="40" w:firstLine="645"/>
        <w:spacing w:after="0" w:line="395" w:lineRule="auto"/>
        <w:tabs>
          <w:tab w:leader="none" w:pos="1532" w:val="left"/>
        </w:tabs>
        <w:numPr>
          <w:ilvl w:val="0"/>
          <w:numId w:val="71"/>
        </w:numPr>
        <w:rPr>
          <w:rFonts w:ascii="Arial" w:cs="Arial" w:eastAsia="Arial" w:hAnsi="Arial"/>
          <w:sz w:val="16"/>
          <w:szCs w:val="16"/>
          <w:color w:val="auto"/>
        </w:rPr>
      </w:pPr>
      <w:r>
        <w:rPr>
          <w:rFonts w:ascii="Arial" w:cs="Arial" w:eastAsia="Arial" w:hAnsi="Arial"/>
          <w:sz w:val="16"/>
          <w:szCs w:val="16"/>
          <w:color w:val="auto"/>
        </w:rPr>
        <w:t>any request or direction of the Company mentioned herein shall be sufficiently evidenced by a Company Request or Company Order, or as otherwise expressly provided herein, and any resolution of the Board of Directors may be sufficiently evidenced by a Board Resolution;</w:t>
      </w:r>
    </w:p>
    <w:p>
      <w:pPr>
        <w:spacing w:after="0" w:line="83" w:lineRule="exact"/>
        <w:rPr>
          <w:rFonts w:ascii="Arial" w:cs="Arial" w:eastAsia="Arial" w:hAnsi="Arial"/>
          <w:sz w:val="16"/>
          <w:szCs w:val="16"/>
          <w:color w:val="auto"/>
        </w:rPr>
      </w:pPr>
    </w:p>
    <w:p>
      <w:pPr>
        <w:ind w:left="1520" w:hanging="215"/>
        <w:spacing w:after="0"/>
        <w:tabs>
          <w:tab w:leader="none" w:pos="1520" w:val="left"/>
        </w:tabs>
        <w:numPr>
          <w:ilvl w:val="0"/>
          <w:numId w:val="71"/>
        </w:numPr>
        <w:rPr>
          <w:rFonts w:ascii="Arial" w:cs="Arial" w:eastAsia="Arial" w:hAnsi="Arial"/>
          <w:sz w:val="16"/>
          <w:szCs w:val="16"/>
          <w:color w:val="auto"/>
        </w:rPr>
      </w:pPr>
      <w:r>
        <w:rPr>
          <w:rFonts w:ascii="Arial" w:cs="Arial" w:eastAsia="Arial" w:hAnsi="Arial"/>
          <w:sz w:val="16"/>
          <w:szCs w:val="16"/>
          <w:color w:val="auto"/>
        </w:rPr>
        <w:t>whenever in the administration of this Indenture the Trustee shall deem it desirable that a matter be proved or established prior to taking,</w:t>
      </w:r>
    </w:p>
    <w:p>
      <w:pPr>
        <w:spacing w:after="0" w:line="73" w:lineRule="exact"/>
        <w:rPr>
          <w:sz w:val="20"/>
          <w:szCs w:val="20"/>
          <w:color w:val="auto"/>
        </w:rPr>
      </w:pPr>
    </w:p>
    <w:p>
      <w:pPr>
        <w:ind w:left="660" w:right="120"/>
        <w:spacing w:after="0" w:line="277" w:lineRule="auto"/>
        <w:rPr>
          <w:sz w:val="20"/>
          <w:szCs w:val="20"/>
          <w:color w:val="auto"/>
        </w:rPr>
      </w:pPr>
      <w:r>
        <w:rPr>
          <w:rFonts w:ascii="Arial" w:cs="Arial" w:eastAsia="Arial" w:hAnsi="Arial"/>
          <w:sz w:val="18"/>
          <w:szCs w:val="18"/>
          <w:color w:val="auto"/>
        </w:rPr>
        <w:t>suffering or omitting any action hereunder, the Trustee (unless other evidence be herein specifically prescribed) may, in the absence of bad faith on its part, rely</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720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584" w:right="299" w:bottom="1440" w:gutter="0" w:footer="0" w:header="0"/>
        </w:sectPr>
      </w:pPr>
    </w:p>
    <w:bookmarkStart w:id="67" w:name="page68"/>
    <w:bookmarkEnd w:id="67"/>
    <w:p>
      <w:pPr>
        <w:ind w:left="660" w:right="140"/>
        <w:spacing w:after="0" w:line="308" w:lineRule="auto"/>
        <w:rPr>
          <w:sz w:val="20"/>
          <w:szCs w:val="20"/>
          <w:color w:val="auto"/>
        </w:rPr>
      </w:pPr>
      <w:r>
        <w:rPr>
          <w:rFonts w:ascii="Arial" w:cs="Arial" w:eastAsia="Arial" w:hAnsi="Arial"/>
          <w:sz w:val="17"/>
          <w:szCs w:val="17"/>
          <w:color w:val="auto"/>
        </w:rPr>
        <w:t>upon an Officer’s Certificate and such Officer’s Certificate, in the absence of negligence or bad faith on the part of the Trustee, shall be full warrant to the Trustee for any action taken, suffered or omitted by it under the provisions of this Indenture upon the faith thereof;</w:t>
      </w:r>
    </w:p>
    <w:p>
      <w:pPr>
        <w:spacing w:after="0" w:line="147" w:lineRule="exact"/>
        <w:rPr>
          <w:sz w:val="20"/>
          <w:szCs w:val="20"/>
          <w:color w:val="auto"/>
        </w:rPr>
      </w:pPr>
    </w:p>
    <w:p>
      <w:pPr>
        <w:ind w:left="660" w:right="540" w:firstLine="645"/>
        <w:spacing w:after="0" w:line="395" w:lineRule="auto"/>
        <w:tabs>
          <w:tab w:leader="none" w:pos="1532"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Trustee may consult with counsel and the written advice of such counsel or any Opinion of Counsel shall be full and complete authorization and protection in respect of any action taken, suffered or omitted by it hereunder in good faith and in reliance thereon;</w:t>
      </w:r>
    </w:p>
    <w:p>
      <w:pPr>
        <w:spacing w:after="0" w:line="83" w:lineRule="exact"/>
        <w:rPr>
          <w:rFonts w:ascii="Arial" w:cs="Arial" w:eastAsia="Arial" w:hAnsi="Arial"/>
          <w:sz w:val="16"/>
          <w:szCs w:val="16"/>
          <w:color w:val="auto"/>
        </w:rPr>
      </w:pPr>
    </w:p>
    <w:p>
      <w:pPr>
        <w:ind w:left="1520" w:hanging="215"/>
        <w:spacing w:after="0"/>
        <w:tabs>
          <w:tab w:leader="none" w:pos="152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Trustee shall be under no obligation to exercise any of the rights or powers vested in it by this Indenture at the request or direction of</w:t>
      </w:r>
    </w:p>
    <w:p>
      <w:pPr>
        <w:spacing w:after="0" w:line="73" w:lineRule="exact"/>
        <w:rPr>
          <w:sz w:val="20"/>
          <w:szCs w:val="20"/>
          <w:color w:val="auto"/>
        </w:rPr>
      </w:pPr>
    </w:p>
    <w:p>
      <w:pPr>
        <w:ind w:left="660" w:right="440"/>
        <w:spacing w:after="0" w:line="277" w:lineRule="auto"/>
        <w:rPr>
          <w:sz w:val="20"/>
          <w:szCs w:val="20"/>
          <w:color w:val="auto"/>
        </w:rPr>
      </w:pPr>
      <w:r>
        <w:rPr>
          <w:rFonts w:ascii="Arial" w:cs="Arial" w:eastAsia="Arial" w:hAnsi="Arial"/>
          <w:sz w:val="18"/>
          <w:szCs w:val="18"/>
          <w:color w:val="auto"/>
        </w:rPr>
        <w:t>any of the Holders pursuant to this Indenture, unless such Holders shall have offered to the Trustee reasonable security or indemnity against the costs, expenses and liabilities that might be incurred by it in compliance with such request or direction;</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(f) the Trustee shall not be bound to make any investigation into the facts or matters stated in any resolution, certificate, statement,</w:t>
      </w:r>
    </w:p>
    <w:p>
      <w:pPr>
        <w:spacing w:after="0" w:line="61" w:lineRule="exact"/>
        <w:rPr>
          <w:sz w:val="20"/>
          <w:szCs w:val="20"/>
          <w:color w:val="auto"/>
        </w:rPr>
      </w:pPr>
    </w:p>
    <w:p>
      <w:pPr>
        <w:ind w:left="660" w:right="640"/>
        <w:spacing w:after="0" w:line="342" w:lineRule="auto"/>
        <w:rPr>
          <w:sz w:val="20"/>
          <w:szCs w:val="20"/>
          <w:color w:val="auto"/>
        </w:rPr>
      </w:pPr>
      <w:r>
        <w:rPr>
          <w:rFonts w:ascii="Arial" w:cs="Arial" w:eastAsia="Arial" w:hAnsi="Arial"/>
          <w:sz w:val="16"/>
          <w:szCs w:val="16"/>
          <w:color w:val="auto"/>
        </w:rPr>
        <w:t>instrument, opinion, report, notice, request, direction, consent, order, bond, debenture, note, other evidence of indebtedness or other paper or document, but the Trustee, in its discretion, may make such further inquiry or investigation into such facts or matters as it may see fit; and</w:t>
      </w:r>
    </w:p>
    <w:p>
      <w:pPr>
        <w:spacing w:after="0" w:line="124"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(g) the Trustee may execute any of the trusts or powers hereunder or perform any duties hereunder either directly or by or through agents or</w:t>
      </w:r>
    </w:p>
    <w:p>
      <w:pPr>
        <w:spacing w:after="0" w:line="73" w:lineRule="exact"/>
        <w:rPr>
          <w:sz w:val="20"/>
          <w:szCs w:val="20"/>
          <w:color w:val="auto"/>
        </w:rPr>
      </w:pPr>
    </w:p>
    <w:p>
      <w:pPr>
        <w:ind w:left="660" w:right="40"/>
        <w:spacing w:after="0" w:line="277" w:lineRule="auto"/>
        <w:rPr>
          <w:sz w:val="20"/>
          <w:szCs w:val="20"/>
          <w:color w:val="auto"/>
        </w:rPr>
      </w:pPr>
      <w:r>
        <w:rPr>
          <w:rFonts w:ascii="Arial" w:cs="Arial" w:eastAsia="Arial" w:hAnsi="Arial"/>
          <w:sz w:val="18"/>
          <w:szCs w:val="18"/>
          <w:color w:val="auto"/>
        </w:rPr>
        <w:t>attorneys and the Trustee shall not be responsible for any misconduct or negligence on the part of any agent or attorney appointed with due care by it hereunder.</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 xml:space="preserve">SECTION 604. </w:t>
      </w:r>
      <w:r>
        <w:rPr>
          <w:rFonts w:ascii="Arial" w:cs="Arial" w:eastAsia="Arial" w:hAnsi="Arial"/>
          <w:sz w:val="17"/>
          <w:szCs w:val="17"/>
          <w:i w:val="1"/>
          <w:iCs w:val="1"/>
          <w:color w:val="auto"/>
        </w:rPr>
        <w:t>Not Responsible for Recitals or Issuance of Securities</w:t>
      </w:r>
      <w:r>
        <w:rPr>
          <w:rFonts w:ascii="Arial" w:cs="Arial" w:eastAsia="Arial" w:hAnsi="Arial"/>
          <w:sz w:val="17"/>
          <w:szCs w:val="17"/>
          <w:color w:val="auto"/>
        </w:rPr>
        <w:t>. The recitals contained herein and in the Securities, except the</w:t>
      </w:r>
    </w:p>
    <w:p>
      <w:pPr>
        <w:spacing w:after="0" w:line="61"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Trustee’s certificate of authentication, shall be taken as the statements of the Company, and the Trustee or any Authenticating Agent assumes no responsibility for their correctness. The Trustee makes no representations as to the validity or sufficiency of this Indenture or of the Securities of any series. The Trustee or any Authenticating Agent shall not be accountable for the use or application by the Company of Securities or the proceeds thereof.</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SECTION 605. </w:t>
      </w:r>
      <w:r>
        <w:rPr>
          <w:rFonts w:ascii="Arial" w:cs="Arial" w:eastAsia="Arial" w:hAnsi="Arial"/>
          <w:sz w:val="16"/>
          <w:szCs w:val="16"/>
          <w:i w:val="1"/>
          <w:iCs w:val="1"/>
          <w:color w:val="auto"/>
        </w:rPr>
        <w:t>May Hold Securities</w:t>
      </w:r>
      <w:r>
        <w:rPr>
          <w:rFonts w:ascii="Arial" w:cs="Arial" w:eastAsia="Arial" w:hAnsi="Arial"/>
          <w:sz w:val="16"/>
          <w:szCs w:val="16"/>
          <w:color w:val="auto"/>
        </w:rPr>
        <w:t>. The Trustee, any Authenticating Agent, any Paying Agent, any Security Registrar or any other agent</w:t>
      </w:r>
    </w:p>
    <w:p>
      <w:pPr>
        <w:spacing w:after="0" w:line="73"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of the Company or the Trustee, in its individual or any other capacity, may become the owner or pledgee of Securities and, subject to Sections 608 and 613, may otherwise deal with the Company with the same rights it would have if it were not Trustee, Authenticating Agent, Paying Agent, Security Registrar or such other agent.</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SECTION 606. </w:t>
      </w:r>
      <w:r>
        <w:rPr>
          <w:rFonts w:ascii="Arial" w:cs="Arial" w:eastAsia="Arial" w:hAnsi="Arial"/>
          <w:sz w:val="16"/>
          <w:szCs w:val="16"/>
          <w:i w:val="1"/>
          <w:iCs w:val="1"/>
          <w:color w:val="auto"/>
        </w:rPr>
        <w:t>Money Held in Trust</w:t>
      </w:r>
      <w:r>
        <w:rPr>
          <w:rFonts w:ascii="Arial" w:cs="Arial" w:eastAsia="Arial" w:hAnsi="Arial"/>
          <w:sz w:val="16"/>
          <w:szCs w:val="16"/>
          <w:color w:val="auto"/>
        </w:rPr>
        <w:t>. Money held by the Trustee or by any Paying Agent (other than the Company if the Company shall act</w:t>
      </w:r>
    </w:p>
    <w:p>
      <w:pPr>
        <w:spacing w:after="0" w:line="73" w:lineRule="exact"/>
        <w:rPr>
          <w:sz w:val="20"/>
          <w:szCs w:val="20"/>
          <w:color w:val="auto"/>
        </w:rPr>
      </w:pPr>
    </w:p>
    <w:p>
      <w:pPr>
        <w:jc w:val="both"/>
        <w:ind w:right="200"/>
        <w:spacing w:after="0" w:line="342" w:lineRule="auto"/>
        <w:rPr>
          <w:sz w:val="20"/>
          <w:szCs w:val="20"/>
          <w:color w:val="auto"/>
        </w:rPr>
      </w:pPr>
      <w:r>
        <w:rPr>
          <w:rFonts w:ascii="Arial" w:cs="Arial" w:eastAsia="Arial" w:hAnsi="Arial"/>
          <w:sz w:val="16"/>
          <w:szCs w:val="16"/>
          <w:color w:val="auto"/>
        </w:rPr>
        <w:t>as Paying Agent) in trust hereunder need not be segregated from other funds except to the extent required by law. Neither the Trustee nor any Paying Agent shall be liable for interest on any money received by it hereunder except as expressly provided herein or otherwise agreed with the Company.</w:t>
      </w:r>
    </w:p>
    <w:p>
      <w:pPr>
        <w:spacing w:after="0" w:line="12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SECTION 607. </w:t>
      </w:r>
      <w:r>
        <w:rPr>
          <w:rFonts w:ascii="Arial" w:cs="Arial" w:eastAsia="Arial" w:hAnsi="Arial"/>
          <w:sz w:val="18"/>
          <w:szCs w:val="18"/>
          <w:i w:val="1"/>
          <w:iCs w:val="1"/>
          <w:color w:val="auto"/>
        </w:rPr>
        <w:t>Compensation and Reimbursement</w:t>
      </w:r>
      <w:r>
        <w:rPr>
          <w:rFonts w:ascii="Arial" w:cs="Arial" w:eastAsia="Arial" w:hAnsi="Arial"/>
          <w:sz w:val="18"/>
          <w:szCs w:val="18"/>
          <w:color w:val="auto"/>
        </w:rPr>
        <w:t>. The Company agrees</w:t>
      </w:r>
    </w:p>
    <w:p>
      <w:pPr>
        <w:spacing w:after="0" w:line="266" w:lineRule="exact"/>
        <w:rPr>
          <w:sz w:val="20"/>
          <w:szCs w:val="20"/>
          <w:color w:val="auto"/>
        </w:rPr>
      </w:pPr>
    </w:p>
    <w:p>
      <w:pPr>
        <w:ind w:left="660" w:right="80" w:firstLine="645"/>
        <w:spacing w:after="0" w:line="324" w:lineRule="auto"/>
        <w:tabs>
          <w:tab w:leader="none" w:pos="1532" w:val="left"/>
        </w:tabs>
        <w:numPr>
          <w:ilvl w:val="0"/>
          <w:numId w:val="73"/>
        </w:numPr>
        <w:rPr>
          <w:rFonts w:ascii="Arial" w:cs="Arial" w:eastAsia="Arial" w:hAnsi="Arial"/>
          <w:sz w:val="18"/>
          <w:szCs w:val="18"/>
          <w:color w:val="auto"/>
        </w:rPr>
      </w:pPr>
      <w:r>
        <w:rPr>
          <w:rFonts w:ascii="Arial" w:cs="Arial" w:eastAsia="Arial" w:hAnsi="Arial"/>
          <w:sz w:val="18"/>
          <w:szCs w:val="18"/>
          <w:color w:val="auto"/>
        </w:rPr>
        <w:t>to pay to the Trustee from time to time reasonable compensation for all services rendered by it hereunder (which compensation shall not be limited by any provision of law in regard to the compensation of a trustee of an express trust);</w:t>
      </w:r>
    </w:p>
    <w:p>
      <w:pPr>
        <w:spacing w:after="0" w:line="129" w:lineRule="exact"/>
        <w:rPr>
          <w:rFonts w:ascii="Arial" w:cs="Arial" w:eastAsia="Arial" w:hAnsi="Arial"/>
          <w:sz w:val="18"/>
          <w:szCs w:val="18"/>
          <w:color w:val="auto"/>
        </w:rPr>
      </w:pPr>
    </w:p>
    <w:p>
      <w:pPr>
        <w:ind w:left="1520" w:hanging="215"/>
        <w:spacing w:after="0"/>
        <w:tabs>
          <w:tab w:leader="none" w:pos="1520" w:val="left"/>
        </w:tabs>
        <w:numPr>
          <w:ilvl w:val="0"/>
          <w:numId w:val="73"/>
        </w:numPr>
        <w:rPr>
          <w:rFonts w:ascii="Arial" w:cs="Arial" w:eastAsia="Arial" w:hAnsi="Arial"/>
          <w:sz w:val="16"/>
          <w:szCs w:val="16"/>
          <w:color w:val="auto"/>
        </w:rPr>
      </w:pPr>
      <w:r>
        <w:rPr>
          <w:rFonts w:ascii="Arial" w:cs="Arial" w:eastAsia="Arial" w:hAnsi="Arial"/>
          <w:sz w:val="16"/>
          <w:szCs w:val="16"/>
          <w:color w:val="auto"/>
        </w:rPr>
        <w:t>except as otherwise expressly provided herein, to reimburse the Trustee upon its request for all reasonable expenses, disbursements and</w:t>
      </w:r>
    </w:p>
    <w:p>
      <w:pPr>
        <w:spacing w:after="0" w:line="73" w:lineRule="exact"/>
        <w:rPr>
          <w:sz w:val="20"/>
          <w:szCs w:val="20"/>
          <w:color w:val="auto"/>
        </w:rPr>
      </w:pPr>
    </w:p>
    <w:p>
      <w:pPr>
        <w:ind w:left="660" w:right="220"/>
        <w:spacing w:after="0" w:line="264" w:lineRule="auto"/>
        <w:rPr>
          <w:sz w:val="20"/>
          <w:szCs w:val="20"/>
          <w:color w:val="auto"/>
        </w:rPr>
      </w:pPr>
      <w:r>
        <w:rPr>
          <w:rFonts w:ascii="Arial" w:cs="Arial" w:eastAsia="Arial" w:hAnsi="Arial"/>
          <w:sz w:val="18"/>
          <w:szCs w:val="18"/>
          <w:color w:val="auto"/>
        </w:rPr>
        <w:t>advances incurred or made by the Trustee in accordance with any provision of this Indenture (including the reasonable compensation and the expenses and disbursements of its agents and counsel), except any such expense, disbursement or advance as may be attributable to its negligence, willful misconduct or bad faith; and</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(3) to indemnify the Trustee for, and to hold it harmless against, any loss, liability or expense reasonably incurred without negligence,</w:t>
      </w:r>
    </w:p>
    <w:p>
      <w:pPr>
        <w:spacing w:after="0" w:line="61" w:lineRule="exact"/>
        <w:rPr>
          <w:sz w:val="20"/>
          <w:szCs w:val="20"/>
          <w:color w:val="auto"/>
        </w:rPr>
      </w:pPr>
    </w:p>
    <w:p>
      <w:pPr>
        <w:ind w:left="660" w:right="340"/>
        <w:spacing w:after="0" w:line="258" w:lineRule="auto"/>
        <w:rPr>
          <w:sz w:val="20"/>
          <w:szCs w:val="20"/>
          <w:color w:val="auto"/>
        </w:rPr>
      </w:pPr>
      <w:r>
        <w:rPr>
          <w:rFonts w:ascii="Arial" w:cs="Arial" w:eastAsia="Arial" w:hAnsi="Arial"/>
          <w:sz w:val="18"/>
          <w:szCs w:val="18"/>
          <w:color w:val="auto"/>
        </w:rPr>
        <w:t>willful misconduct or bad faith on its part, arising out of or in connection with the acceptance or administration of the trust or trusts hereunder or performance of its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2720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68" w:name="page69"/>
    <w:bookmarkEnd w:id="68"/>
    <w:p>
      <w:pPr>
        <w:ind w:left="660"/>
        <w:spacing w:after="0" w:line="277" w:lineRule="auto"/>
        <w:rPr>
          <w:sz w:val="20"/>
          <w:szCs w:val="20"/>
          <w:color w:val="auto"/>
        </w:rPr>
      </w:pPr>
      <w:r>
        <w:rPr>
          <w:rFonts w:ascii="Arial" w:cs="Arial" w:eastAsia="Arial" w:hAnsi="Arial"/>
          <w:sz w:val="18"/>
          <w:szCs w:val="18"/>
          <w:color w:val="auto"/>
        </w:rPr>
        <w:t>duties hereunder, including the costs and expenses of defending itself against any claim or liability in connection with the exercise or performance of any of its powers or duties hereunder.</w:t>
      </w:r>
    </w:p>
    <w:p>
      <w:pPr>
        <w:spacing w:after="0" w:line="170" w:lineRule="exact"/>
        <w:rPr>
          <w:sz w:val="20"/>
          <w:szCs w:val="20"/>
          <w:color w:val="auto"/>
        </w:rPr>
      </w:pPr>
    </w:p>
    <w:p>
      <w:pPr>
        <w:jc w:val="both"/>
        <w:ind w:right="60" w:firstLine="1297"/>
        <w:spacing w:after="0" w:line="264" w:lineRule="auto"/>
        <w:rPr>
          <w:sz w:val="20"/>
          <w:szCs w:val="20"/>
          <w:color w:val="auto"/>
        </w:rPr>
      </w:pPr>
      <w:r>
        <w:rPr>
          <w:rFonts w:ascii="Arial" w:cs="Arial" w:eastAsia="Arial" w:hAnsi="Arial"/>
          <w:sz w:val="18"/>
          <w:szCs w:val="18"/>
          <w:color w:val="auto"/>
        </w:rPr>
        <w:t>As security for the performance of the obligations of the Company under this Section, the Trustee shall have a claim prior to the Securities upon all property and funds held or collected by the Trustee as such, except property and funds held in trust for the payment of principal of and any premium and interest on particular Securities.</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SECTION 608. </w:t>
      </w:r>
      <w:r>
        <w:rPr>
          <w:rFonts w:ascii="Arial" w:cs="Arial" w:eastAsia="Arial" w:hAnsi="Arial"/>
          <w:sz w:val="16"/>
          <w:szCs w:val="16"/>
          <w:i w:val="1"/>
          <w:iCs w:val="1"/>
          <w:color w:val="auto"/>
        </w:rPr>
        <w:t>Disqualification; Conflicting Interests</w:t>
      </w:r>
      <w:r>
        <w:rPr>
          <w:rFonts w:ascii="Arial" w:cs="Arial" w:eastAsia="Arial" w:hAnsi="Arial"/>
          <w:sz w:val="16"/>
          <w:szCs w:val="16"/>
          <w:color w:val="auto"/>
        </w:rPr>
        <w:t>. If the Trustee has or acquires any conflicting interest within the meaning of the Trust</w:t>
      </w:r>
    </w:p>
    <w:p>
      <w:pPr>
        <w:spacing w:after="0" w:line="7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Indenture Act with respect to the Securities of any series, it shall either eliminate such conflicting interest or resign to the extent, in the manner and with the effect, and subject to the conditions, provided in the Trust Indenture Act and this Indenture. For purposes of Section 310(b)(1) of the Trust Indenture Act and to the extent permitted thereby, the Trustee, in its capacity as trustee in respect of the equally ranked and unsecured Securities of any series, shall not be deemed to have a conflicting interest arising from its capacity as trustee in respect of the equally ranked and unsecured Securities of any other series under this Indenture.</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SECTION 609. </w:t>
      </w:r>
      <w:r>
        <w:rPr>
          <w:rFonts w:ascii="Arial" w:cs="Arial" w:eastAsia="Arial" w:hAnsi="Arial"/>
          <w:sz w:val="16"/>
          <w:szCs w:val="16"/>
          <w:i w:val="1"/>
          <w:iCs w:val="1"/>
          <w:color w:val="auto"/>
        </w:rPr>
        <w:t>Corporate Trustee Required; Eligibility</w:t>
      </w:r>
      <w:r>
        <w:rPr>
          <w:rFonts w:ascii="Arial" w:cs="Arial" w:eastAsia="Arial" w:hAnsi="Arial"/>
          <w:sz w:val="16"/>
          <w:szCs w:val="16"/>
          <w:color w:val="auto"/>
        </w:rPr>
        <w:t>. There shall at all times be a Trustee hereunder that shall be a Person that is eligible</w:t>
      </w:r>
    </w:p>
    <w:p>
      <w:pPr>
        <w:spacing w:after="0" w:line="73"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 xml:space="preserve">pursuant to the Trust Indenture Act to act as such, having a combined capital and surplus of at least $50,000,000, subject to supervision or examination by federal or state authority and qualified and eligible under this Article,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neither the Company nor any Affiliate of the Company or any obligor on the Securities may serve as Trustee of any Securities. If such corporation publishes reports of condition at least annually, pursuant to law or to the requirements of said supervising or examining authority, then for the purposes of this Section, the combined capital and surplus of such corporation shall be deemed to be its combined capital and surplus as set forth in its most recent report of condition so published. If at any time the Trustee ceases to be eligible in accordance with the provisions of this Section, it shall resign immediately in the manner and with the effect hereinafter specified in this Article.</w:t>
      </w:r>
    </w:p>
    <w:p>
      <w:pPr>
        <w:spacing w:after="0" w:line="16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SECTION 610. </w:t>
      </w:r>
      <w:r>
        <w:rPr>
          <w:rFonts w:ascii="Arial" w:cs="Arial" w:eastAsia="Arial" w:hAnsi="Arial"/>
          <w:sz w:val="16"/>
          <w:szCs w:val="16"/>
          <w:i w:val="1"/>
          <w:iCs w:val="1"/>
          <w:color w:val="auto"/>
        </w:rPr>
        <w:t>Resignation and Removal; Appointment of Successor</w:t>
      </w:r>
      <w:r>
        <w:rPr>
          <w:rFonts w:ascii="Arial" w:cs="Arial" w:eastAsia="Arial" w:hAnsi="Arial"/>
          <w:sz w:val="16"/>
          <w:szCs w:val="16"/>
          <w:color w:val="auto"/>
        </w:rPr>
        <w:t>. (a) No resignation or removal of the Trustee and no appointment of a</w:t>
      </w:r>
    </w:p>
    <w:p>
      <w:pPr>
        <w:spacing w:after="0" w:line="73"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successor Trustee pursuant to this Article shall become effective until the acceptance of appointment by the successor Trustee in accordance with the applicable requirements of Section 611.</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(b) The Trustee may resign at any time with respect to the Securities of one or more series by giving written notice thereof to the Company.</w:t>
      </w:r>
    </w:p>
    <w:p>
      <w:pPr>
        <w:spacing w:after="0" w:line="73"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If the instrument of acceptance by a successor Trustee required by Section 611 has not been delivered to the Trustee within 30 days after the giving of such notice of resignation, the resigning Trustee may petition any court of competent jurisdiction for the appointment of a successor Trustee with respect to the Securities of such series.</w:t>
      </w:r>
    </w:p>
    <w:p>
      <w:pPr>
        <w:spacing w:after="0" w:line="181" w:lineRule="exact"/>
        <w:rPr>
          <w:sz w:val="20"/>
          <w:szCs w:val="20"/>
          <w:color w:val="auto"/>
        </w:rPr>
      </w:pPr>
    </w:p>
    <w:p>
      <w:pPr>
        <w:ind w:left="1520" w:hanging="215"/>
        <w:spacing w:after="0"/>
        <w:tabs>
          <w:tab w:leader="none" w:pos="15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Company may at any time by a Board Resolution remove the Trustee with respect to the Securities of any or all series.</w:t>
      </w:r>
    </w:p>
    <w:p>
      <w:pPr>
        <w:spacing w:after="0" w:line="265" w:lineRule="exact"/>
        <w:rPr>
          <w:rFonts w:ascii="Arial" w:cs="Arial" w:eastAsia="Arial" w:hAnsi="Arial"/>
          <w:sz w:val="18"/>
          <w:szCs w:val="18"/>
          <w:color w:val="auto"/>
        </w:rPr>
      </w:pPr>
    </w:p>
    <w:p>
      <w:pPr>
        <w:ind w:right="320" w:firstLine="1305"/>
        <w:spacing w:after="0" w:line="357" w:lineRule="auto"/>
        <w:tabs>
          <w:tab w:leader="none" w:pos="1520"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Trustee may be removed at any time with respect to the Securities of any series by Act of the Holders of a majority in aggregate principal amount of the Outstanding Securities of such series, delivered to the Trustee and to the Company.</w:t>
      </w:r>
    </w:p>
    <w:p>
      <w:pPr>
        <w:spacing w:after="0" w:line="107" w:lineRule="exact"/>
        <w:rPr>
          <w:rFonts w:ascii="Arial" w:cs="Arial" w:eastAsia="Arial" w:hAnsi="Arial"/>
          <w:sz w:val="17"/>
          <w:szCs w:val="17"/>
          <w:color w:val="auto"/>
        </w:rPr>
      </w:pPr>
    </w:p>
    <w:p>
      <w:pPr>
        <w:ind w:left="1520" w:hanging="215"/>
        <w:spacing w:after="0"/>
        <w:tabs>
          <w:tab w:leader="none" w:pos="1520" w:val="left"/>
        </w:tabs>
        <w:numPr>
          <w:ilvl w:val="0"/>
          <w:numId w:val="74"/>
        </w:numPr>
        <w:rPr>
          <w:rFonts w:ascii="Arial" w:cs="Arial" w:eastAsia="Arial" w:hAnsi="Arial"/>
          <w:sz w:val="17"/>
          <w:szCs w:val="17"/>
          <w:color w:val="auto"/>
        </w:rPr>
      </w:pPr>
      <w:r>
        <w:rPr>
          <w:rFonts w:ascii="Arial" w:cs="Arial" w:eastAsia="Arial" w:hAnsi="Arial"/>
          <w:sz w:val="17"/>
          <w:szCs w:val="17"/>
          <w:color w:val="auto"/>
        </w:rPr>
        <w:t>If at any time:</w:t>
      </w:r>
    </w:p>
    <w:p>
      <w:pPr>
        <w:spacing w:after="0" w:line="277" w:lineRule="exact"/>
        <w:rPr>
          <w:rFonts w:ascii="Arial" w:cs="Arial" w:eastAsia="Arial" w:hAnsi="Arial"/>
          <w:sz w:val="17"/>
          <w:szCs w:val="17"/>
          <w:color w:val="auto"/>
        </w:rPr>
      </w:pPr>
    </w:p>
    <w:p>
      <w:pPr>
        <w:ind w:left="660" w:right="300" w:firstLine="1293"/>
        <w:spacing w:after="0" w:line="324" w:lineRule="auto"/>
        <w:tabs>
          <w:tab w:leader="none" w:pos="2180" w:val="left"/>
        </w:tabs>
        <w:numPr>
          <w:ilvl w:val="1"/>
          <w:numId w:val="74"/>
        </w:numPr>
        <w:rPr>
          <w:rFonts w:ascii="Arial" w:cs="Arial" w:eastAsia="Arial" w:hAnsi="Arial"/>
          <w:sz w:val="18"/>
          <w:szCs w:val="18"/>
          <w:color w:val="auto"/>
        </w:rPr>
      </w:pPr>
      <w:r>
        <w:rPr>
          <w:rFonts w:ascii="Arial" w:cs="Arial" w:eastAsia="Arial" w:hAnsi="Arial"/>
          <w:sz w:val="18"/>
          <w:szCs w:val="18"/>
          <w:color w:val="auto"/>
        </w:rPr>
        <w:t>the Trustee fails to comply with Section 608 with respect to the Securities of any series, after written request therefor by the Company or by any Holder who has been a bona fide Holder of a Security of such series for at least six months, or</w:t>
      </w:r>
    </w:p>
    <w:p>
      <w:pPr>
        <w:spacing w:after="0" w:line="129" w:lineRule="exact"/>
        <w:rPr>
          <w:rFonts w:ascii="Arial" w:cs="Arial" w:eastAsia="Arial" w:hAnsi="Arial"/>
          <w:sz w:val="18"/>
          <w:szCs w:val="18"/>
          <w:color w:val="auto"/>
        </w:rPr>
      </w:pPr>
    </w:p>
    <w:p>
      <w:pPr>
        <w:ind w:left="2180" w:hanging="227"/>
        <w:spacing w:after="0"/>
        <w:tabs>
          <w:tab w:leader="none" w:pos="2180" w:val="left"/>
        </w:tabs>
        <w:numPr>
          <w:ilvl w:val="1"/>
          <w:numId w:val="74"/>
        </w:numPr>
        <w:rPr>
          <w:rFonts w:ascii="Arial" w:cs="Arial" w:eastAsia="Arial" w:hAnsi="Arial"/>
          <w:sz w:val="16"/>
          <w:szCs w:val="16"/>
          <w:color w:val="auto"/>
        </w:rPr>
      </w:pPr>
      <w:r>
        <w:rPr>
          <w:rFonts w:ascii="Arial" w:cs="Arial" w:eastAsia="Arial" w:hAnsi="Arial"/>
          <w:sz w:val="16"/>
          <w:szCs w:val="16"/>
          <w:color w:val="auto"/>
        </w:rPr>
        <w:t>the Trustee ceases to be eligible under Section 609 and fails to resign after written request therefor by the Company or by any</w:t>
      </w:r>
    </w:p>
    <w:p>
      <w:pPr>
        <w:spacing w:after="0" w:line="72"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such Holder, or</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720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69" w:name="page70"/>
    <w:bookmarkEnd w:id="69"/>
    <w:p>
      <w:pPr>
        <w:ind w:left="1960"/>
        <w:spacing w:after="0"/>
        <w:rPr>
          <w:sz w:val="20"/>
          <w:szCs w:val="20"/>
          <w:color w:val="auto"/>
        </w:rPr>
      </w:pPr>
      <w:r>
        <w:rPr>
          <w:rFonts w:ascii="Arial" w:cs="Arial" w:eastAsia="Arial" w:hAnsi="Arial"/>
          <w:sz w:val="16"/>
          <w:szCs w:val="16"/>
          <w:color w:val="auto"/>
        </w:rPr>
        <w:t>(3) the Trustee becomes incapable of acting or becomes adjudged a bankrupt or insolvent or a receiver of the Trustee or of its</w:t>
      </w:r>
    </w:p>
    <w:p>
      <w:pPr>
        <w:spacing w:after="0" w:line="73" w:lineRule="exact"/>
        <w:rPr>
          <w:sz w:val="20"/>
          <w:szCs w:val="20"/>
          <w:color w:val="auto"/>
        </w:rPr>
      </w:pPr>
    </w:p>
    <w:p>
      <w:pPr>
        <w:ind w:left="660" w:right="640"/>
        <w:spacing w:after="0" w:line="277" w:lineRule="auto"/>
        <w:rPr>
          <w:sz w:val="20"/>
          <w:szCs w:val="20"/>
          <w:color w:val="auto"/>
        </w:rPr>
      </w:pPr>
      <w:r>
        <w:rPr>
          <w:rFonts w:ascii="Arial" w:cs="Arial" w:eastAsia="Arial" w:hAnsi="Arial"/>
          <w:sz w:val="18"/>
          <w:szCs w:val="18"/>
          <w:color w:val="auto"/>
        </w:rPr>
        <w:t>property is appointed or any public officer takes charge or control of the Trustee or of its property or affairs for the purpose of rehabilitation, conservation or liquidation,</w:t>
      </w:r>
    </w:p>
    <w:p>
      <w:pPr>
        <w:spacing w:after="0" w:line="170"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then, in any such case, subject to Section 514, any Holder who has been a bona fide Holder of a Security for at least six months may, on behalf of himself and all others similarly situated, petition any court of competent jurisdiction for the removal of the Trustee with respect to all Securities and the appointment of a successor Trustee or Trustees.</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(f) If the Trustee resigns, is removed or becomes incapable of acting, or if a vacancy shall occur in the office of Trustee for any cause, with</w:t>
      </w:r>
    </w:p>
    <w:p>
      <w:pPr>
        <w:spacing w:after="0" w:line="7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respect to the Securities of one or more series, the Company, by a Board Resolution, shall promptly appoint a successor Trustee or Trustees with respect to the Securities of that or those series (it being understood that any such successor Trustee may be appointed with respect to the Securities of one or more or all of such series and that at any time there shall be only one Trustee with respect to the Securities of any particular series) and shall comply with the applicable requirements of Section 611. If, within one year after such resignation, removal or incapability, or the occurrence of such vacancy, a successor Trustee with respect to the Securities of any series is appointed by Act of the Holders of a majority in aggregate principal amount of the Outstanding Securities of such series delivered to the Company and the retiring Trustee, the successor Trustee so appointed shall, forthwith upon its acceptance of such appointment in accordance with the applicable requirements of Section 611, become the successor Trustee with respect to the Securities of such series and to that extent supersede the successor Trustee appointed by the Company. If no successor Trustee with respect to the Securities of any series has been so appointed by the Company or the Holders and accepted appointment in the manner required by Section 611, any Holder who has been a bona fide Holder of a Security of such series for at least six months may, subject to Section 514, on behalf of himself and all others similarly situated, petition any court of competent jurisdiction for the appointment of a successor Trustee with respect to the Securities of such series.</w:t>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(g) The Company shall give notice of each resignation and each removal of the Trustee with respect to the Securities of any series and each</w:t>
      </w:r>
    </w:p>
    <w:p>
      <w:pPr>
        <w:spacing w:after="0" w:line="73"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appointment of a successor Trustee with respect to the Securities of any series by mailing written notice of such event by first-class mail, postage prepaid, to all Holders of Securities of such series entitled to receive reports pursuant to Section 704(3). Each notice shall include the name of the successor Trustee with respect to the Securities of such series and the address of its Corporate Trust Office.</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(h) All provisions of this Section except subparagraph (d) and Section 611(b) (except for the last clause, after omitting the words “after</w:t>
      </w:r>
    </w:p>
    <w:p>
      <w:pPr>
        <w:spacing w:after="0" w:line="6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deducting all amounts owed to the retiring Trustee pursuant to Section 607,” which shall apply) shall apply also to any Paying Agent located outside the United States and its possessions.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SECTION 611. </w:t>
      </w:r>
      <w:r>
        <w:rPr>
          <w:rFonts w:ascii="Arial" w:cs="Arial" w:eastAsia="Arial" w:hAnsi="Arial"/>
          <w:sz w:val="16"/>
          <w:szCs w:val="16"/>
          <w:i w:val="1"/>
          <w:iCs w:val="1"/>
          <w:color w:val="auto"/>
        </w:rPr>
        <w:t>Acceptance of Appointment by Successor</w:t>
      </w:r>
      <w:r>
        <w:rPr>
          <w:rFonts w:ascii="Arial" w:cs="Arial" w:eastAsia="Arial" w:hAnsi="Arial"/>
          <w:sz w:val="16"/>
          <w:szCs w:val="16"/>
          <w:color w:val="auto"/>
        </w:rPr>
        <w:t>. (a) In case of the appointment hereunder of a successor Trustee with respect to the</w:t>
      </w:r>
    </w:p>
    <w:p>
      <w:pPr>
        <w:spacing w:after="0" w:line="7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Securities of all series,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spacing w:after="0" w:line="193"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(b) In case of the appointment hereunder of a successor Trustee with respect to the Securities of one or more (but not all) series, the</w:t>
      </w:r>
    </w:p>
    <w:p>
      <w:pPr>
        <w:spacing w:after="0" w:line="61" w:lineRule="exact"/>
        <w:rPr>
          <w:sz w:val="20"/>
          <w:szCs w:val="20"/>
          <w:color w:val="auto"/>
        </w:rPr>
      </w:pPr>
    </w:p>
    <w:p>
      <w:pPr>
        <w:ind w:right="240"/>
        <w:spacing w:after="0" w:line="272" w:lineRule="auto"/>
        <w:rPr>
          <w:sz w:val="20"/>
          <w:szCs w:val="20"/>
          <w:color w:val="auto"/>
        </w:rPr>
      </w:pPr>
      <w:r>
        <w:rPr>
          <w:rFonts w:ascii="Arial" w:cs="Arial" w:eastAsia="Arial" w:hAnsi="Arial"/>
          <w:sz w:val="17"/>
          <w:szCs w:val="17"/>
          <w:color w:val="auto"/>
        </w:rPr>
        <w:t>Company, the retiring Trustee and each successor Trustee with respect to the Securities of one or more series shall execute and deliver an indenture supplemental hereto wherein each successor Trustee shall accept such appointment and which (1)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(2) if the retiring Trustee is not retiring with respect to all Securities,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(3) shall add to or change any of the provisions of this Indenture as shall be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720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70" w:name="page71"/>
    <w:bookmarkEnd w:id="70"/>
    <w:p>
      <w:pPr>
        <w:ind w:right="20"/>
        <w:spacing w:after="0" w:line="290" w:lineRule="auto"/>
        <w:rPr>
          <w:sz w:val="20"/>
          <w:szCs w:val="20"/>
          <w:color w:val="auto"/>
        </w:rPr>
      </w:pPr>
      <w:r>
        <w:rPr>
          <w:rFonts w:ascii="Arial" w:cs="Arial" w:eastAsia="Arial" w:hAnsi="Arial"/>
          <w:sz w:val="16"/>
          <w:szCs w:val="16"/>
          <w:color w:val="auto"/>
        </w:rPr>
        <w:t>necessary to provide for or facilitate the administration of the trusts hereunder by more than one Trustee, it being understood that nothing herein or in such supplemental indenture shall constitute such Trustees co-trustees of the same trust and that each such Trustee shall be trustee of a trust or trusts hereunder separate and apart from any trust or trusts hereunder administered by any other such Trustee; and upon the execution and delivery of such supplemental indenture the resignation or removal of the retiring Trustee shall become effective to the extent provided therein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all property and money held by such retiring Trustee hereunder with respect to the Securities of that or those series to which the appointment of such successor Trustee relates.</w:t>
      </w:r>
    </w:p>
    <w:p>
      <w:pPr>
        <w:spacing w:after="0" w:line="166" w:lineRule="exact"/>
        <w:rPr>
          <w:sz w:val="20"/>
          <w:szCs w:val="20"/>
          <w:color w:val="auto"/>
        </w:rPr>
      </w:pPr>
    </w:p>
    <w:p>
      <w:pPr>
        <w:ind w:right="200" w:firstLine="1305"/>
        <w:spacing w:after="0" w:line="395" w:lineRule="auto"/>
        <w:tabs>
          <w:tab w:leader="none" w:pos="1510" w:val="left"/>
        </w:tabs>
        <w:numPr>
          <w:ilvl w:val="0"/>
          <w:numId w:val="75"/>
        </w:numPr>
        <w:rPr>
          <w:rFonts w:ascii="Arial" w:cs="Arial" w:eastAsia="Arial" w:hAnsi="Arial"/>
          <w:sz w:val="16"/>
          <w:szCs w:val="16"/>
          <w:color w:val="auto"/>
        </w:rPr>
      </w:pPr>
      <w:r>
        <w:rPr>
          <w:rFonts w:ascii="Arial" w:cs="Arial" w:eastAsia="Arial" w:hAnsi="Arial"/>
          <w:sz w:val="16"/>
          <w:szCs w:val="16"/>
          <w:color w:val="auto"/>
        </w:rPr>
        <w:t>Upon request of any such successor Trustee, the Company shall execute any and all instruments for more fully and certainly vesting in and confirming to such successor Trustee all such rights, powers and trusts referred to in paragraph (a) or (b) of this Section, as the case may be.</w:t>
      </w:r>
    </w:p>
    <w:p>
      <w:pPr>
        <w:spacing w:after="0" w:line="83" w:lineRule="exact"/>
        <w:rPr>
          <w:rFonts w:ascii="Arial" w:cs="Arial" w:eastAsia="Arial" w:hAnsi="Arial"/>
          <w:sz w:val="16"/>
          <w:szCs w:val="16"/>
          <w:color w:val="auto"/>
        </w:rPr>
      </w:pPr>
    </w:p>
    <w:p>
      <w:pPr>
        <w:ind w:right="300" w:firstLine="1305"/>
        <w:spacing w:after="0" w:line="357" w:lineRule="auto"/>
        <w:tabs>
          <w:tab w:leader="none" w:pos="1520" w:val="left"/>
        </w:tabs>
        <w:numPr>
          <w:ilvl w:val="0"/>
          <w:numId w:val="75"/>
        </w:numPr>
        <w:rPr>
          <w:rFonts w:ascii="Arial" w:cs="Arial" w:eastAsia="Arial" w:hAnsi="Arial"/>
          <w:sz w:val="17"/>
          <w:szCs w:val="17"/>
          <w:color w:val="auto"/>
        </w:rPr>
      </w:pPr>
      <w:r>
        <w:rPr>
          <w:rFonts w:ascii="Arial" w:cs="Arial" w:eastAsia="Arial" w:hAnsi="Arial"/>
          <w:sz w:val="17"/>
          <w:szCs w:val="17"/>
          <w:color w:val="auto"/>
        </w:rPr>
        <w:t>No successor Trustee shall accept its appointment unless at the time of such acceptance such successor Trustee shall be qualified and eligible under this Article.</w:t>
      </w:r>
    </w:p>
    <w:p>
      <w:pPr>
        <w:spacing w:after="0" w:line="10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SECTION 612. </w:t>
      </w:r>
      <w:r>
        <w:rPr>
          <w:rFonts w:ascii="Arial" w:cs="Arial" w:eastAsia="Arial" w:hAnsi="Arial"/>
          <w:sz w:val="16"/>
          <w:szCs w:val="16"/>
          <w:i w:val="1"/>
          <w:iCs w:val="1"/>
          <w:color w:val="auto"/>
        </w:rPr>
        <w:t>Merger, Conversion, Consolidation or Succession to Business</w:t>
      </w:r>
      <w:r>
        <w:rPr>
          <w:rFonts w:ascii="Arial" w:cs="Arial" w:eastAsia="Arial" w:hAnsi="Arial"/>
          <w:sz w:val="16"/>
          <w:szCs w:val="16"/>
          <w:color w:val="auto"/>
        </w:rPr>
        <w:t>. Any corporation into which the Trustee may be merged or</w:t>
      </w:r>
    </w:p>
    <w:p>
      <w:pPr>
        <w:spacing w:after="0" w:line="7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 xml:space="preserve">converted or with which it may be consolidated, or any corporation resulting from any merger, conversion or consolidation to which the Trustee shall be a party, or any corporation succeeding to all or substantially all the corporate trust business of the Trustee, shall be the successor of the Trustee hereunder,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such corporation shall be otherwise qualified and eligible under this Article, without the execution or filing of any paper or any further act on the</w:t>
      </w:r>
      <w:r>
        <w:rPr>
          <w:rFonts w:ascii="Arial" w:cs="Arial" w:eastAsia="Arial" w:hAnsi="Arial"/>
          <w:sz w:val="17"/>
          <w:szCs w:val="17"/>
          <w:i w:val="1"/>
          <w:iCs w:val="1"/>
          <w:color w:val="auto"/>
        </w:rPr>
        <w:t xml:space="preserve"> </w:t>
      </w:r>
      <w:r>
        <w:rPr>
          <w:rFonts w:ascii="Arial" w:cs="Arial" w:eastAsia="Arial" w:hAnsi="Arial"/>
          <w:sz w:val="17"/>
          <w:szCs w:val="17"/>
          <w:color w:val="auto"/>
        </w:rPr>
        <w:t>part of any of the parties hereto.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 In case any Securities shall not have been authenticated by such predecessor Trustee, any such successor Trustee may authenticate and deliver such Securities, in either its own name or that of its predecessor Trustee, with the full force and effect which this Indenture provides for the certificate of authentication of the Trustee.</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SECTION 613. </w:t>
      </w:r>
      <w:r>
        <w:rPr>
          <w:rFonts w:ascii="Arial" w:cs="Arial" w:eastAsia="Arial" w:hAnsi="Arial"/>
          <w:sz w:val="16"/>
          <w:szCs w:val="16"/>
          <w:i w:val="1"/>
          <w:iCs w:val="1"/>
          <w:color w:val="auto"/>
        </w:rPr>
        <w:t>Preferential Collection of Claims Against Company</w:t>
      </w:r>
      <w:r>
        <w:rPr>
          <w:rFonts w:ascii="Arial" w:cs="Arial" w:eastAsia="Arial" w:hAnsi="Arial"/>
          <w:sz w:val="16"/>
          <w:szCs w:val="16"/>
          <w:color w:val="auto"/>
        </w:rPr>
        <w:t>. The Trustee shall comply with Trust Indenture Act § 311(a), excluding</w:t>
      </w:r>
    </w:p>
    <w:p>
      <w:pPr>
        <w:spacing w:after="0" w:line="7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any creditor relationship listed in Trust Indenture Act § 311(b). A Trustee who has resigned or been removed shall be subject to Trust Indenture Act § 311(a) to the extent indicated therein.</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 xml:space="preserve">SECTION 614. </w:t>
      </w:r>
      <w:r>
        <w:rPr>
          <w:rFonts w:ascii="Arial" w:cs="Arial" w:eastAsia="Arial" w:hAnsi="Arial"/>
          <w:sz w:val="17"/>
          <w:szCs w:val="17"/>
          <w:i w:val="1"/>
          <w:iCs w:val="1"/>
          <w:color w:val="auto"/>
        </w:rPr>
        <w:t>Appointment of Authenticating Agent</w:t>
      </w:r>
      <w:r>
        <w:rPr>
          <w:rFonts w:ascii="Arial" w:cs="Arial" w:eastAsia="Arial" w:hAnsi="Arial"/>
          <w:sz w:val="17"/>
          <w:szCs w:val="17"/>
          <w:color w:val="auto"/>
        </w:rPr>
        <w:t>. (a) At any time when any of the Securities remain Outstanding the Trustee may</w:t>
      </w:r>
    </w:p>
    <w:p>
      <w:pPr>
        <w:spacing w:after="0" w:line="61"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appoint an Authenticating Agent or Agents (which may include any Person that owns, directly or indirectly, all of the capital stock of the Trustee or a corporation that is a wholly-owned subsidiary of the Trustee or of such other Person) with respect to one or more series of Securities, or any Tranche thereof, that shall be authorized to act on behalf of the Trustee to authenticate Securities of such series or Tranche issued upon original issuance, exchange, registration of transfer or partial redemption thereof or pursuant to Section 306, and Securities so authenticated shall be entitled to the benefits of this Indenture and shall be valid and obligatory for all purposes as if authenticated by the Trustee hereunder. Wherever reference is made in this Indenture to the authentication and delivery of Securities by the Trustee or the Trustee’s certificate of authentication, such reference shall be deemed to include authentication and delivery on behalf of the Trustee by an Authenticating Agent and a certificate of authentication executed on behalf of the Trustee by an Authenticating Agent. Each Authenticating Agent shall be acceptable to the Company and shall at all times be a corporation organized and doing business under the laws of the United States of America, any state thereof or the District of Columbia, authorized under such laws to act as Authenticating Agent, having a combined capital and surplus of not less than $50,000,000 and subject to supervision or examination by federal or state authority in the United States. If such Authenticating Agent publishes reports of condition at least annually, pursuant to law or to the requirements of said supervising or examining authority, then for the purposes of this Section, the combined capital and surplus of such Authenticating Agent shall be deemed to be its combined capital and surplus as set forth in its most recent report of condition so published. If at any time an Authenticating Agent ceases to be eligible in accordance with the provisions of this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720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71" w:name="page72"/>
    <w:bookmarkEnd w:id="71"/>
    <w:p>
      <w:pPr>
        <w:spacing w:after="0"/>
        <w:rPr>
          <w:sz w:val="20"/>
          <w:szCs w:val="20"/>
          <w:color w:val="auto"/>
        </w:rPr>
      </w:pPr>
      <w:r>
        <w:rPr>
          <w:rFonts w:ascii="Arial" w:cs="Arial" w:eastAsia="Arial" w:hAnsi="Arial"/>
          <w:sz w:val="18"/>
          <w:szCs w:val="18"/>
          <w:color w:val="auto"/>
        </w:rPr>
        <w:t>Section, such Authenticating Agent shall resign immediately in the manner and with the effect specified in this Section.</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(b) Any corporation into which an Authenticating Agent may be merged or converted or with which it may be consolidated, or any</w:t>
      </w:r>
    </w:p>
    <w:p>
      <w:pPr>
        <w:spacing w:after="0" w:line="61"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 xml:space="preserve">corporation resulting from any merger, conversion or consolidation to which such Authenticating Agent shall be a party, or any corporation succeeding to the corporate agency or corporate trust business of an Authenticating Agent, shall continue to be an Authenticating Agent,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such corporation shall be otherwise eligible under this Section, without the execution or filing of any paper or any further act on the part of the Trustee or the Authenticating Agent.</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(c) An Authenticating Agent may resign with respect to one or more series of Securities at any time by giving written notice thereof to the</w:t>
      </w:r>
    </w:p>
    <w:p>
      <w:pPr>
        <w:spacing w:after="0" w:line="7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Trustee and to the Company. The Trustee may at any time terminate the agency of an Authenticating Agent with respect to one or more series of Securities by giving written notice thereof to such Authenticating Agent and to the Company. Upon receiving such a notice of resignation or upon such a termination, or in case at any time such Authenticating Agent ceases to be eligible in accordance with the provisions of this Section, the Trustee may appoint a successor Authenticating Agent that is acceptable to the Company and shall provide notice of such appointment to all Holders of Securities of the series or Tranche with respect to which such Authenticating Agent will serve, as provided in paragraph (a) of this Section. Any successor Authenticating Agent upon acceptance of its appointment hereunder shall become vested with all the rights, powers and duties of its predecessor hereunder, with like effect as if originally named as an Authenticating Agent. No successor Authenticating Agent shall be appointed unless eligible under the provisions of this Section. An Authenticating Agent appointed pursuant to this Section shall be entitled to rely on Sections 111, 308, 604 and 605 hereunder.</w:t>
      </w:r>
    </w:p>
    <w:p>
      <w:pPr>
        <w:spacing w:after="0" w:line="166" w:lineRule="exact"/>
        <w:rPr>
          <w:sz w:val="20"/>
          <w:szCs w:val="20"/>
          <w:color w:val="auto"/>
        </w:rPr>
      </w:pPr>
    </w:p>
    <w:p>
      <w:pPr>
        <w:ind w:right="200" w:firstLine="1305"/>
        <w:spacing w:after="0" w:line="357" w:lineRule="auto"/>
        <w:tabs>
          <w:tab w:leader="none" w:pos="1520"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Trustee agrees to pay to each Authenticating Agent from time to time reasonable compensation for its services under this Section, and the Trustee shall be entitled to be reimbursed for such payments, subject to the provisions of Section 607.</w:t>
      </w:r>
    </w:p>
    <w:p>
      <w:pPr>
        <w:spacing w:after="0" w:line="107" w:lineRule="exact"/>
        <w:rPr>
          <w:rFonts w:ascii="Arial" w:cs="Arial" w:eastAsia="Arial" w:hAnsi="Arial"/>
          <w:sz w:val="17"/>
          <w:szCs w:val="17"/>
          <w:color w:val="auto"/>
        </w:rPr>
      </w:pPr>
    </w:p>
    <w:p>
      <w:pPr>
        <w:ind w:left="1520" w:hanging="215"/>
        <w:spacing w:after="0"/>
        <w:tabs>
          <w:tab w:leader="none" w:pos="1520" w:val="left"/>
        </w:tabs>
        <w:numPr>
          <w:ilvl w:val="0"/>
          <w:numId w:val="76"/>
        </w:numPr>
        <w:rPr>
          <w:rFonts w:ascii="Arial" w:cs="Arial" w:eastAsia="Arial" w:hAnsi="Arial"/>
          <w:sz w:val="17"/>
          <w:szCs w:val="17"/>
          <w:color w:val="auto"/>
        </w:rPr>
      </w:pPr>
      <w:r>
        <w:rPr>
          <w:rFonts w:ascii="Arial" w:cs="Arial" w:eastAsia="Arial" w:hAnsi="Arial"/>
          <w:sz w:val="17"/>
          <w:szCs w:val="17"/>
          <w:color w:val="auto"/>
        </w:rPr>
        <w:t>If an appointment with respect to the Securities of one or more series, or any Tranche thereof, is made pursuant to this Section, the</w:t>
      </w:r>
    </w:p>
    <w:p>
      <w:pPr>
        <w:spacing w:after="0" w:line="61"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Securities of such series or Tranche may have endorsed thereon, in addition to the Trustee’s certificate of authentication, an alternate certificate of authentication in the following form:</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This is one of the Securities of the series designated pursuant to and issued under the within-mentioned Indenture.</w:t>
      </w:r>
    </w:p>
    <w:p>
      <w:pPr>
        <w:spacing w:after="0" w:line="38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w:t>
      </w:r>
    </w:p>
    <w:p>
      <w:pPr>
        <w:spacing w:after="0" w:line="63"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As Trustee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4044315</wp:posOffset>
            </wp:positionH>
            <wp:positionV relativeFrom="paragraph">
              <wp:posOffset>31750</wp:posOffset>
            </wp:positionV>
            <wp:extent cx="255587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43"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As Authenticating Agent on behalf of the Trustee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4044315</wp:posOffset>
            </wp:positionH>
            <wp:positionV relativeFrom="paragraph">
              <wp:posOffset>31750</wp:posOffset>
            </wp:positionV>
            <wp:extent cx="255587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43"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Authorized Officer of Authenticating Agent</w:t>
      </w:r>
    </w:p>
    <w:p>
      <w:pPr>
        <w:spacing w:after="0" w:line="333" w:lineRule="exact"/>
        <w:rPr>
          <w:sz w:val="20"/>
          <w:szCs w:val="20"/>
          <w:color w:val="auto"/>
        </w:rPr>
      </w:pPr>
    </w:p>
    <w:p>
      <w:pPr>
        <w:ind w:left="80"/>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31750</wp:posOffset>
            </wp:positionV>
            <wp:extent cx="243522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2435225" cy="88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72" w:name="page73"/>
    <w:bookmarkEnd w:id="72"/>
    <w:p>
      <w:pPr>
        <w:ind w:left="1300"/>
        <w:spacing w:after="0"/>
        <w:rPr>
          <w:sz w:val="20"/>
          <w:szCs w:val="20"/>
          <w:color w:val="auto"/>
        </w:rPr>
      </w:pPr>
      <w:r>
        <w:rPr>
          <w:rFonts w:ascii="Arial" w:cs="Arial" w:eastAsia="Arial" w:hAnsi="Arial"/>
          <w:sz w:val="17"/>
          <w:szCs w:val="17"/>
          <w:color w:val="auto"/>
        </w:rPr>
        <w:t>(f) If all of the Securities of a series may not be originally issued at one time, and if the Trustee does not have an office capable of</w:t>
      </w:r>
    </w:p>
    <w:p>
      <w:pPr>
        <w:spacing w:after="0" w:line="6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authenticating Securities upon original issuance located in a Place of Payment where the Company wishes to have Securities of such series authenticated upon original issuance, the Trustee, if so requested by the Company in writing (which writing need not comply with Section 102 and need not be accompanied by an Opinion of Counsel), shall appoint, in accordance with this Section and in accordance with such procedures as shall be acceptable to the Trustee, an Authenticating Agent (which, if so requested by the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720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73" w:name="page74"/>
    <w:bookmarkEnd w:id="73"/>
    <w:p>
      <w:pPr>
        <w:jc w:val="center"/>
        <w:ind w:right="140"/>
        <w:spacing w:after="0"/>
        <w:rPr>
          <w:sz w:val="20"/>
          <w:szCs w:val="20"/>
          <w:color w:val="auto"/>
        </w:rPr>
      </w:pPr>
      <w:r>
        <w:rPr>
          <w:rFonts w:ascii="Arial" w:cs="Arial" w:eastAsia="Arial" w:hAnsi="Arial"/>
          <w:sz w:val="16"/>
          <w:szCs w:val="16"/>
          <w:color w:val="auto"/>
        </w:rPr>
        <w:t>Company, may be an Affiliate of the Company) having an office in a Place of Payment designated by the Company with respect to such series of Securities.</w:t>
      </w: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SEVEN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HOLDERS’ LISTS AND REPORTS BY TRUSTEE AND COMPANY</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SECTION 701. </w:t>
      </w:r>
      <w:r>
        <w:rPr>
          <w:rFonts w:ascii="Arial" w:cs="Arial" w:eastAsia="Arial" w:hAnsi="Arial"/>
          <w:sz w:val="16"/>
          <w:szCs w:val="16"/>
          <w:i w:val="1"/>
          <w:iCs w:val="1"/>
          <w:color w:val="auto"/>
        </w:rPr>
        <w:t>Company to Furnish Trustee Names and Addresses of Holders</w:t>
      </w:r>
      <w:r>
        <w:rPr>
          <w:rFonts w:ascii="Arial" w:cs="Arial" w:eastAsia="Arial" w:hAnsi="Arial"/>
          <w:sz w:val="16"/>
          <w:szCs w:val="16"/>
          <w:color w:val="auto"/>
        </w:rPr>
        <w:t>. The Company will furnish or cause to be furnished to the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Trustee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(a) semi-annually, not later than the 15th day after each Regular Record Date for each series of Securities at the time Outstanding or on June</w:t>
      </w:r>
    </w:p>
    <w:p>
      <w:pPr>
        <w:spacing w:after="0" w:line="73" w:lineRule="exact"/>
        <w:rPr>
          <w:sz w:val="20"/>
          <w:szCs w:val="20"/>
          <w:color w:val="auto"/>
        </w:rPr>
      </w:pPr>
    </w:p>
    <w:p>
      <w:pPr>
        <w:ind w:left="660" w:right="100"/>
        <w:spacing w:after="0" w:line="276" w:lineRule="auto"/>
        <w:rPr>
          <w:sz w:val="20"/>
          <w:szCs w:val="20"/>
          <w:color w:val="auto"/>
        </w:rPr>
      </w:pPr>
      <w:r>
        <w:rPr>
          <w:rFonts w:ascii="Arial" w:cs="Arial" w:eastAsia="Arial" w:hAnsi="Arial"/>
          <w:sz w:val="17"/>
          <w:szCs w:val="17"/>
          <w:color w:val="auto"/>
        </w:rPr>
        <w:t>30 and December 31 of each year with respect to each series of Securities for which there are no Regular Record Dates, a list, in such form as the Trustee may reasonably require, containing all the information in the possession or control of the Company, or any of its Paying Agents other than the Trustee, of the names and addresses of the Holders of Securities of such series, including Holders of interests in Global Securities, as of such preceding Regular Record Date or on June 15 or December 15, as the case may be, or, in the case of a series of non-interest bearing Securities, on a date to be determined as contemplated pursuant to Section 301(b), and</w:t>
      </w:r>
    </w:p>
    <w:p>
      <w:pPr>
        <w:spacing w:after="0" w:line="173" w:lineRule="exact"/>
        <w:rPr>
          <w:sz w:val="20"/>
          <w:szCs w:val="20"/>
          <w:color w:val="auto"/>
        </w:rPr>
      </w:pPr>
    </w:p>
    <w:p>
      <w:pPr>
        <w:ind w:left="660" w:right="160" w:firstLine="645"/>
        <w:spacing w:after="0" w:line="324" w:lineRule="auto"/>
        <w:tabs>
          <w:tab w:leader="none" w:pos="1532" w:val="left"/>
        </w:tabs>
        <w:numPr>
          <w:ilvl w:val="0"/>
          <w:numId w:val="77"/>
        </w:numPr>
        <w:rPr>
          <w:rFonts w:ascii="Arial" w:cs="Arial" w:eastAsia="Arial" w:hAnsi="Arial"/>
          <w:sz w:val="18"/>
          <w:szCs w:val="18"/>
          <w:color w:val="auto"/>
        </w:rPr>
      </w:pPr>
      <w:r>
        <w:rPr>
          <w:rFonts w:ascii="Arial" w:cs="Arial" w:eastAsia="Arial" w:hAnsi="Arial"/>
          <w:sz w:val="18"/>
          <w:szCs w:val="18"/>
          <w:color w:val="auto"/>
        </w:rPr>
        <w:t>at such other times as the Trustee may request in writing, within 30 days after the receipt by the Company of any such request, a list of similar form and content as of a date not more than 15 days prior to the time such list is furnished;</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excluding </w:t>
      </w:r>
      <w:r>
        <w:rPr>
          <w:rFonts w:ascii="Arial" w:cs="Arial" w:eastAsia="Arial" w:hAnsi="Arial"/>
          <w:sz w:val="16"/>
          <w:szCs w:val="16"/>
          <w:color w:val="auto"/>
        </w:rPr>
        <w:t>from any such list names and addresses received by the Trustee in its capacity as Security Registrar for Securities other than Global Securities.</w:t>
      </w:r>
    </w:p>
    <w:p>
      <w:pPr>
        <w:spacing w:after="0" w:line="248"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 xml:space="preserve">SECTION 702. </w:t>
      </w:r>
      <w:r>
        <w:rPr>
          <w:rFonts w:ascii="Arial" w:cs="Arial" w:eastAsia="Arial" w:hAnsi="Arial"/>
          <w:sz w:val="17"/>
          <w:szCs w:val="17"/>
          <w:i w:val="1"/>
          <w:iCs w:val="1"/>
          <w:color w:val="auto"/>
        </w:rPr>
        <w:t>Preservation of Information; Communications to Holders</w:t>
      </w:r>
      <w:r>
        <w:rPr>
          <w:rFonts w:ascii="Arial" w:cs="Arial" w:eastAsia="Arial" w:hAnsi="Arial"/>
          <w:sz w:val="17"/>
          <w:szCs w:val="17"/>
          <w:color w:val="auto"/>
        </w:rPr>
        <w:t>. (a) The Trustee shall preserve, in as current a form as is</w:t>
      </w:r>
    </w:p>
    <w:p>
      <w:pPr>
        <w:spacing w:after="0" w:line="61"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reasonably practicable, the names and addresses of Holders of Securities contained in the most recent list furnished to the Trustee as provided in Section 701 and the names and addresses of Holders of Securities received by the Trustee in its capacity as Security Registrar or Paying Agent. The Trustee may destroy any list furnished to it as provided in Section 701 upon receipt of a new list so furnished.</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(b) If three or more Holders (herein referred to as “applicants”) apply in writing to the Trustee, and furnish to the Trustee reasonable proof</w:t>
      </w:r>
    </w:p>
    <w:p>
      <w:pPr>
        <w:spacing w:after="0" w:line="7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that each such applicant has owned a Security for a period of at least six months preceding the date of such application, and such application states that the applicants desire to communicate with other Holders with respect to their rights under this Indenture or under the Securities and is accompanied by a copy of the form of proxy or other communication that such applicants propose to transmit, then the Trustee shall, within five business days after the receipt of such application, at its election, either</w:t>
      </w:r>
    </w:p>
    <w:p>
      <w:pPr>
        <w:spacing w:after="0" w:line="187" w:lineRule="exact"/>
        <w:rPr>
          <w:sz w:val="20"/>
          <w:szCs w:val="20"/>
          <w:color w:val="auto"/>
        </w:rPr>
      </w:pPr>
    </w:p>
    <w:p>
      <w:pPr>
        <w:ind w:left="2600"/>
        <w:spacing w:after="0"/>
        <w:rPr>
          <w:sz w:val="20"/>
          <w:szCs w:val="20"/>
          <w:color w:val="auto"/>
        </w:rPr>
      </w:pPr>
      <w:r>
        <w:rPr>
          <w:rFonts w:ascii="Arial" w:cs="Arial" w:eastAsia="Arial" w:hAnsi="Arial"/>
          <w:sz w:val="16"/>
          <w:szCs w:val="16"/>
          <w:color w:val="auto"/>
        </w:rPr>
        <w:t>(i) afford such applicants access to the information preserved at the time by the Trustee in accordance with Section 702(a),</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or</w:t>
      </w:r>
    </w:p>
    <w:p>
      <w:pPr>
        <w:spacing w:after="0" w:line="225" w:lineRule="exact"/>
        <w:rPr>
          <w:sz w:val="20"/>
          <w:szCs w:val="20"/>
          <w:color w:val="auto"/>
        </w:rPr>
      </w:pPr>
    </w:p>
    <w:p>
      <w:pPr>
        <w:ind w:left="2600"/>
        <w:spacing w:after="0"/>
        <w:rPr>
          <w:sz w:val="20"/>
          <w:szCs w:val="20"/>
          <w:color w:val="auto"/>
        </w:rPr>
      </w:pPr>
      <w:r>
        <w:rPr>
          <w:rFonts w:ascii="Arial" w:cs="Arial" w:eastAsia="Arial" w:hAnsi="Arial"/>
          <w:sz w:val="16"/>
          <w:szCs w:val="16"/>
          <w:color w:val="auto"/>
        </w:rPr>
        <w:t>(ii) inform such applicants as to the approximate number of Holders whose names and addresses appear in the information</w:t>
      </w:r>
    </w:p>
    <w:p>
      <w:pPr>
        <w:spacing w:after="0" w:line="73" w:lineRule="exact"/>
        <w:rPr>
          <w:sz w:val="20"/>
          <w:szCs w:val="20"/>
          <w:color w:val="auto"/>
        </w:rPr>
      </w:pPr>
    </w:p>
    <w:p>
      <w:pPr>
        <w:ind w:left="660" w:right="80"/>
        <w:spacing w:after="0" w:line="277" w:lineRule="auto"/>
        <w:rPr>
          <w:sz w:val="20"/>
          <w:szCs w:val="20"/>
          <w:color w:val="auto"/>
        </w:rPr>
      </w:pPr>
      <w:r>
        <w:rPr>
          <w:rFonts w:ascii="Arial" w:cs="Arial" w:eastAsia="Arial" w:hAnsi="Arial"/>
          <w:sz w:val="18"/>
          <w:szCs w:val="18"/>
          <w:color w:val="auto"/>
        </w:rPr>
        <w:t>preserved at the time by the Trustee in accordance with Section 702(a), and as to the approximate cost of mailing to such Holders the form of proxy or other communication, if any, specified in such application.</w:t>
      </w:r>
    </w:p>
    <w:p>
      <w:pPr>
        <w:spacing w:after="0" w:line="170"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If the Trustee elects not to afford such applicants access to such information, the Trustee shall, upon the written request of such applicants, mail to each Holder whose name and address appear in the information preserved at the time by the Trustee in accordance with Section 702(a) a copy of the form of proxy or other communication that is specified in such request, with reasonable promptness after a tender to the Trustee by the applicants of the material to be mailed and of payment, or provision for the payment, of the reasonable expenses of mailing, unless within five days after such tender the Trustee shall mail to such applicants and file with the Commission, together with a copy of the material to be mailed, a written statement to the effect that, in the opinion of the Trustee, such mailing would be contrary to the best interest of the Holders or would be in violation of applicable law. Such</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720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74" w:name="page75"/>
    <w:bookmarkEnd w:id="74"/>
    <w:p>
      <w:pPr>
        <w:ind w:right="220"/>
        <w:spacing w:after="0" w:line="297" w:lineRule="auto"/>
        <w:rPr>
          <w:sz w:val="20"/>
          <w:szCs w:val="20"/>
          <w:color w:val="auto"/>
        </w:rPr>
      </w:pPr>
      <w:r>
        <w:rPr>
          <w:rFonts w:ascii="Arial" w:cs="Arial" w:eastAsia="Arial" w:hAnsi="Arial"/>
          <w:sz w:val="16"/>
          <w:szCs w:val="16"/>
          <w:color w:val="auto"/>
        </w:rPr>
        <w:t>written statement shall specify the basis of such opinion. If the Commission, after opportunity for a hearing upon the objections specified in the written statement so filed, enters an order refusing to sustain any of such objections or if, after the entry of an order sustaining one or more of such objections, the Commission finds, after notice and opportunity for hearing, that all the objections so sustained have been met and enters an order so declaring, the Trustee shall mail copies of such material to all such Holders with reasonable promptness after the entry of such order and the renewal of such tender by such applicants; otherwise the Trustee shall be relieved of any obligation or duty to such applicants respecting their application.</w:t>
      </w:r>
    </w:p>
    <w:p>
      <w:pPr>
        <w:spacing w:after="0" w:line="158"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(c) Every Holder of Securities, by receiving and holding the same, agrees with the Company and the Trustee that neither the Company nor</w:t>
      </w:r>
    </w:p>
    <w:p>
      <w:pPr>
        <w:spacing w:after="0" w:line="7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Trustee nor any agent of either of them shall be held accountable by reason of the disclosure of any such information as to the names and addresses of the Holders in accordance with Section 702(b), regardless of the source from which such information was derived, and that the Trustee shall not be held accountable by reason of mailing any material pursuant to a request made under Section 702(b).</w:t>
      </w:r>
    </w:p>
    <w:p>
      <w:pPr>
        <w:spacing w:after="0" w:line="181" w:lineRule="exact"/>
        <w:rPr>
          <w:sz w:val="20"/>
          <w:szCs w:val="20"/>
          <w:color w:val="auto"/>
        </w:rPr>
      </w:pPr>
    </w:p>
    <w:p>
      <w:pPr>
        <w:ind w:right="20" w:firstLine="1297"/>
        <w:spacing w:after="0" w:line="357" w:lineRule="auto"/>
        <w:rPr>
          <w:sz w:val="20"/>
          <w:szCs w:val="20"/>
          <w:color w:val="auto"/>
        </w:rPr>
      </w:pPr>
      <w:r>
        <w:rPr>
          <w:rFonts w:ascii="Arial" w:cs="Arial" w:eastAsia="Arial" w:hAnsi="Arial"/>
          <w:sz w:val="17"/>
          <w:szCs w:val="17"/>
          <w:color w:val="auto"/>
        </w:rPr>
        <w:t xml:space="preserve">SECTION 703. </w:t>
      </w:r>
      <w:r>
        <w:rPr>
          <w:rFonts w:ascii="Arial" w:cs="Arial" w:eastAsia="Arial" w:hAnsi="Arial"/>
          <w:sz w:val="17"/>
          <w:szCs w:val="17"/>
          <w:i w:val="1"/>
          <w:iCs w:val="1"/>
          <w:color w:val="auto"/>
        </w:rPr>
        <w:t>Reports by Trustee</w:t>
      </w:r>
      <w:r>
        <w:rPr>
          <w:rFonts w:ascii="Arial" w:cs="Arial" w:eastAsia="Arial" w:hAnsi="Arial"/>
          <w:sz w:val="17"/>
          <w:szCs w:val="17"/>
          <w:color w:val="auto"/>
        </w:rPr>
        <w:t>. (a) The Trustee shall transmit to Holders such reports concerning the Trustee the Trustee and its actions under this Indenture as may be required pursuant to the Trust Indenture Act at the times and in the manner provided pursuant thereto.</w:t>
      </w:r>
    </w:p>
    <w:p>
      <w:pPr>
        <w:spacing w:after="0" w:line="107" w:lineRule="exact"/>
        <w:rPr>
          <w:sz w:val="20"/>
          <w:szCs w:val="20"/>
          <w:color w:val="auto"/>
        </w:rPr>
      </w:pPr>
    </w:p>
    <w:p>
      <w:pPr>
        <w:ind w:right="360" w:firstLine="1305"/>
        <w:spacing w:after="0" w:line="357" w:lineRule="auto"/>
        <w:tabs>
          <w:tab w:leader="none" w:pos="1520" w:val="left"/>
        </w:tabs>
        <w:numPr>
          <w:ilvl w:val="0"/>
          <w:numId w:val="78"/>
        </w:numPr>
        <w:rPr>
          <w:rFonts w:ascii="Arial" w:cs="Arial" w:eastAsia="Arial" w:hAnsi="Arial"/>
          <w:sz w:val="17"/>
          <w:szCs w:val="17"/>
          <w:color w:val="auto"/>
        </w:rPr>
      </w:pPr>
      <w:r>
        <w:rPr>
          <w:rFonts w:ascii="Arial" w:cs="Arial" w:eastAsia="Arial" w:hAnsi="Arial"/>
          <w:sz w:val="17"/>
          <w:szCs w:val="17"/>
          <w:color w:val="auto"/>
        </w:rPr>
        <w:t>Reports so required to be transmitted at stated intervals of not more than 12 months shall be transmitted no later than July 1 in each calendar year, commencing with the first July 1 after the first issuance of Securities pursuant to this Indenture.</w:t>
      </w:r>
    </w:p>
    <w:p>
      <w:pPr>
        <w:spacing w:after="0" w:line="107" w:lineRule="exact"/>
        <w:rPr>
          <w:rFonts w:ascii="Arial" w:cs="Arial" w:eastAsia="Arial" w:hAnsi="Arial"/>
          <w:sz w:val="17"/>
          <w:szCs w:val="17"/>
          <w:color w:val="auto"/>
        </w:rPr>
      </w:pPr>
    </w:p>
    <w:p>
      <w:pPr>
        <w:ind w:left="1520" w:hanging="215"/>
        <w:spacing w:after="0"/>
        <w:tabs>
          <w:tab w:leader="none" w:pos="1520" w:val="left"/>
        </w:tabs>
        <w:numPr>
          <w:ilvl w:val="0"/>
          <w:numId w:val="78"/>
        </w:numPr>
        <w:rPr>
          <w:rFonts w:ascii="Arial" w:cs="Arial" w:eastAsia="Arial" w:hAnsi="Arial"/>
          <w:sz w:val="16"/>
          <w:szCs w:val="16"/>
          <w:color w:val="auto"/>
        </w:rPr>
      </w:pPr>
      <w:r>
        <w:rPr>
          <w:rFonts w:ascii="Arial" w:cs="Arial" w:eastAsia="Arial" w:hAnsi="Arial"/>
          <w:sz w:val="16"/>
          <w:szCs w:val="16"/>
          <w:color w:val="auto"/>
        </w:rPr>
        <w:t>A copy of each such report shall, at the time of such transmission to Holders, be filed by the Trustee with each securities exchange upon</w:t>
      </w:r>
    </w:p>
    <w:p>
      <w:pPr>
        <w:spacing w:after="0" w:line="7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which any Securities are listed, with the Commission and with the Company. The Company will notify the Trustee in writing when any Securities are listed on any securities exchange.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SECTION 704. </w:t>
      </w:r>
      <w:r>
        <w:rPr>
          <w:rFonts w:ascii="Arial" w:cs="Arial" w:eastAsia="Arial" w:hAnsi="Arial"/>
          <w:sz w:val="18"/>
          <w:szCs w:val="18"/>
          <w:i w:val="1"/>
          <w:iCs w:val="1"/>
          <w:color w:val="auto"/>
        </w:rPr>
        <w:t>Reports by Company</w:t>
      </w:r>
      <w:r>
        <w:rPr>
          <w:rFonts w:ascii="Arial" w:cs="Arial" w:eastAsia="Arial" w:hAnsi="Arial"/>
          <w:sz w:val="18"/>
          <w:szCs w:val="18"/>
          <w:color w:val="auto"/>
        </w:rPr>
        <w:t>. The Company shall:</w:t>
      </w:r>
    </w:p>
    <w:p>
      <w:pPr>
        <w:spacing w:after="0" w:line="266"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(1) file with the Trustee, within 15 days after the Company files the same with the Commission, copies of the annual reports and of the</w:t>
      </w:r>
    </w:p>
    <w:p>
      <w:pPr>
        <w:spacing w:after="0" w:line="73" w:lineRule="exact"/>
        <w:rPr>
          <w:sz w:val="20"/>
          <w:szCs w:val="20"/>
          <w:color w:val="auto"/>
        </w:rPr>
      </w:pPr>
    </w:p>
    <w:p>
      <w:pPr>
        <w:ind w:left="660" w:right="20"/>
        <w:spacing w:after="0" w:line="270" w:lineRule="auto"/>
        <w:rPr>
          <w:sz w:val="20"/>
          <w:szCs w:val="20"/>
          <w:color w:val="auto"/>
        </w:rPr>
      </w:pPr>
      <w:r>
        <w:rPr>
          <w:rFonts w:ascii="Arial" w:cs="Arial" w:eastAsia="Arial" w:hAnsi="Arial"/>
          <w:sz w:val="17"/>
          <w:szCs w:val="17"/>
          <w:color w:val="auto"/>
        </w:rPr>
        <w:t>information, documents and other reports (or copies of such portions of any of the foregoing as the Commission may from time to time by rules and regulations prescribe) that the Company may be required to file with the Commission pursuant to Section 13 or Section 15(d) of the U.S. Securities Exchange Act of 1934; or, if the Company is not required to file information, documents or reports pursuant to either of said Sections, then it shall file with the Trustee and the Commission, in accordance with rules and regulations prescribed from time to time by the Commission, such of the supplementary and periodic information, documents and reports that may be required pursuant to Section 13 of the U.S. Securities Exchange Act of 1934 in respect of a security listed and registered on a national securities exchange as may be prescribed from time to time in such rules and regulations; and provided, however, that so long as such filings by the Company are available on the Commission’s Electronic Data Gathering, Analysis and Retrieval System (EDGAR) or any successor system, such filings shall be deemed to have been filed with the Trustee for purposes hereof without any further action required by the Company;</w:t>
      </w:r>
    </w:p>
    <w:p>
      <w:pPr>
        <w:spacing w:after="0" w:line="182"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(2) file with the Trustee and the Commission, in accordance with rules and regulations prescribed by the Commission, such additional</w:t>
      </w:r>
    </w:p>
    <w:p>
      <w:pPr>
        <w:spacing w:after="0" w:line="61" w:lineRule="exact"/>
        <w:rPr>
          <w:sz w:val="20"/>
          <w:szCs w:val="20"/>
          <w:color w:val="auto"/>
        </w:rPr>
      </w:pPr>
    </w:p>
    <w:p>
      <w:pPr>
        <w:ind w:left="660" w:right="400"/>
        <w:spacing w:after="0" w:line="277" w:lineRule="auto"/>
        <w:rPr>
          <w:sz w:val="20"/>
          <w:szCs w:val="20"/>
          <w:color w:val="auto"/>
        </w:rPr>
      </w:pPr>
      <w:r>
        <w:rPr>
          <w:rFonts w:ascii="Arial" w:cs="Arial" w:eastAsia="Arial" w:hAnsi="Arial"/>
          <w:sz w:val="18"/>
          <w:szCs w:val="18"/>
          <w:color w:val="auto"/>
        </w:rPr>
        <w:t>information, documents and reports with respect to compliance by the Company with the conditions and covenants of this Indenture as may be required from time to time by such rules and regulations; and</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(3) transmit by mail to all Holders of Securities, as their names and addresses appear in the Security Register, and to each Holder whose</w:t>
      </w:r>
    </w:p>
    <w:p>
      <w:pPr>
        <w:spacing w:after="0" w:line="73" w:lineRule="exact"/>
        <w:rPr>
          <w:sz w:val="20"/>
          <w:szCs w:val="20"/>
          <w:color w:val="auto"/>
        </w:rPr>
      </w:pPr>
    </w:p>
    <w:p>
      <w:pPr>
        <w:jc w:val="both"/>
        <w:ind w:left="660" w:right="140"/>
        <w:spacing w:after="0" w:line="286" w:lineRule="auto"/>
        <w:rPr>
          <w:sz w:val="20"/>
          <w:szCs w:val="20"/>
          <w:color w:val="auto"/>
        </w:rPr>
      </w:pPr>
      <w:r>
        <w:rPr>
          <w:rFonts w:ascii="Arial" w:cs="Arial" w:eastAsia="Arial" w:hAnsi="Arial"/>
          <w:sz w:val="17"/>
          <w:szCs w:val="17"/>
          <w:color w:val="auto"/>
        </w:rPr>
        <w:t>name and address is then preserved on the Trustee’s list pursuant to the first sentence of Section 702(a), within 30 days after the filing thereof with the Trustee, such summaries of any information, documents and reports required to be filed by the Company pursuant to paragraphs (1) and (2) of this Section as may be required by rules and regulations prescribed from time to time by the Commission.</w:t>
      </w:r>
    </w:p>
    <w:p>
      <w:pPr>
        <w:spacing w:after="0" w:line="16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720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40"/>
          </w:cols>
          <w:pgMar w:left="240" w:top="584" w:right="319" w:bottom="1440" w:gutter="0" w:footer="0" w:header="0"/>
        </w:sectPr>
      </w:pPr>
    </w:p>
    <w:bookmarkStart w:id="75" w:name="page76"/>
    <w:bookmarkEnd w:id="75"/>
    <w:p>
      <w:pPr>
        <w:jc w:val="center"/>
        <w:ind w:right="-59"/>
        <w:spacing w:after="0"/>
        <w:rPr>
          <w:sz w:val="20"/>
          <w:szCs w:val="20"/>
          <w:color w:val="auto"/>
        </w:rPr>
      </w:pPr>
      <w:r>
        <w:rPr>
          <w:rFonts w:ascii="Arial" w:cs="Arial" w:eastAsia="Arial" w:hAnsi="Arial"/>
          <w:sz w:val="18"/>
          <w:szCs w:val="18"/>
          <w:b w:val="1"/>
          <w:bCs w:val="1"/>
          <w:color w:val="auto"/>
        </w:rPr>
        <w:t>ARTICLE EIGHT</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CONSOLIDATION, MERGER, CONVEYANCE OR TRANSFER</w:t>
      </w:r>
    </w:p>
    <w:p>
      <w:pPr>
        <w:spacing w:after="0" w:line="229" w:lineRule="exact"/>
        <w:rPr>
          <w:sz w:val="20"/>
          <w:szCs w:val="20"/>
          <w:color w:val="auto"/>
        </w:rPr>
      </w:pPr>
    </w:p>
    <w:p>
      <w:pPr>
        <w:ind w:right="60" w:firstLine="1297"/>
        <w:spacing w:after="0" w:line="324" w:lineRule="auto"/>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i w:val="1"/>
          <w:iCs w:val="1"/>
          <w:color w:val="auto"/>
        </w:rPr>
        <w:t>Company May Consolidate, Etc. Only on Certain Terms</w:t>
      </w:r>
      <w:r>
        <w:rPr>
          <w:rFonts w:ascii="Arial" w:cs="Arial" w:eastAsia="Arial" w:hAnsi="Arial"/>
          <w:sz w:val="18"/>
          <w:szCs w:val="18"/>
          <w:color w:val="auto"/>
        </w:rPr>
        <w:t>. The Company shall not consolidate with or merge with or into, or convey, transfer or lease all or substantially all of its properties and assets to any Person, unless:</w:t>
      </w:r>
    </w:p>
    <w:p>
      <w:pPr>
        <w:spacing w:after="0" w:line="13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(1) either (x) the Company shall be the continuing corporation or the successor corporation or (y) the Person formed by such consolidation</w:t>
      </w:r>
    </w:p>
    <w:p>
      <w:pPr>
        <w:spacing w:after="0" w:line="73" w:lineRule="exact"/>
        <w:rPr>
          <w:sz w:val="20"/>
          <w:szCs w:val="20"/>
          <w:color w:val="auto"/>
        </w:rPr>
      </w:pPr>
    </w:p>
    <w:p>
      <w:pPr>
        <w:ind w:left="660" w:right="20"/>
        <w:spacing w:after="0" w:line="276" w:lineRule="auto"/>
        <w:rPr>
          <w:sz w:val="20"/>
          <w:szCs w:val="20"/>
          <w:color w:val="auto"/>
        </w:rPr>
      </w:pPr>
      <w:r>
        <w:rPr>
          <w:rFonts w:ascii="Arial" w:cs="Arial" w:eastAsia="Arial" w:hAnsi="Arial"/>
          <w:sz w:val="17"/>
          <w:szCs w:val="17"/>
          <w:color w:val="auto"/>
        </w:rPr>
        <w:t>or into which the Company is merged or the Person that acquires by conveyance, transfer or lease the properties and assets of the Company substantially as an entirety shall be a corporation organized and existing under the laws of the United States of America, any State thereof or the District of Columbia and shall expressly assume, by an indenture supplemental hereto, executed and delivered to the Trustee, in form satisfactory to the Trustee, the due and punctual payment of the principal of and any premium and interest on all the Outstanding Securities and the performance of every covenant of this Indenture on the part of the Company to be performed or observed;</w:t>
      </w:r>
    </w:p>
    <w:p>
      <w:pPr>
        <w:spacing w:after="0" w:line="173" w:lineRule="exact"/>
        <w:rPr>
          <w:sz w:val="20"/>
          <w:szCs w:val="20"/>
          <w:color w:val="auto"/>
        </w:rPr>
      </w:pPr>
    </w:p>
    <w:p>
      <w:pPr>
        <w:ind w:left="660" w:right="240" w:firstLine="645"/>
        <w:spacing w:after="0" w:line="324" w:lineRule="auto"/>
        <w:tabs>
          <w:tab w:leader="none" w:pos="1532" w:val="left"/>
        </w:tabs>
        <w:numPr>
          <w:ilvl w:val="0"/>
          <w:numId w:val="79"/>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no Event of Default and no event that, after notice or lapse of time or both, would become an Event of Default, shall have occurred and be continuing; and</w:t>
      </w:r>
    </w:p>
    <w:p>
      <w:pPr>
        <w:spacing w:after="0" w:line="129" w:lineRule="exact"/>
        <w:rPr>
          <w:rFonts w:ascii="Arial" w:cs="Arial" w:eastAsia="Arial" w:hAnsi="Arial"/>
          <w:sz w:val="18"/>
          <w:szCs w:val="18"/>
          <w:color w:val="auto"/>
        </w:rPr>
      </w:pPr>
    </w:p>
    <w:p>
      <w:pPr>
        <w:ind w:left="1520" w:hanging="215"/>
        <w:spacing w:after="0"/>
        <w:tabs>
          <w:tab w:leader="none" w:pos="1520"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 Company has delivered to the Trustee an Officer’s Certificate and an Opinion of Counsel, each stating that such consolidation,</w:t>
      </w:r>
    </w:p>
    <w:p>
      <w:pPr>
        <w:spacing w:after="0" w:line="61"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merger, conveyance, transfer or lease and such supplemental indenture comply with this Article and that all conditions precedent herein provided for relating to such transaction have been met.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SECTION 802. </w:t>
      </w:r>
      <w:r>
        <w:rPr>
          <w:rFonts w:ascii="Arial" w:cs="Arial" w:eastAsia="Arial" w:hAnsi="Arial"/>
          <w:sz w:val="16"/>
          <w:szCs w:val="16"/>
          <w:i w:val="1"/>
          <w:iCs w:val="1"/>
          <w:color w:val="auto"/>
        </w:rPr>
        <w:t>Successor Substituted for the Company</w:t>
      </w:r>
      <w:r>
        <w:rPr>
          <w:rFonts w:ascii="Arial" w:cs="Arial" w:eastAsia="Arial" w:hAnsi="Arial"/>
          <w:sz w:val="16"/>
          <w:szCs w:val="16"/>
          <w:color w:val="auto"/>
        </w:rPr>
        <w:t>. Upon any consolidation or merger or any conveyance, transfer or lease of all or</w:t>
      </w:r>
    </w:p>
    <w:p>
      <w:pPr>
        <w:spacing w:after="0" w:line="73"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substantially all the properties and assets of the Company in accordance with Section 801, the successor Person formed by such consolidation or into which the Company is merged or to which such conveyance, transfer or lease is made shall succeed to, and be substituted for, and may exercise every right and power of, the Company under this Indenture with the same effect as if such successor Person had been named as the Company herein and thereafter, in the case of a conveyance, transfer or lease of properties and assets of the Company substantially as an entirety, such conveyance, transfer or lease shall have the effect of releasing the Person named as the “Company” in the first paragraph of this instrument or any successor Person that shall theretofore have become such in the manner prescribed in this Article from its liability as obligor and maker on any of the Securities.</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NINE</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SUPPLEMENTAL INDENTURES</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SECTION 901. </w:t>
      </w:r>
      <w:r>
        <w:rPr>
          <w:rFonts w:ascii="Arial" w:cs="Arial" w:eastAsia="Arial" w:hAnsi="Arial"/>
          <w:sz w:val="16"/>
          <w:szCs w:val="16"/>
          <w:i w:val="1"/>
          <w:iCs w:val="1"/>
          <w:color w:val="auto"/>
        </w:rPr>
        <w:t>Supplemental Indentures Without Consent of Holders</w:t>
      </w:r>
      <w:r>
        <w:rPr>
          <w:rFonts w:ascii="Arial" w:cs="Arial" w:eastAsia="Arial" w:hAnsi="Arial"/>
          <w:sz w:val="16"/>
          <w:szCs w:val="16"/>
          <w:color w:val="auto"/>
        </w:rPr>
        <w:t>. Without the consent of any Holders, the Company and the Trustee, at</w:t>
      </w:r>
    </w:p>
    <w:p>
      <w:pPr>
        <w:spacing w:after="0" w:line="73"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any time and from time to time, may enter into one or more indentures supplemental hereto, in form satisfactory to the Trustee, for any of the following purposes:</w:t>
      </w:r>
    </w:p>
    <w:p>
      <w:pPr>
        <w:spacing w:after="0" w:line="170" w:lineRule="exact"/>
        <w:rPr>
          <w:sz w:val="20"/>
          <w:szCs w:val="20"/>
          <w:color w:val="auto"/>
        </w:rPr>
      </w:pPr>
    </w:p>
    <w:p>
      <w:pPr>
        <w:ind w:left="660" w:right="660" w:firstLine="645"/>
        <w:spacing w:after="0" w:line="324" w:lineRule="auto"/>
        <w:tabs>
          <w:tab w:leader="none" w:pos="1532" w:val="left"/>
        </w:tabs>
        <w:numPr>
          <w:ilvl w:val="0"/>
          <w:numId w:val="80"/>
        </w:numPr>
        <w:rPr>
          <w:rFonts w:ascii="Arial" w:cs="Arial" w:eastAsia="Arial" w:hAnsi="Arial"/>
          <w:sz w:val="18"/>
          <w:szCs w:val="18"/>
          <w:color w:val="auto"/>
        </w:rPr>
      </w:pPr>
      <w:r>
        <w:rPr>
          <w:rFonts w:ascii="Arial" w:cs="Arial" w:eastAsia="Arial" w:hAnsi="Arial"/>
          <w:sz w:val="18"/>
          <w:szCs w:val="18"/>
          <w:color w:val="auto"/>
        </w:rPr>
        <w:t>to evidence the succession of another Person to the Company and the assumption by any such successor of the covenants of the Company herein and in the Securities; or</w:t>
      </w:r>
    </w:p>
    <w:p>
      <w:pPr>
        <w:spacing w:after="0" w:line="129" w:lineRule="exact"/>
        <w:rPr>
          <w:rFonts w:ascii="Arial" w:cs="Arial" w:eastAsia="Arial" w:hAnsi="Arial"/>
          <w:sz w:val="18"/>
          <w:szCs w:val="18"/>
          <w:color w:val="auto"/>
        </w:rPr>
      </w:pPr>
    </w:p>
    <w:p>
      <w:pPr>
        <w:ind w:left="1520" w:hanging="215"/>
        <w:spacing w:after="0"/>
        <w:tabs>
          <w:tab w:leader="none" w:pos="152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to add to the covenants of the Company for the benefit of the Holders of all or any series of Securities (and if such covenants are to be</w:t>
      </w:r>
    </w:p>
    <w:p>
      <w:pPr>
        <w:spacing w:after="0" w:line="73"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for the benefit of less than all series of Securities, stating that such covenants are expressly being included solely for the benefit of such series), or to surrender any right or power herein conferred upon the Company; or</w:t>
      </w:r>
    </w:p>
    <w:p>
      <w:pPr>
        <w:spacing w:after="0" w:line="170" w:lineRule="exact"/>
        <w:rPr>
          <w:sz w:val="20"/>
          <w:szCs w:val="20"/>
          <w:color w:val="auto"/>
        </w:rPr>
      </w:pPr>
    </w:p>
    <w:p>
      <w:pPr>
        <w:jc w:val="center"/>
        <w:ind w:left="5620" w:right="1840" w:hanging="4315"/>
        <w:spacing w:after="0" w:line="623" w:lineRule="auto"/>
        <w:tabs>
          <w:tab w:leader="none" w:pos="1524" w:val="left"/>
        </w:tabs>
        <w:numPr>
          <w:ilvl w:val="0"/>
          <w:numId w:val="81"/>
        </w:numPr>
        <w:rPr>
          <w:rFonts w:ascii="Arial" w:cs="Arial" w:eastAsia="Arial" w:hAnsi="Arial"/>
          <w:sz w:val="17"/>
          <w:szCs w:val="17"/>
          <w:color w:val="auto"/>
        </w:rPr>
      </w:pPr>
      <w:r>
        <w:rPr>
          <w:rFonts w:ascii="Arial" w:cs="Arial" w:eastAsia="Arial" w:hAnsi="Arial"/>
          <w:sz w:val="17"/>
          <w:szCs w:val="17"/>
          <w:color w:val="auto"/>
        </w:rPr>
        <w:t>to add any additional Events of Default with respect to all or any series of Securities Outstanding hereunder; or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wp:posOffset>
            </wp:positionV>
            <wp:extent cx="72720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580" w:right="299" w:bottom="1440" w:gutter="0" w:footer="0" w:header="0"/>
        </w:sectPr>
      </w:pPr>
    </w:p>
    <w:bookmarkStart w:id="76" w:name="page77"/>
    <w:bookmarkEnd w:id="76"/>
    <w:p>
      <w:pPr>
        <w:ind w:left="1300"/>
        <w:spacing w:after="0"/>
        <w:rPr>
          <w:sz w:val="20"/>
          <w:szCs w:val="20"/>
          <w:color w:val="auto"/>
        </w:rPr>
      </w:pPr>
      <w:r>
        <w:rPr>
          <w:rFonts w:ascii="Arial" w:cs="Arial" w:eastAsia="Arial" w:hAnsi="Arial"/>
          <w:sz w:val="16"/>
          <w:szCs w:val="16"/>
          <w:color w:val="auto"/>
        </w:rPr>
        <w:t>(4) to change or eliminate any of the provisions of this Indenture, or to add any new provision to this Indenture, in respect of one or more</w:t>
      </w:r>
    </w:p>
    <w:p>
      <w:pPr>
        <w:spacing w:after="0" w:line="73" w:lineRule="exact"/>
        <w:rPr>
          <w:sz w:val="20"/>
          <w:szCs w:val="20"/>
          <w:color w:val="auto"/>
        </w:rPr>
      </w:pPr>
    </w:p>
    <w:p>
      <w:pPr>
        <w:ind w:left="660" w:right="180"/>
        <w:spacing w:after="0" w:line="259" w:lineRule="auto"/>
        <w:rPr>
          <w:sz w:val="20"/>
          <w:szCs w:val="20"/>
          <w:color w:val="auto"/>
        </w:rPr>
      </w:pPr>
      <w:r>
        <w:rPr>
          <w:rFonts w:ascii="Arial" w:cs="Arial" w:eastAsia="Arial" w:hAnsi="Arial"/>
          <w:sz w:val="18"/>
          <w:szCs w:val="18"/>
          <w:color w:val="auto"/>
        </w:rPr>
        <w:t xml:space="preserve">series of Securities;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any such change, elimination or addition (A) shall neither (i) apply to any Security Outstanding on the date of such indenture supplemental hereto nor (ii) modify the rights of the Holder of any such Security Outstanding with respect to such provision in effect prior to the date of such indenture supplemental hereto or (B) shall become effective only when no Security of such series remains Outstanding; or</w:t>
      </w:r>
    </w:p>
    <w:p>
      <w:pPr>
        <w:spacing w:after="0" w:line="187" w:lineRule="exact"/>
        <w:rPr>
          <w:sz w:val="20"/>
          <w:szCs w:val="20"/>
          <w:color w:val="auto"/>
        </w:rPr>
      </w:pPr>
    </w:p>
    <w:p>
      <w:pPr>
        <w:ind w:left="1520" w:hanging="215"/>
        <w:spacing w:after="0"/>
        <w:tabs>
          <w:tab w:leader="none" w:pos="1520" w:val="left"/>
        </w:tabs>
        <w:numPr>
          <w:ilvl w:val="0"/>
          <w:numId w:val="82"/>
        </w:numPr>
        <w:rPr>
          <w:rFonts w:ascii="Arial" w:cs="Arial" w:eastAsia="Arial" w:hAnsi="Arial"/>
          <w:sz w:val="17"/>
          <w:szCs w:val="17"/>
          <w:color w:val="auto"/>
        </w:rPr>
      </w:pPr>
      <w:r>
        <w:rPr>
          <w:rFonts w:ascii="Arial" w:cs="Arial" w:eastAsia="Arial" w:hAnsi="Arial"/>
          <w:sz w:val="17"/>
          <w:szCs w:val="17"/>
          <w:color w:val="auto"/>
        </w:rPr>
        <w:t>to add guarantees or collateral security with respect to the Securities of any series; or</w:t>
      </w:r>
    </w:p>
    <w:p>
      <w:pPr>
        <w:spacing w:after="0" w:line="277" w:lineRule="exact"/>
        <w:rPr>
          <w:rFonts w:ascii="Arial" w:cs="Arial" w:eastAsia="Arial" w:hAnsi="Arial"/>
          <w:sz w:val="17"/>
          <w:szCs w:val="17"/>
          <w:color w:val="auto"/>
        </w:rPr>
      </w:pPr>
    </w:p>
    <w:p>
      <w:pPr>
        <w:ind w:left="1520" w:hanging="215"/>
        <w:spacing w:after="0"/>
        <w:tabs>
          <w:tab w:leader="none" w:pos="1520" w:val="left"/>
        </w:tabs>
        <w:numPr>
          <w:ilvl w:val="0"/>
          <w:numId w:val="82"/>
        </w:numPr>
        <w:rPr>
          <w:rFonts w:ascii="Arial" w:cs="Arial" w:eastAsia="Arial" w:hAnsi="Arial"/>
          <w:sz w:val="16"/>
          <w:szCs w:val="16"/>
          <w:color w:val="auto"/>
        </w:rPr>
      </w:pPr>
      <w:r>
        <w:rPr>
          <w:rFonts w:ascii="Arial" w:cs="Arial" w:eastAsia="Arial" w:hAnsi="Arial"/>
          <w:sz w:val="16"/>
          <w:szCs w:val="16"/>
          <w:color w:val="auto"/>
        </w:rPr>
        <w:t>to establish for the issuance of and establish the form or terms and conditions of Securities of any series or Tranche thereof as permitted</w:t>
      </w:r>
    </w:p>
    <w:p>
      <w:pPr>
        <w:spacing w:after="0" w:line="73" w:lineRule="exact"/>
        <w:rPr>
          <w:sz w:val="20"/>
          <w:szCs w:val="20"/>
          <w:color w:val="auto"/>
        </w:rPr>
      </w:pPr>
    </w:p>
    <w:p>
      <w:pPr>
        <w:ind w:left="660" w:right="560"/>
        <w:spacing w:after="0" w:line="277" w:lineRule="auto"/>
        <w:rPr>
          <w:sz w:val="20"/>
          <w:szCs w:val="20"/>
          <w:color w:val="auto"/>
        </w:rPr>
      </w:pPr>
      <w:r>
        <w:rPr>
          <w:rFonts w:ascii="Arial" w:cs="Arial" w:eastAsia="Arial" w:hAnsi="Arial"/>
          <w:sz w:val="18"/>
          <w:szCs w:val="18"/>
          <w:color w:val="auto"/>
        </w:rPr>
        <w:t>by Section 301(b), and to establish the form of any certificates required to be furnished pursuant to the terms of this Indenture or any series of Securities; or</w:t>
      </w:r>
    </w:p>
    <w:p>
      <w:pPr>
        <w:spacing w:after="0" w:line="170" w:lineRule="exact"/>
        <w:rPr>
          <w:sz w:val="20"/>
          <w:szCs w:val="20"/>
          <w:color w:val="auto"/>
        </w:rPr>
      </w:pPr>
    </w:p>
    <w:p>
      <w:pPr>
        <w:ind w:left="1520" w:hanging="215"/>
        <w:spacing w:after="0"/>
        <w:tabs>
          <w:tab w:leader="none" w:pos="1520" w:val="left"/>
        </w:tabs>
        <w:numPr>
          <w:ilvl w:val="0"/>
          <w:numId w:val="83"/>
        </w:numPr>
        <w:rPr>
          <w:rFonts w:ascii="Arial" w:cs="Arial" w:eastAsia="Arial" w:hAnsi="Arial"/>
          <w:sz w:val="17"/>
          <w:szCs w:val="17"/>
          <w:color w:val="auto"/>
        </w:rPr>
      </w:pPr>
      <w:r>
        <w:rPr>
          <w:rFonts w:ascii="Arial" w:cs="Arial" w:eastAsia="Arial" w:hAnsi="Arial"/>
          <w:sz w:val="17"/>
          <w:szCs w:val="17"/>
          <w:color w:val="auto"/>
        </w:rPr>
        <w:t>to provide for uncertificated Securities in addition to or in place of all, or any series or Tranche of, certificated Securities; or</w:t>
      </w:r>
    </w:p>
    <w:p>
      <w:pPr>
        <w:spacing w:after="0" w:line="277" w:lineRule="exact"/>
        <w:rPr>
          <w:rFonts w:ascii="Arial" w:cs="Arial" w:eastAsia="Arial" w:hAnsi="Arial"/>
          <w:sz w:val="17"/>
          <w:szCs w:val="17"/>
          <w:color w:val="auto"/>
        </w:rPr>
      </w:pPr>
    </w:p>
    <w:p>
      <w:pPr>
        <w:ind w:left="1520" w:hanging="215"/>
        <w:spacing w:after="0"/>
        <w:tabs>
          <w:tab w:leader="none" w:pos="152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to evidence and provide for the acceptance of appointment hereunder by a separate or successor Trustee or co-trustee with respect to the</w:t>
      </w:r>
    </w:p>
    <w:p>
      <w:pPr>
        <w:spacing w:after="0" w:line="73" w:lineRule="exact"/>
        <w:rPr>
          <w:sz w:val="20"/>
          <w:szCs w:val="20"/>
          <w:color w:val="auto"/>
        </w:rPr>
      </w:pPr>
    </w:p>
    <w:p>
      <w:pPr>
        <w:ind w:left="660" w:right="260"/>
        <w:spacing w:after="0" w:line="277" w:lineRule="auto"/>
        <w:rPr>
          <w:sz w:val="20"/>
          <w:szCs w:val="20"/>
          <w:color w:val="auto"/>
        </w:rPr>
      </w:pPr>
      <w:r>
        <w:rPr>
          <w:rFonts w:ascii="Arial" w:cs="Arial" w:eastAsia="Arial" w:hAnsi="Arial"/>
          <w:sz w:val="18"/>
          <w:szCs w:val="18"/>
          <w:color w:val="auto"/>
        </w:rPr>
        <w:t>Securities of one or more series and to add to or change any of the provisions of this Indenture as shall be necessary to provide for or facilitate the administration of the trusts hereunder by more than one Trustee, pursuant to the requirements of Section 611(b); or</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(9) to change any place or places where (a) the principal of or premium, if any, or interest, if any, on all or any series of Securities, or any</w:t>
      </w:r>
    </w:p>
    <w:p>
      <w:pPr>
        <w:spacing w:after="0" w:line="73" w:lineRule="exact"/>
        <w:rPr>
          <w:sz w:val="20"/>
          <w:szCs w:val="20"/>
          <w:color w:val="auto"/>
        </w:rPr>
      </w:pPr>
    </w:p>
    <w:p>
      <w:pPr>
        <w:jc w:val="both"/>
        <w:ind w:left="660" w:right="40"/>
        <w:spacing w:after="0" w:line="264" w:lineRule="auto"/>
        <w:rPr>
          <w:sz w:val="20"/>
          <w:szCs w:val="20"/>
          <w:color w:val="auto"/>
        </w:rPr>
      </w:pPr>
      <w:r>
        <w:rPr>
          <w:rFonts w:ascii="Arial" w:cs="Arial" w:eastAsia="Arial" w:hAnsi="Arial"/>
          <w:sz w:val="18"/>
          <w:szCs w:val="18"/>
          <w:color w:val="auto"/>
        </w:rPr>
        <w:t>Tranche thereof, shall be payable, (b) all or any series of Securities, or any Tranche thereof, may be surrendered for registration or transfer, (c) all or any series of Securities, or any Tranche thereof, may be surrendered for exchange and (d) notices and demands to or upon the Company in respect of all or any series of Securities, or any Tranche thereof, and this Indenture may be served;</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(10) to supplement any of the provisions of this Indenture to such extent as shall be necessary to permit or facilitate the defeasance and</w:t>
      </w:r>
    </w:p>
    <w:p>
      <w:pPr>
        <w:spacing w:after="0" w:line="73" w:lineRule="exact"/>
        <w:rPr>
          <w:sz w:val="20"/>
          <w:szCs w:val="20"/>
          <w:color w:val="auto"/>
        </w:rPr>
      </w:pPr>
    </w:p>
    <w:p>
      <w:pPr>
        <w:ind w:left="660" w:right="300"/>
        <w:spacing w:after="0" w:line="308" w:lineRule="auto"/>
        <w:rPr>
          <w:sz w:val="20"/>
          <w:szCs w:val="20"/>
          <w:color w:val="auto"/>
        </w:rPr>
      </w:pPr>
      <w:r>
        <w:rPr>
          <w:rFonts w:ascii="Arial" w:cs="Arial" w:eastAsia="Arial" w:hAnsi="Arial"/>
          <w:sz w:val="17"/>
          <w:szCs w:val="17"/>
          <w:color w:val="auto"/>
        </w:rPr>
        <w:t>discharge of any series of Securities, or any Tranche thereof, pursuant to Article Four, provided that any such action shall not adversely affect the interests of the Holders of Securities of such series or Tranche or any other series of Securities in any material respect;</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(11) (i) to cure any ambiguity or to correct or supplement any provision contained herein or in any supplemental indenture that may be</w:t>
      </w:r>
    </w:p>
    <w:p>
      <w:pPr>
        <w:spacing w:after="0" w:line="61" w:lineRule="exact"/>
        <w:rPr>
          <w:sz w:val="20"/>
          <w:szCs w:val="20"/>
          <w:color w:val="auto"/>
        </w:rPr>
      </w:pPr>
    </w:p>
    <w:p>
      <w:pPr>
        <w:ind w:left="660" w:right="240"/>
        <w:spacing w:after="0" w:line="264" w:lineRule="auto"/>
        <w:rPr>
          <w:sz w:val="20"/>
          <w:szCs w:val="20"/>
          <w:color w:val="auto"/>
        </w:rPr>
      </w:pPr>
      <w:r>
        <w:rPr>
          <w:rFonts w:ascii="Arial" w:cs="Arial" w:eastAsia="Arial" w:hAnsi="Arial"/>
          <w:sz w:val="18"/>
          <w:szCs w:val="18"/>
          <w:color w:val="auto"/>
        </w:rPr>
        <w:t>defective or inconsistent with any other provision contained herein or in any supplemental indenture or (ii) to conform the terms of any series of Securities, or Tranche thereof, to the description thereof in the prospectus and prospectus supplement (or similar offering document) offering such series of Securities, or Tranche thereof; or</w:t>
      </w:r>
    </w:p>
    <w:p>
      <w:pPr>
        <w:spacing w:after="0" w:line="181" w:lineRule="exact"/>
        <w:rPr>
          <w:sz w:val="20"/>
          <w:szCs w:val="20"/>
          <w:color w:val="auto"/>
        </w:rPr>
      </w:pPr>
    </w:p>
    <w:p>
      <w:pPr>
        <w:ind w:left="660" w:right="100" w:firstLine="645"/>
        <w:spacing w:after="0" w:line="395" w:lineRule="auto"/>
        <w:tabs>
          <w:tab w:leader="none" w:pos="1622" w:val="left"/>
        </w:tabs>
        <w:numPr>
          <w:ilvl w:val="0"/>
          <w:numId w:val="84"/>
        </w:numPr>
        <w:rPr>
          <w:rFonts w:ascii="Arial" w:cs="Arial" w:eastAsia="Arial" w:hAnsi="Arial"/>
          <w:sz w:val="16"/>
          <w:szCs w:val="16"/>
          <w:color w:val="auto"/>
        </w:rPr>
      </w:pPr>
      <w:r>
        <w:rPr>
          <w:rFonts w:ascii="Arial" w:cs="Arial" w:eastAsia="Arial" w:hAnsi="Arial"/>
          <w:sz w:val="16"/>
          <w:szCs w:val="16"/>
          <w:color w:val="auto"/>
        </w:rPr>
        <w:t xml:space="preserve">to make any other provisions with respect to matters or questions arising under this Indenture,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such action shall not adversely affect the interests of the Holders of any Securities of any series or Tranche Outstanding on the date of such indenture supplemental hereto.</w:t>
      </w:r>
    </w:p>
    <w:p>
      <w:pPr>
        <w:spacing w:after="0" w:line="83" w:lineRule="exact"/>
        <w:rPr>
          <w:sz w:val="20"/>
          <w:szCs w:val="20"/>
          <w:color w:val="auto"/>
        </w:rPr>
      </w:pPr>
    </w:p>
    <w:p>
      <w:pPr>
        <w:ind w:right="500" w:firstLine="1297"/>
        <w:spacing w:after="0" w:line="277" w:lineRule="auto"/>
        <w:rPr>
          <w:sz w:val="20"/>
          <w:szCs w:val="20"/>
          <w:color w:val="auto"/>
        </w:rPr>
      </w:pPr>
      <w:r>
        <w:rPr>
          <w:rFonts w:ascii="Arial" w:cs="Arial" w:eastAsia="Arial" w:hAnsi="Arial"/>
          <w:sz w:val="18"/>
          <w:szCs w:val="18"/>
          <w:color w:val="auto"/>
        </w:rPr>
        <w:t>Without limiting the generality of the foregoing, if the Trust Indenture Act as in effect at the date of the execution and delivery of this Indenture or at any time thereafter becomes amended and</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(x) if any such amendment requires one or more changes to any provisions hereof or the inclusion herein of any additional provisions, or by</w:t>
      </w:r>
    </w:p>
    <w:p>
      <w:pPr>
        <w:spacing w:after="0" w:line="73"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operation of law is deemed to effect such changes or incorporate such provisions by reference or otherwise, this Indenture shall be deemed to have been amended so as to conform to such amendment to the Trust Indenture Act, and the Company and the Trustee may, without the consent of any Holders, enter into an indenture supplemental hereto to effect or evidence such changes or additional provisions; or</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(y) if any such amendment permits one or more changes to, or the elimination of, any provisions hereof that, at the date hereof or at any time</w:t>
      </w:r>
    </w:p>
    <w:p>
      <w:pPr>
        <w:spacing w:after="0" w:line="7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thereafter, are required by the Trust Indenture Act to be contained herein (or if it is no longer required by the Trust Indenture Act for the Indenture to contain one or more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720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77" w:name="page78"/>
    <w:bookmarkEnd w:id="77"/>
    <w:p>
      <w:pPr>
        <w:ind w:right="220"/>
        <w:spacing w:after="0" w:line="277" w:lineRule="auto"/>
        <w:rPr>
          <w:sz w:val="20"/>
          <w:szCs w:val="20"/>
          <w:color w:val="auto"/>
        </w:rPr>
      </w:pPr>
      <w:r>
        <w:rPr>
          <w:rFonts w:ascii="Arial" w:cs="Arial" w:eastAsia="Arial" w:hAnsi="Arial"/>
          <w:sz w:val="18"/>
          <w:szCs w:val="18"/>
          <w:color w:val="auto"/>
        </w:rPr>
        <w:t>provisions), this Indenture shall be deemed to have been amended to effect such changes or elimination, and the Company and the Trustee may, without the consent of any Holders, enter into an indenture supplemental hereto to evidence such amendment hereof; or</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(z) if, by reason of any such amendment, it shall be no longer necessary for this Indenture to contain one or more provisions that, at the date</w:t>
      </w:r>
    </w:p>
    <w:p>
      <w:pPr>
        <w:spacing w:after="0" w:line="7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of the execution and delivery hereof, are required by the Trust Indenture Act to be contained herein, the Company and the Trustee may, without the consent of any Holders, enter into an indenture supplemental hereto to effect the elimination of such provisions.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SECTION 902. </w:t>
      </w:r>
      <w:r>
        <w:rPr>
          <w:rFonts w:ascii="Arial" w:cs="Arial" w:eastAsia="Arial" w:hAnsi="Arial"/>
          <w:sz w:val="16"/>
          <w:szCs w:val="16"/>
          <w:i w:val="1"/>
          <w:iCs w:val="1"/>
          <w:color w:val="auto"/>
        </w:rPr>
        <w:t>Supplemental Indentures With Consent of Holders</w:t>
      </w:r>
      <w:r>
        <w:rPr>
          <w:rFonts w:ascii="Arial" w:cs="Arial" w:eastAsia="Arial" w:hAnsi="Arial"/>
          <w:sz w:val="16"/>
          <w:szCs w:val="16"/>
          <w:color w:val="auto"/>
        </w:rPr>
        <w:t>. (a) Except as set forth in paragraph (b) below, with the consent of the</w:t>
      </w:r>
    </w:p>
    <w:p>
      <w:pPr>
        <w:spacing w:after="0" w:line="7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Holders of not less than a majority in aggregate principal amount of the Outstanding Securities of each series affected (voting as one class) by such supplemental indenture, by Act of said Holders delivered to the Company and the Trustee, the Company, when authorized by a resolution of its Board of Directors (which resolution may provide general terms or parameters for such action and may provide that the specific terms of such action may be determined in accordance with or pursuant to a Company Order), and the Trustee may, from time to time and at any time, enter into an indenture or indentures supplemental hereto for the purpose of adding any provisions to or changing in any manner or eliminating any of the provisions of this Indenture or of any supplemental indenture or of modifying in any manner the rights of the Holders of the Securities of each such series or of modifying in any manner the rights of the Holders of Securities of such series under this Indenture;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if there are Securities of more than one series of equal ranking Outstanding hereunder and if a proposed supplemental indenture shall directly affect the rights of the Holders of Securities of one or more, but less than all, of such series, then the consent only of the Holders of not less than a majority in aggregate principal amount of the Outstanding Securities of all series so directly affected, considered as one class, shall be required.</w:t>
      </w:r>
    </w:p>
    <w:p>
      <w:pPr>
        <w:spacing w:after="0" w:line="17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 No such supplemental indenture shall, without the consent of the Holder of each Outstanding Security affected thereby,</w:t>
      </w:r>
    </w:p>
    <w:p>
      <w:pPr>
        <w:spacing w:after="0" w:line="266"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(1) change the Stated Maturity of the principal of, or any installment of principal of or interest on, any Security, or reduce the principal</w:t>
      </w:r>
    </w:p>
    <w:p>
      <w:pPr>
        <w:spacing w:after="0" w:line="61" w:lineRule="exact"/>
        <w:rPr>
          <w:sz w:val="20"/>
          <w:szCs w:val="20"/>
          <w:color w:val="auto"/>
        </w:rPr>
      </w:pPr>
    </w:p>
    <w:p>
      <w:pPr>
        <w:ind w:left="660" w:right="40"/>
        <w:spacing w:after="0" w:line="254" w:lineRule="auto"/>
        <w:rPr>
          <w:sz w:val="20"/>
          <w:szCs w:val="20"/>
          <w:color w:val="auto"/>
        </w:rPr>
      </w:pPr>
      <w:r>
        <w:rPr>
          <w:rFonts w:ascii="Arial" w:cs="Arial" w:eastAsia="Arial" w:hAnsi="Arial"/>
          <w:sz w:val="18"/>
          <w:szCs w:val="18"/>
          <w:color w:val="auto"/>
        </w:rPr>
        <w:t>amount or premium, if any, thereof or the rate of interest thereon (or the amount of any installment of interest thereon) or any premium payable upon the redemption thereof, or change the method of calculating the rate of interest thereon, or reduce the amount of the principal of an Original Issue Discount Security that would be due and payable upon a declaration of acceleration of the Maturity thereof pursuant to Section 502, or change the coin or currency (or other property) in which, any Security or any premium or the interest thereon is payable, or impair the right to institute suit for the enforcement of any such payment on or after the Stated Maturity thereof (or, in the case of redemption, on or after the Redemption Date, or, in the case of repayment at the option of the Holders, on or after the Repayment Date), or modify any provisions of this Indenture with respect to the conversion or exchange of the Securities into Securities of another series or into any other debt or equity securities in a manner adverse to the Holders, or</w:t>
      </w:r>
    </w:p>
    <w:p>
      <w:pPr>
        <w:spacing w:after="0" w:line="192"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(2) reduce the percentage in principal amount of the Outstanding Securities of any series, the consent of whose Holders is required for any</w:t>
      </w:r>
    </w:p>
    <w:p>
      <w:pPr>
        <w:spacing w:after="0" w:line="73" w:lineRule="exact"/>
        <w:rPr>
          <w:sz w:val="20"/>
          <w:szCs w:val="20"/>
          <w:color w:val="auto"/>
        </w:rPr>
      </w:pPr>
    </w:p>
    <w:p>
      <w:pPr>
        <w:ind w:left="660" w:right="200"/>
        <w:spacing w:after="0" w:line="277" w:lineRule="auto"/>
        <w:rPr>
          <w:sz w:val="20"/>
          <w:szCs w:val="20"/>
          <w:color w:val="auto"/>
        </w:rPr>
      </w:pPr>
      <w:r>
        <w:rPr>
          <w:rFonts w:ascii="Arial" w:cs="Arial" w:eastAsia="Arial" w:hAnsi="Arial"/>
          <w:sz w:val="18"/>
          <w:szCs w:val="18"/>
          <w:color w:val="auto"/>
        </w:rPr>
        <w:t>such supplemental indenture, or the consent of whose Holders is required for any waiver of compliance with certain provisions of this Indenture or certain defaults hereunder and their consequences provided for in this Indenture, or</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(3) modify any of the provisions of this Section, Section 513 or Section 1008, except to increase any such percentage or to provide that</w:t>
      </w:r>
    </w:p>
    <w:p>
      <w:pPr>
        <w:spacing w:after="0" w:line="73" w:lineRule="exact"/>
        <w:rPr>
          <w:sz w:val="20"/>
          <w:szCs w:val="20"/>
          <w:color w:val="auto"/>
        </w:rPr>
      </w:pPr>
    </w:p>
    <w:p>
      <w:pPr>
        <w:ind w:left="660" w:right="40"/>
        <w:spacing w:after="0" w:line="259" w:lineRule="auto"/>
        <w:rPr>
          <w:sz w:val="20"/>
          <w:szCs w:val="20"/>
          <w:color w:val="auto"/>
        </w:rPr>
      </w:pPr>
      <w:r>
        <w:rPr>
          <w:rFonts w:ascii="Arial" w:cs="Arial" w:eastAsia="Arial" w:hAnsi="Arial"/>
          <w:sz w:val="18"/>
          <w:szCs w:val="18"/>
          <w:color w:val="auto"/>
        </w:rPr>
        <w:t xml:space="preserve">certain other provisions of this Indenture cannot be modified or waived without the consent of the Holder of each Outstanding Security affected thereby,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this clause shall not be deemed to require the consent of any Holder with respect to changes in the references to “the Trustee” and concomitant changes in this Section and Section 1008, or the deletion of this proviso, in accordance with the requirements of Sections 611(b) and 901(8).</w:t>
      </w:r>
    </w:p>
    <w:p>
      <w:pPr>
        <w:spacing w:after="0" w:line="187" w:lineRule="exact"/>
        <w:rPr>
          <w:sz w:val="20"/>
          <w:szCs w:val="20"/>
          <w:color w:val="auto"/>
        </w:rPr>
      </w:pPr>
    </w:p>
    <w:p>
      <w:pPr>
        <w:ind w:right="200" w:firstLine="1297"/>
        <w:spacing w:after="0" w:line="312" w:lineRule="auto"/>
        <w:rPr>
          <w:sz w:val="20"/>
          <w:szCs w:val="20"/>
          <w:color w:val="auto"/>
        </w:rPr>
      </w:pPr>
      <w:r>
        <w:rPr>
          <w:rFonts w:ascii="Arial" w:cs="Arial" w:eastAsia="Arial" w:hAnsi="Arial"/>
          <w:sz w:val="16"/>
          <w:szCs w:val="16"/>
          <w:color w:val="auto"/>
        </w:rPr>
        <w:t>A supplemental indenture that changes or eliminates any covenant or other provision of this Indenture that has expressly been included solely for the benefit of one or more particular series of Securities, or that modifies the rights of the Holders of Securities of such series with respect to such covenant or other provision, shall be deemed not to affect the rights under this Indenture of the Holders of Securities of any other series.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720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78" w:name="page79"/>
    <w:bookmarkEnd w:id="78"/>
    <w:p>
      <w:pPr>
        <w:jc w:val="both"/>
        <w:ind w:right="160" w:firstLine="1297"/>
        <w:spacing w:after="0" w:line="264" w:lineRule="auto"/>
        <w:rPr>
          <w:sz w:val="20"/>
          <w:szCs w:val="20"/>
          <w:color w:val="auto"/>
        </w:rPr>
      </w:pPr>
      <w:r>
        <w:rPr>
          <w:rFonts w:ascii="Arial" w:cs="Arial" w:eastAsia="Arial" w:hAnsi="Arial"/>
          <w:sz w:val="18"/>
          <w:szCs w:val="18"/>
          <w:color w:val="auto"/>
        </w:rPr>
        <w:t>It shall not be necessary for any Act of Holders under this Section to approve the particular form of any proposed supplemental indenture, but it shall be sufficient if such Act shall approve the substance thereof. A waiver by a Holder of such Holder’s rights to consent under this Section shall be deemed to be a consent of such Holder.</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 xml:space="preserve">SECTION 903. </w:t>
      </w:r>
      <w:r>
        <w:rPr>
          <w:rFonts w:ascii="Arial" w:cs="Arial" w:eastAsia="Arial" w:hAnsi="Arial"/>
          <w:sz w:val="17"/>
          <w:szCs w:val="17"/>
          <w:i w:val="1"/>
          <w:iCs w:val="1"/>
          <w:color w:val="auto"/>
        </w:rPr>
        <w:t>Execution of Supplemental Indentures</w:t>
      </w:r>
      <w:r>
        <w:rPr>
          <w:rFonts w:ascii="Arial" w:cs="Arial" w:eastAsia="Arial" w:hAnsi="Arial"/>
          <w:sz w:val="17"/>
          <w:szCs w:val="17"/>
          <w:color w:val="auto"/>
        </w:rPr>
        <w:t>. In executing, or accepting the additional trusts created by, any supplemental</w:t>
      </w:r>
    </w:p>
    <w:p>
      <w:pPr>
        <w:spacing w:after="0" w:line="6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indenture permitted by this Article or the modifications thereby of the trusts created by this Indenture, the Trustee shall be entitled to receive, and (subject to Section 601) shall be fully protected in relying upon, an Opinion of Counsel stating that the execution of such supplemental indenture is authorized or permitted by this Indenture. The Trustee may, but shall not be obligated to, enter into any such supplemental indenture that affects the Trustee’s own rights, duties or immunities under this Indenture or otherwise.</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SECTION 904. </w:t>
      </w:r>
      <w:r>
        <w:rPr>
          <w:rFonts w:ascii="Arial" w:cs="Arial" w:eastAsia="Arial" w:hAnsi="Arial"/>
          <w:sz w:val="16"/>
          <w:szCs w:val="16"/>
          <w:i w:val="1"/>
          <w:iCs w:val="1"/>
          <w:color w:val="auto"/>
        </w:rPr>
        <w:t>Effect of Supplemental Indentures</w:t>
      </w:r>
      <w:r>
        <w:rPr>
          <w:rFonts w:ascii="Arial" w:cs="Arial" w:eastAsia="Arial" w:hAnsi="Arial"/>
          <w:sz w:val="16"/>
          <w:szCs w:val="16"/>
          <w:color w:val="auto"/>
        </w:rPr>
        <w:t>. Upon the execution of any supplemental indenture under this Article, this Indenture shall</w:t>
      </w:r>
    </w:p>
    <w:p>
      <w:pPr>
        <w:spacing w:after="0" w:line="7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be modified in accordance therewith, and such supplemental indenture shall form a part of this Indenture for all purposes; and every Holder of Securities theretofore or thereafter authenticated and delivered hereunder shall be bound thereby. Any supplemental indenture permitted by this Article may restate this Indenture in its entirety, and, upon the execution and delivery thereof, any such restatement shall supersede this Indenture as theretofore in effect for all purposes.</w:t>
      </w:r>
    </w:p>
    <w:p>
      <w:pPr>
        <w:spacing w:after="0" w:line="187" w:lineRule="exact"/>
        <w:rPr>
          <w:sz w:val="20"/>
          <w:szCs w:val="20"/>
          <w:color w:val="auto"/>
        </w:rPr>
      </w:pPr>
    </w:p>
    <w:p>
      <w:pPr>
        <w:ind w:right="200" w:firstLine="1297"/>
        <w:spacing w:after="0" w:line="324" w:lineRule="auto"/>
        <w:rPr>
          <w:sz w:val="20"/>
          <w:szCs w:val="20"/>
          <w:color w:val="auto"/>
        </w:rPr>
      </w:pPr>
      <w:r>
        <w:rPr>
          <w:rFonts w:ascii="Arial" w:cs="Arial" w:eastAsia="Arial" w:hAnsi="Arial"/>
          <w:sz w:val="18"/>
          <w:szCs w:val="18"/>
          <w:color w:val="auto"/>
        </w:rPr>
        <w:t xml:space="preserve">SECTION 905. </w:t>
      </w:r>
      <w:r>
        <w:rPr>
          <w:rFonts w:ascii="Arial" w:cs="Arial" w:eastAsia="Arial" w:hAnsi="Arial"/>
          <w:sz w:val="18"/>
          <w:szCs w:val="18"/>
          <w:i w:val="1"/>
          <w:iCs w:val="1"/>
          <w:color w:val="auto"/>
        </w:rPr>
        <w:t>Conformity With Trust Indenture Act</w:t>
      </w:r>
      <w:r>
        <w:rPr>
          <w:rFonts w:ascii="Arial" w:cs="Arial" w:eastAsia="Arial" w:hAnsi="Arial"/>
          <w:sz w:val="18"/>
          <w:szCs w:val="18"/>
          <w:color w:val="auto"/>
        </w:rPr>
        <w:t>. Every supplemental indenture executed pursuant to this Article shall conform to the requirements of the Trust Indenture Act as then in effect.</w:t>
      </w:r>
    </w:p>
    <w:p>
      <w:pPr>
        <w:spacing w:after="0" w:line="13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SECTION 906. </w:t>
      </w:r>
      <w:r>
        <w:rPr>
          <w:rFonts w:ascii="Arial" w:cs="Arial" w:eastAsia="Arial" w:hAnsi="Arial"/>
          <w:sz w:val="16"/>
          <w:szCs w:val="16"/>
          <w:i w:val="1"/>
          <w:iCs w:val="1"/>
          <w:color w:val="auto"/>
        </w:rPr>
        <w:t>Reference in Securities to Supplemental Indentures</w:t>
      </w:r>
      <w:r>
        <w:rPr>
          <w:rFonts w:ascii="Arial" w:cs="Arial" w:eastAsia="Arial" w:hAnsi="Arial"/>
          <w:sz w:val="16"/>
          <w:szCs w:val="16"/>
          <w:color w:val="auto"/>
        </w:rPr>
        <w:t>. Securities of any series, or any Tranche thereof, authenticated and</w:t>
      </w:r>
    </w:p>
    <w:p>
      <w:pPr>
        <w:spacing w:after="0" w:line="7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delivered after the execution of any supplemental indenture pursuant to this Article may, and shall if required by the Trustee, bear a notation in form approved by the Trustee as to any matter provided for in such supplemental indenture. If the Company so determines, new Securities of any series, or any Tranche thereof, so modified as to conform, in the opinion of the Trustee and the Company, to any such supplemental indenture may be prepared and executed by the Company and authenticated and delivered by the Trustee in exchange for Outstanding Securities of such series or Tranche.</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 xml:space="preserve">SECTION 907. </w:t>
      </w:r>
      <w:r>
        <w:rPr>
          <w:rFonts w:ascii="Arial" w:cs="Arial" w:eastAsia="Arial" w:hAnsi="Arial"/>
          <w:sz w:val="17"/>
          <w:szCs w:val="17"/>
          <w:i w:val="1"/>
          <w:iCs w:val="1"/>
          <w:color w:val="auto"/>
        </w:rPr>
        <w:t>Revocation and Effect of Consents</w:t>
      </w:r>
      <w:r>
        <w:rPr>
          <w:rFonts w:ascii="Arial" w:cs="Arial" w:eastAsia="Arial" w:hAnsi="Arial"/>
          <w:sz w:val="17"/>
          <w:szCs w:val="17"/>
          <w:color w:val="auto"/>
        </w:rPr>
        <w:t>. Until an amendment or waiver becomes effective, a consent to it by a Holder of a</w:t>
      </w:r>
    </w:p>
    <w:p>
      <w:pPr>
        <w:spacing w:after="0" w:line="61" w:lineRule="exact"/>
        <w:rPr>
          <w:sz w:val="20"/>
          <w:szCs w:val="20"/>
          <w:color w:val="auto"/>
        </w:rPr>
      </w:pPr>
    </w:p>
    <w:p>
      <w:pPr>
        <w:ind w:right="240"/>
        <w:spacing w:after="0" w:line="297" w:lineRule="auto"/>
        <w:rPr>
          <w:sz w:val="20"/>
          <w:szCs w:val="20"/>
          <w:color w:val="auto"/>
        </w:rPr>
      </w:pPr>
      <w:r>
        <w:rPr>
          <w:rFonts w:ascii="Arial" w:cs="Arial" w:eastAsia="Arial" w:hAnsi="Arial"/>
          <w:sz w:val="16"/>
          <w:szCs w:val="16"/>
          <w:color w:val="auto"/>
        </w:rPr>
        <w:t>Security is a continuing consent by the Holder and every subsequent Holder of a Security or portion of a Security that evidences the same debt as the consenting Holder’s Security, even if notation of the consent is not made on any Security. However, any such Holder or subsequent Holder may revoke the consent as to his Security or portion of a Security if the Trustee receives the notice of revocation before the date on which the Trustee receives an Officer’s Certificate certifying that the Holders of the requisite principal amount of Securities have consented to the amendment or waiver. After an amendment or waiver becomes effective, it shall bind every Holder of each series of Securities affected by such amendment or waiver.</w:t>
      </w:r>
    </w:p>
    <w:p>
      <w:pPr>
        <w:spacing w:after="0" w:line="158" w:lineRule="exact"/>
        <w:rPr>
          <w:sz w:val="20"/>
          <w:szCs w:val="20"/>
          <w:color w:val="auto"/>
        </w:rPr>
      </w:pPr>
    </w:p>
    <w:p>
      <w:pPr>
        <w:ind w:right="60" w:firstLine="1297"/>
        <w:spacing w:after="0" w:line="279" w:lineRule="auto"/>
        <w:rPr>
          <w:sz w:val="20"/>
          <w:szCs w:val="20"/>
          <w:color w:val="auto"/>
        </w:rPr>
      </w:pPr>
      <w:r>
        <w:rPr>
          <w:rFonts w:ascii="Arial" w:cs="Arial" w:eastAsia="Arial" w:hAnsi="Arial"/>
          <w:sz w:val="17"/>
          <w:szCs w:val="17"/>
          <w:color w:val="auto"/>
        </w:rPr>
        <w:t>The Company may, but shall not be obligated to, fix a record date for the purpose of determining the Holders entitled to consent to any amendment or waiver. If a record date is fixed, then notwithstanding the provisions of the immediately preceding paragraph, those persons who were Holders at such record date (or their duly designated proxies), and only those persons, shall be entitled to consent to such amendment or waiver or to revoke any consent previously given, whether or not such persons continue to be Holders after such record date.</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After an amendment or waiver becomes effective it shall bind every Holder, unless it is of the type described in any of clauses (1) through</w:t>
      </w:r>
    </w:p>
    <w:p>
      <w:pPr>
        <w:spacing w:after="0" w:line="46" w:lineRule="exact"/>
        <w:rPr>
          <w:sz w:val="20"/>
          <w:szCs w:val="20"/>
          <w:color w:val="auto"/>
        </w:rPr>
      </w:pPr>
    </w:p>
    <w:p>
      <w:pPr>
        <w:ind w:right="160" w:firstLine="8"/>
        <w:spacing w:after="0" w:line="261" w:lineRule="auto"/>
        <w:tabs>
          <w:tab w:leader="none" w:pos="255" w:val="left"/>
        </w:tabs>
        <w:numPr>
          <w:ilvl w:val="0"/>
          <w:numId w:val="85"/>
        </w:numPr>
        <w:rPr>
          <w:rFonts w:ascii="Arial" w:cs="Arial" w:eastAsia="Arial" w:hAnsi="Arial"/>
          <w:sz w:val="18"/>
          <w:szCs w:val="18"/>
          <w:color w:val="auto"/>
        </w:rPr>
      </w:pPr>
      <w:r>
        <w:rPr>
          <w:rFonts w:ascii="Arial" w:cs="Arial" w:eastAsia="Arial" w:hAnsi="Arial"/>
          <w:sz w:val="18"/>
          <w:szCs w:val="18"/>
          <w:color w:val="auto"/>
        </w:rPr>
        <w:t>of Section 902(c). In such case, the amendment or waiver shall bind each Holder of a Security who has consented to it and every subsequent Holder of a Security that evidences the same debt as the consenting Holder’s Security.</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SECTION 908. </w:t>
      </w:r>
      <w:r>
        <w:rPr>
          <w:rFonts w:ascii="Arial" w:cs="Arial" w:eastAsia="Arial" w:hAnsi="Arial"/>
          <w:sz w:val="16"/>
          <w:szCs w:val="16"/>
          <w:i w:val="1"/>
          <w:iCs w:val="1"/>
          <w:color w:val="auto"/>
        </w:rPr>
        <w:t>Modification Without Supplemental Indenture</w:t>
      </w:r>
      <w:r>
        <w:rPr>
          <w:rFonts w:ascii="Arial" w:cs="Arial" w:eastAsia="Arial" w:hAnsi="Arial"/>
          <w:sz w:val="16"/>
          <w:szCs w:val="16"/>
          <w:color w:val="auto"/>
        </w:rPr>
        <w:t>. If the terms of any particular series of Securities have been established in a</w:t>
      </w:r>
    </w:p>
    <w:p>
      <w:pPr>
        <w:spacing w:after="0" w:line="7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Board Resolution or an Officer’s Certificate as contemplated by Section 301, and not in an indenture supplemental hereto, additions to, changes in or the elimination of any of such terms may be effected by means of a supplemental Board Resolution or Officer’s Certificate, as the case may be, delivered to, and accepted by, the Trustee; </w:t>
      </w:r>
      <w:r>
        <w:rPr>
          <w:rFonts w:ascii="Arial" w:cs="Arial" w:eastAsia="Arial" w:hAnsi="Arial"/>
          <w:sz w:val="18"/>
          <w:szCs w:val="18"/>
          <w:i w:val="1"/>
          <w:iCs w:val="1"/>
          <w:color w:val="auto"/>
        </w:rPr>
        <w:t>provided, however</w:t>
      </w:r>
      <w:r>
        <w:rPr>
          <w:rFonts w:ascii="Arial" w:cs="Arial" w:eastAsia="Arial" w:hAnsi="Arial"/>
          <w:sz w:val="18"/>
          <w:szCs w:val="18"/>
          <w:color w:val="auto"/>
        </w:rPr>
        <w:t>, that such supplemental Board Resolution or Officer’s Certificate shall not be accepted by the Trustee or otherwise be effective unless all conditions set forth in this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720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79" w:name="page80"/>
    <w:bookmarkEnd w:id="79"/>
    <w:p>
      <w:pPr>
        <w:ind w:right="140"/>
        <w:spacing w:after="0" w:line="264" w:lineRule="auto"/>
        <w:rPr>
          <w:sz w:val="20"/>
          <w:szCs w:val="20"/>
          <w:color w:val="auto"/>
        </w:rPr>
      </w:pPr>
      <w:r>
        <w:rPr>
          <w:rFonts w:ascii="Arial" w:cs="Arial" w:eastAsia="Arial" w:hAnsi="Arial"/>
          <w:sz w:val="18"/>
          <w:szCs w:val="18"/>
          <w:color w:val="auto"/>
        </w:rPr>
        <w:t>Indenture that would be required to be satisfied if such additions, changes or elimination were contained in a supplemental indenture shall have been appropriately satisfied. Upon the acceptance thereof by the Trustee, any such supplemental Board Resolution or Officer’s Certificate shall be deemed to be a “supplemental indenture” for purposes of Sections 904 and 906.</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TEN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COVENANTS</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SECTION 1001. </w:t>
      </w:r>
      <w:r>
        <w:rPr>
          <w:rFonts w:ascii="Arial" w:cs="Arial" w:eastAsia="Arial" w:hAnsi="Arial"/>
          <w:sz w:val="16"/>
          <w:szCs w:val="16"/>
          <w:i w:val="1"/>
          <w:iCs w:val="1"/>
          <w:color w:val="auto"/>
        </w:rPr>
        <w:t>Payment of Principal, Premium and Interest</w:t>
      </w:r>
      <w:r>
        <w:rPr>
          <w:rFonts w:ascii="Arial" w:cs="Arial" w:eastAsia="Arial" w:hAnsi="Arial"/>
          <w:sz w:val="16"/>
          <w:szCs w:val="16"/>
          <w:color w:val="auto"/>
        </w:rPr>
        <w:t>. (a) Subject to the following provisions, the Company will pay to the Trustee</w:t>
      </w:r>
    </w:p>
    <w:p>
      <w:pPr>
        <w:spacing w:after="0" w:line="73"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amounts, in such coin or currency as is at the time legal tender for the payment of public or private debt, in the manner, at the times and for the purposes set forth herein and in the text of the Securities for each series, and the Company hereby authorizes and directs the Trustee from funds so paid to it to make or cause to be made payment of the principal of and any premium and interest on the Securities of each series as set forth herein and in the text of such Securities. Unless otherwise provided in the Securities of a series, the Trustee will arrange directly with any Paying Agents for the payment, or the Trustee will make payment, from funds furnished by the Company, of the principal of and any premium and interest, on the Securities of each series by check or draft.</w:t>
      </w:r>
    </w:p>
    <w:p>
      <w:pPr>
        <w:spacing w:after="0" w:line="158"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(b) Unless otherwise provided in the Securities of a series, interest, if any, on Securities of a series shall be paid by check or draft on each</w:t>
      </w:r>
    </w:p>
    <w:p>
      <w:pPr>
        <w:spacing w:after="0" w:line="7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 xml:space="preserve">Interest Payment Date for such series to the Holder thereof at the close of business on the Regular Record Date specified in the Securities of such series;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interest payable at Maturity will be paid to the Person to whom principal is payable. The Company may pay such interest by check or</w:t>
      </w:r>
      <w:r>
        <w:rPr>
          <w:rFonts w:ascii="Arial" w:cs="Arial" w:eastAsia="Arial" w:hAnsi="Arial"/>
          <w:sz w:val="18"/>
          <w:szCs w:val="18"/>
          <w:i w:val="1"/>
          <w:iCs w:val="1"/>
          <w:color w:val="auto"/>
        </w:rPr>
        <w:t xml:space="preserve"> </w:t>
      </w:r>
      <w:r>
        <w:rPr>
          <w:rFonts w:ascii="Arial" w:cs="Arial" w:eastAsia="Arial" w:hAnsi="Arial"/>
          <w:sz w:val="18"/>
          <w:szCs w:val="18"/>
          <w:color w:val="auto"/>
        </w:rPr>
        <w:t>draft mailed to such Holder’s address as it appears on the register for Securities of such series. Unless otherwise provided in the Securities of a series, principal of Securities shall be payable by check or draft and only against presentation and surrender of such Securities at the office of the Paying Agent, unless the Company shall have otherwise instructed the Trustee in writing.</w:t>
      </w:r>
    </w:p>
    <w:p>
      <w:pPr>
        <w:spacing w:after="0" w:line="188" w:lineRule="exact"/>
        <w:rPr>
          <w:sz w:val="20"/>
          <w:szCs w:val="20"/>
          <w:color w:val="auto"/>
        </w:rPr>
      </w:pPr>
    </w:p>
    <w:p>
      <w:pPr>
        <w:ind w:right="40" w:firstLine="1305"/>
        <w:spacing w:after="0" w:line="357" w:lineRule="auto"/>
        <w:tabs>
          <w:tab w:leader="none" w:pos="1510" w:val="left"/>
        </w:tabs>
        <w:numPr>
          <w:ilvl w:val="0"/>
          <w:numId w:val="86"/>
        </w:numPr>
        <w:rPr>
          <w:rFonts w:ascii="Arial" w:cs="Arial" w:eastAsia="Arial" w:hAnsi="Arial"/>
          <w:sz w:val="17"/>
          <w:szCs w:val="17"/>
          <w:color w:val="auto"/>
        </w:rPr>
      </w:pPr>
      <w:r>
        <w:rPr>
          <w:rFonts w:ascii="Arial" w:cs="Arial" w:eastAsia="Arial" w:hAnsi="Arial"/>
          <w:sz w:val="17"/>
          <w:szCs w:val="17"/>
          <w:color w:val="auto"/>
        </w:rPr>
        <w:t>At the election of the Company, any payments by the Company provided for in this Indenture or in any of the Securities may be made by electronic funds transfer.</w:t>
      </w:r>
    </w:p>
    <w:p>
      <w:pPr>
        <w:spacing w:after="0" w:line="10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SECTION 1002. </w:t>
      </w:r>
      <w:r>
        <w:rPr>
          <w:rFonts w:ascii="Arial" w:cs="Arial" w:eastAsia="Arial" w:hAnsi="Arial"/>
          <w:sz w:val="16"/>
          <w:szCs w:val="16"/>
          <w:i w:val="1"/>
          <w:iCs w:val="1"/>
          <w:color w:val="auto"/>
        </w:rPr>
        <w:t>Maintenance of Office or Agency</w:t>
      </w:r>
      <w:r>
        <w:rPr>
          <w:rFonts w:ascii="Arial" w:cs="Arial" w:eastAsia="Arial" w:hAnsi="Arial"/>
          <w:sz w:val="16"/>
          <w:szCs w:val="16"/>
          <w:color w:val="auto"/>
        </w:rPr>
        <w:t>. (a) The Company will maintain in each Place of Payment for any series of Securities, or</w:t>
      </w:r>
    </w:p>
    <w:p>
      <w:pPr>
        <w:spacing w:after="0" w:line="73"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any Tranche thereof, an office or agency where Securities, or any Tranche thereof, of that series may be surrendered for registration of transfer or exchange and a Place of Payment where (subject to Sections 305 and 307) Securities may be presented for payment or exchange and where notices and demands to or upon the Company in respect of the Securities of that series and this Indenture may be served. Unless otherwise specified pursuant to Section 301(b) with respect to any such series, the Company shall maintain such offices or agencies in connection with each series in the Borough of Manhattan, The City of New York, State of New York. The Security Registrar shall keep a register with respect to each series of Securities and to their transfer and exchange. The Company may appoint one or more co-Security Registrars acceptable to the Trustee and one or more additional Paying Agents for each series of Securities, and the Company may terminate the appointment of any co-Security Registrar or Paying Agent at any time upon written notice. The term “Security Registrar” includes any co-Security Registrar. The term “Paying Agent” includes any additional Paying Agent. The Company shall notify the Trustee of the name and address of any Agent not a party to this Indenture. Subject to Section 305, if the Company fails to maintain a Security Registrar or Paying Agent, the Trustee shall act as such. The Company will give prompt written notice to the Trustee of the location, and any change in the location, of such office or agency. If at any time the Company fails to maintain any such required office or agency or fails to furnish the Trustee with the address thereof, such presentations, surrenders, notices and demands may be made or served at the Corporate Trust Office of the Trustee, and the Company hereby appoints the Trustee as its agent to receive all such presentations, surrenders, notices and demands.</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(b) The Company may also from time to time designate one or more other offices or agencies where the Securities of one or more series</w:t>
      </w:r>
    </w:p>
    <w:p>
      <w:pPr>
        <w:spacing w:after="0" w:line="73" w:lineRule="exact"/>
        <w:rPr>
          <w:sz w:val="20"/>
          <w:szCs w:val="20"/>
          <w:color w:val="auto"/>
        </w:rPr>
      </w:pPr>
    </w:p>
    <w:p>
      <w:pPr>
        <w:ind w:right="780"/>
        <w:spacing w:after="0" w:line="342" w:lineRule="auto"/>
        <w:rPr>
          <w:sz w:val="20"/>
          <w:szCs w:val="20"/>
          <w:color w:val="auto"/>
        </w:rPr>
      </w:pPr>
      <w:r>
        <w:rPr>
          <w:rFonts w:ascii="Arial" w:cs="Arial" w:eastAsia="Arial" w:hAnsi="Arial"/>
          <w:sz w:val="16"/>
          <w:szCs w:val="16"/>
          <w:color w:val="auto"/>
        </w:rPr>
        <w:t xml:space="preserve">may be presented or surrendered for any or all such purposes and may from time to time rescind such designations;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 such designation or rescission shall in any manner relieve the Company of its obligation to maintain an office or agency in each Place of Payment for</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720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80" w:name="page81"/>
    <w:bookmarkEnd w:id="80"/>
    <w:p>
      <w:pPr>
        <w:ind w:right="500"/>
        <w:spacing w:after="0" w:line="277" w:lineRule="auto"/>
        <w:rPr>
          <w:sz w:val="20"/>
          <w:szCs w:val="20"/>
          <w:color w:val="auto"/>
        </w:rPr>
      </w:pPr>
      <w:r>
        <w:rPr>
          <w:rFonts w:ascii="Arial" w:cs="Arial" w:eastAsia="Arial" w:hAnsi="Arial"/>
          <w:sz w:val="18"/>
          <w:szCs w:val="18"/>
          <w:color w:val="auto"/>
        </w:rPr>
        <w:t>Securities of any series for such purposes. The Company will give prompt written notice to the Trustee of any such designation or rescission and of any change in the location of any such other office or agency.</w:t>
      </w:r>
    </w:p>
    <w:p>
      <w:pPr>
        <w:spacing w:after="0" w:line="170" w:lineRule="exact"/>
        <w:rPr>
          <w:sz w:val="20"/>
          <w:szCs w:val="20"/>
          <w:color w:val="auto"/>
        </w:rPr>
      </w:pPr>
    </w:p>
    <w:p>
      <w:pPr>
        <w:ind w:right="300" w:firstLine="1305"/>
        <w:spacing w:after="0" w:line="357" w:lineRule="auto"/>
        <w:tabs>
          <w:tab w:leader="none" w:pos="1510" w:val="left"/>
        </w:tabs>
        <w:numPr>
          <w:ilvl w:val="0"/>
          <w:numId w:val="87"/>
        </w:numPr>
        <w:rPr>
          <w:rFonts w:ascii="Arial" w:cs="Arial" w:eastAsia="Arial" w:hAnsi="Arial"/>
          <w:sz w:val="17"/>
          <w:szCs w:val="17"/>
          <w:color w:val="auto"/>
        </w:rPr>
      </w:pPr>
      <w:r>
        <w:rPr>
          <w:rFonts w:ascii="Arial" w:cs="Arial" w:eastAsia="Arial" w:hAnsi="Arial"/>
          <w:sz w:val="17"/>
          <w:szCs w:val="17"/>
          <w:color w:val="auto"/>
        </w:rPr>
        <w:t>Anything herein to the contrary notwithstanding, any office or agency required by this Section may be maintained at any office of the Company in which event the Company shall perform all functions to be performed at such office or agency.</w:t>
      </w:r>
    </w:p>
    <w:p>
      <w:pPr>
        <w:spacing w:after="0" w:line="107"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 xml:space="preserve">SECTION 1003. </w:t>
      </w:r>
      <w:r>
        <w:rPr>
          <w:rFonts w:ascii="Arial" w:cs="Arial" w:eastAsia="Arial" w:hAnsi="Arial"/>
          <w:sz w:val="17"/>
          <w:szCs w:val="17"/>
          <w:i w:val="1"/>
          <w:iCs w:val="1"/>
          <w:color w:val="auto"/>
        </w:rPr>
        <w:t>Money for Securities Payments to Be Held in Trust</w:t>
      </w:r>
      <w:r>
        <w:rPr>
          <w:rFonts w:ascii="Arial" w:cs="Arial" w:eastAsia="Arial" w:hAnsi="Arial"/>
          <w:sz w:val="17"/>
          <w:szCs w:val="17"/>
          <w:color w:val="auto"/>
        </w:rPr>
        <w:t>. (a) If the Company at any time acts as its own Paying Agent with</w:t>
      </w:r>
    </w:p>
    <w:p>
      <w:pPr>
        <w:spacing w:after="0" w:line="6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respect to any series of Securities, or any Tranche thereof, it will, on or before each due date of the principal of or any premium or interest on any of such Securities, segregate and hold in trust for the benefit of the Persons entitled thereto a sum sufficient to pay the principal (and premium, if any) or interest so becoming due until such sums are paid to such Persons or otherwise disposed of as herein provided and will promptly notify the Trustee of its action or failure so to act.</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(b) Whenever the Company has one or more Paying Agents for any series of Securities, it will, on or prior to (and if on, then before 11:00</w:t>
      </w:r>
    </w:p>
    <w:p>
      <w:pPr>
        <w:spacing w:after="0" w:line="73"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a.m. (New York City time)) each due date of the principal of and any premium or interest on such Securities, deposit with a Paying Agent a sum sufficient (in immediately available funds, if payment is made on the due date) to pay the principal and any premium and interest so becoming due, such sum to be held in trust for the benefit of the Persons entitled to such principal, premium or interest as provided in the Trust Indenture Act and (unless such Paying Agent is the Trustee) the Company will promptly notify the Trustee of its action or failure so to act.</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(c) The Company will cause each Paying Agent for any series of Securities, or any Tranche thereof, other than the Trustee, to execute and</w:t>
      </w:r>
    </w:p>
    <w:p>
      <w:pPr>
        <w:spacing w:after="0" w:line="73"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deliver to the Trustee an instrument in which such Paying Agent shall agree with the Trustee, subject to the provisions of this Section, that such Paying Agent will:</w:t>
      </w:r>
    </w:p>
    <w:p>
      <w:pPr>
        <w:spacing w:after="0" w:line="170" w:lineRule="exact"/>
        <w:rPr>
          <w:sz w:val="20"/>
          <w:szCs w:val="20"/>
          <w:color w:val="auto"/>
        </w:rPr>
      </w:pPr>
    </w:p>
    <w:p>
      <w:pPr>
        <w:ind w:left="1480" w:hanging="175"/>
        <w:spacing w:after="0"/>
        <w:tabs>
          <w:tab w:leader="none" w:pos="14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comply with the provisions of the Trust Indenture Act applicable to it as a Paying Agent and</w:t>
      </w:r>
    </w:p>
    <w:p>
      <w:pPr>
        <w:spacing w:after="0" w:line="265" w:lineRule="exact"/>
        <w:rPr>
          <w:rFonts w:ascii="Arial" w:cs="Arial" w:eastAsia="Arial" w:hAnsi="Arial"/>
          <w:sz w:val="18"/>
          <w:szCs w:val="18"/>
          <w:color w:val="auto"/>
        </w:rPr>
      </w:pPr>
    </w:p>
    <w:p>
      <w:pPr>
        <w:ind w:left="1540" w:hanging="235"/>
        <w:spacing w:after="0"/>
        <w:tabs>
          <w:tab w:leader="none" w:pos="1540" w:val="left"/>
        </w:tabs>
        <w:numPr>
          <w:ilvl w:val="0"/>
          <w:numId w:val="88"/>
        </w:numPr>
        <w:rPr>
          <w:rFonts w:ascii="Arial" w:cs="Arial" w:eastAsia="Arial" w:hAnsi="Arial"/>
          <w:sz w:val="17"/>
          <w:szCs w:val="17"/>
          <w:color w:val="auto"/>
        </w:rPr>
      </w:pPr>
      <w:r>
        <w:rPr>
          <w:rFonts w:ascii="Arial" w:cs="Arial" w:eastAsia="Arial" w:hAnsi="Arial"/>
          <w:sz w:val="17"/>
          <w:szCs w:val="17"/>
          <w:color w:val="auto"/>
        </w:rPr>
        <w:t>during the continuance of any default by the Company (or any other obligor upon the Securities of that series) in the making of any</w:t>
      </w:r>
    </w:p>
    <w:p>
      <w:pPr>
        <w:spacing w:after="0" w:line="61" w:lineRule="exact"/>
        <w:rPr>
          <w:sz w:val="20"/>
          <w:szCs w:val="20"/>
          <w:color w:val="auto"/>
        </w:rPr>
      </w:pPr>
    </w:p>
    <w:p>
      <w:pPr>
        <w:ind w:left="660" w:right="120"/>
        <w:spacing w:after="0" w:line="277" w:lineRule="auto"/>
        <w:rPr>
          <w:sz w:val="20"/>
          <w:szCs w:val="20"/>
          <w:color w:val="auto"/>
        </w:rPr>
      </w:pPr>
      <w:r>
        <w:rPr>
          <w:rFonts w:ascii="Arial" w:cs="Arial" w:eastAsia="Arial" w:hAnsi="Arial"/>
          <w:sz w:val="18"/>
          <w:szCs w:val="18"/>
          <w:color w:val="auto"/>
        </w:rPr>
        <w:t>payment in respect of the Securities of that series, upon the written request of the Trustee, forthwith pay to the Trustee all sums held in trust by such Paying Agent for payment in respect of the Securities of that series</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 The Company may at any time, for the purpose of obtaining the satisfaction and discharge of this Indenture or for any other purpose, pay,</w:t>
      </w:r>
    </w:p>
    <w:p>
      <w:pPr>
        <w:spacing w:after="0" w:line="5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or by Company Order direct any Paying Agent to pay, to the Trustee all sums held in trust by the Company or such Paying Agent, such sums to be held by the Trustee upon the same trusts as those upon which such sums were held by the Company or such Paying Agent; and, upon such payment by any Paying Agent to the Trustee, such Paying Agent shall be released from all further liability with respect to such money.</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(e) Any money deposited with the Trustee or any Paying Agent, or received by the Trustee in respect of Eligible Obligations deposited with</w:t>
      </w:r>
    </w:p>
    <w:p>
      <w:pPr>
        <w:spacing w:after="0" w:line="7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Trustee pursuant to Section 401 or 404, or then held by the Company, in trust for the payment of the principal of and any premium or interest on any Security of any series and remaining unclaimed for two years (or such shorter period for the return of such funds to the Company under applicable abandoned property laws) after such principal, premium or interest has become due and payable shall be paid to the Company on Company Request, or (if then held by the Company) shall be discharged from such trust; and the Holder of such Security shall thereafter, as an unsecured general creditor, look only to the Company for payment thereof, and all liability of the Trustee or such Paying Agent with respect to such trust money, and all liability of the Company as trustee thereof, shall thereupon cease.</w:t>
      </w:r>
    </w:p>
    <w:p>
      <w:pPr>
        <w:spacing w:after="0" w:line="193"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SECTION 1004. </w:t>
      </w:r>
      <w:r>
        <w:rPr>
          <w:rFonts w:ascii="Arial" w:cs="Arial" w:eastAsia="Arial" w:hAnsi="Arial"/>
          <w:sz w:val="16"/>
          <w:szCs w:val="16"/>
          <w:i w:val="1"/>
          <w:iCs w:val="1"/>
          <w:color w:val="auto"/>
        </w:rPr>
        <w:t>Statement as to Compliance</w:t>
      </w:r>
      <w:r>
        <w:rPr>
          <w:rFonts w:ascii="Arial" w:cs="Arial" w:eastAsia="Arial" w:hAnsi="Arial"/>
          <w:sz w:val="16"/>
          <w:szCs w:val="16"/>
          <w:color w:val="auto"/>
        </w:rPr>
        <w:t>. The Company will deliver to the Trustee, within 120 days after the end of each fiscal year of</w:t>
      </w:r>
    </w:p>
    <w:p>
      <w:pPr>
        <w:spacing w:after="0" w:line="73" w:lineRule="exact"/>
        <w:rPr>
          <w:sz w:val="20"/>
          <w:szCs w:val="20"/>
          <w:color w:val="auto"/>
        </w:rPr>
      </w:pPr>
    </w:p>
    <w:p>
      <w:pPr>
        <w:ind w:right="640"/>
        <w:spacing w:after="0" w:line="342" w:lineRule="auto"/>
        <w:rPr>
          <w:sz w:val="20"/>
          <w:szCs w:val="20"/>
          <w:color w:val="auto"/>
        </w:rPr>
      </w:pPr>
      <w:r>
        <w:rPr>
          <w:rFonts w:ascii="Arial" w:cs="Arial" w:eastAsia="Arial" w:hAnsi="Arial"/>
          <w:sz w:val="16"/>
          <w:szCs w:val="16"/>
          <w:color w:val="auto"/>
        </w:rPr>
        <w:t>the Company ending after the date hereof, a written statement, which need not comply with Section 102, signed by the principal executive officer, the principal financial officer or the principal accounting officer of the Company stating, as to each signer thereof stating whether or not to the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720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81" w:name="page82"/>
    <w:bookmarkEnd w:id="81"/>
    <w:p>
      <w:pPr>
        <w:ind w:right="40"/>
        <w:spacing w:after="0" w:line="264" w:lineRule="auto"/>
        <w:rPr>
          <w:sz w:val="20"/>
          <w:szCs w:val="20"/>
          <w:color w:val="auto"/>
        </w:rPr>
      </w:pPr>
      <w:r>
        <w:rPr>
          <w:rFonts w:ascii="Arial" w:cs="Arial" w:eastAsia="Arial" w:hAnsi="Arial"/>
          <w:sz w:val="18"/>
          <w:szCs w:val="18"/>
          <w:color w:val="auto"/>
        </w:rPr>
        <w:t>knowledge of the signers thereof it is in default in the performance and observance of any of the terms, provisions, and conditions of this Indenture (without regard to any period of grace or requirement of notice provided hereunder) and, if it is in default, specifying all such defaults and the nature and status thereof of which they may have knowledge.</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SECTION 1005. </w:t>
      </w:r>
      <w:r>
        <w:rPr>
          <w:rFonts w:ascii="Arial" w:cs="Arial" w:eastAsia="Arial" w:hAnsi="Arial"/>
          <w:sz w:val="16"/>
          <w:szCs w:val="16"/>
          <w:i w:val="1"/>
          <w:iCs w:val="1"/>
          <w:color w:val="auto"/>
        </w:rPr>
        <w:t>Corporate Existence</w:t>
      </w:r>
      <w:r>
        <w:rPr>
          <w:rFonts w:ascii="Arial" w:cs="Arial" w:eastAsia="Arial" w:hAnsi="Arial"/>
          <w:sz w:val="16"/>
          <w:szCs w:val="16"/>
          <w:color w:val="auto"/>
        </w:rPr>
        <w:t>. Subject to Article Eight, the Company will do or cause to be done all things necessary to preserve</w:t>
      </w:r>
    </w:p>
    <w:p>
      <w:pPr>
        <w:spacing w:after="0" w:line="73" w:lineRule="exact"/>
        <w:rPr>
          <w:sz w:val="20"/>
          <w:szCs w:val="20"/>
          <w:color w:val="auto"/>
        </w:rPr>
      </w:pPr>
    </w:p>
    <w:p>
      <w:pPr>
        <w:jc w:val="both"/>
        <w:ind w:right="500"/>
        <w:spacing w:after="0" w:line="264" w:lineRule="auto"/>
        <w:rPr>
          <w:sz w:val="20"/>
          <w:szCs w:val="20"/>
          <w:color w:val="auto"/>
        </w:rPr>
      </w:pPr>
      <w:r>
        <w:rPr>
          <w:rFonts w:ascii="Arial" w:cs="Arial" w:eastAsia="Arial" w:hAnsi="Arial"/>
          <w:sz w:val="18"/>
          <w:szCs w:val="18"/>
          <w:color w:val="auto"/>
        </w:rPr>
        <w:t xml:space="preserve">and keep in full force and effect its corporate existence, rights (charter and statutory) and franchises;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Company shall not be required to preserve any such right or franchise if, in the judgment of the Company, the preservation thereof is no longer desirable in the conduct of the business of the Company.</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SECTION 1006. </w:t>
      </w:r>
      <w:r>
        <w:rPr>
          <w:rFonts w:ascii="Arial" w:cs="Arial" w:eastAsia="Arial" w:hAnsi="Arial"/>
          <w:sz w:val="16"/>
          <w:szCs w:val="16"/>
          <w:i w:val="1"/>
          <w:iCs w:val="1"/>
          <w:color w:val="auto"/>
        </w:rPr>
        <w:t>Waiver of Certain Covenants</w:t>
      </w:r>
      <w:r>
        <w:rPr>
          <w:rFonts w:ascii="Arial" w:cs="Arial" w:eastAsia="Arial" w:hAnsi="Arial"/>
          <w:sz w:val="16"/>
          <w:szCs w:val="16"/>
          <w:color w:val="auto"/>
        </w:rPr>
        <w:t>. Except as otherwise specified as contemplated by Section 301 for Securities of such series,</w:t>
      </w:r>
    </w:p>
    <w:p>
      <w:pPr>
        <w:spacing w:after="0" w:line="73"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the Company may, with respect to the Securities of any series, omit in any particular instance to comply with any term, provision or condition set forth in (i) any additional covenants or restrictions specified with respect to the Securities of any series as contemplated by Section 301 if before the time for such compliance the Holders of not less than a majority in aggregate principal amount (or such larger proportion as may be required in respect of waiving a past default of any such additional covenant or restriction) of the Outstanding Securities of all series of equal ranking with respect to which such covenant or restriction was so specified, considered as one class, by Act of such Holders, either waive such compliance in such instance or generally waive compliance with such term, provision or condition and (ii) Sections 1002 and 1004 and Article Eight if before the time for such compliance the Holders of at least a majority in principal amount of Securities of all series of equal ranking Outstanding under this Indenture by Act of such Holders, either waive such compliance in such instance or generally waive compliance with such term, provision or condition; but, in the case of clause (i) or (ii) of this Section, no such waiver shall extend to or affect such term, provision or condition except to the extent so expressly waived, and, until such waiver becomes effective, the obligations of the Company and the duties of the Trustee in respect of any such term, provision or condition shall remain in full force and effect.</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ELEVEN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REDEMPTION OF SECURITIES</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SECTION 1101. </w:t>
      </w:r>
      <w:r>
        <w:rPr>
          <w:rFonts w:ascii="Arial" w:cs="Arial" w:eastAsia="Arial" w:hAnsi="Arial"/>
          <w:sz w:val="16"/>
          <w:szCs w:val="16"/>
          <w:i w:val="1"/>
          <w:iCs w:val="1"/>
          <w:color w:val="auto"/>
        </w:rPr>
        <w:t>Applicability of Article</w:t>
      </w:r>
      <w:r>
        <w:rPr>
          <w:rFonts w:ascii="Arial" w:cs="Arial" w:eastAsia="Arial" w:hAnsi="Arial"/>
          <w:sz w:val="16"/>
          <w:szCs w:val="16"/>
          <w:color w:val="auto"/>
        </w:rPr>
        <w:t>. Securities of any series that are redeemable before their Stated Maturity (or, if the principal of the</w:t>
      </w:r>
    </w:p>
    <w:p>
      <w:pPr>
        <w:spacing w:after="0" w:line="73"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Securities of any series is payable in installments, the Stated Maturity of the final installment of the principal thereof) shall be redeemable in accordance with their terms and (except as otherwise specified as contemplated by Section 301(b) for Securities of any series) in accordance with this Article.</w:t>
      </w:r>
    </w:p>
    <w:p>
      <w:pPr>
        <w:spacing w:after="0" w:line="124"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SECTION 1102. </w:t>
      </w:r>
      <w:r>
        <w:rPr>
          <w:rFonts w:ascii="Arial" w:cs="Arial" w:eastAsia="Arial" w:hAnsi="Arial"/>
          <w:sz w:val="16"/>
          <w:szCs w:val="16"/>
          <w:i w:val="1"/>
          <w:iCs w:val="1"/>
          <w:color w:val="auto"/>
        </w:rPr>
        <w:t>Election to Redeem; Notice to Trustee</w:t>
      </w:r>
      <w:r>
        <w:rPr>
          <w:rFonts w:ascii="Arial" w:cs="Arial" w:eastAsia="Arial" w:hAnsi="Arial"/>
          <w:sz w:val="16"/>
          <w:szCs w:val="16"/>
          <w:color w:val="auto"/>
        </w:rPr>
        <w:t>. The election of the Company to redeem any Securities shall be evidenced by a</w:t>
      </w:r>
    </w:p>
    <w:p>
      <w:pPr>
        <w:spacing w:after="0" w:line="7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Board Resolution or an Officer’s Certificate. In case of any redemption at the election of the Company of less than all the Securities of any series, the Company shall, at least 45 days prior to the Redemption Date fixed by the Company (unless a shorter notice is satisfactory to the Trustee in its sole discretion), notify the Trustee of such Redemption Date and of the principal amount of Securities of such series to be redeemed. In the case of any redemption of Securities (a) prior to the expiration of any restriction on such redemption provided in the terms of such Securities or elsewhere in this Indenture, or (b) pursuant to an election of the Company that is subject to a condition specified in the terms of such Securities the Company shall furnish the Trustee with an Officer’s Certificate evidencing compliance with such restriction.</w:t>
      </w:r>
    </w:p>
    <w:p>
      <w:pPr>
        <w:spacing w:after="0" w:line="193" w:lineRule="exact"/>
        <w:rPr>
          <w:sz w:val="20"/>
          <w:szCs w:val="20"/>
          <w:color w:val="auto"/>
        </w:rPr>
      </w:pPr>
    </w:p>
    <w:p>
      <w:pPr>
        <w:ind w:left="1300"/>
        <w:spacing w:after="0"/>
        <w:rPr>
          <w:sz w:val="20"/>
          <w:szCs w:val="20"/>
          <w:color w:val="auto"/>
        </w:rPr>
      </w:pPr>
      <w:r>
        <w:rPr>
          <w:rFonts w:ascii="Arial" w:cs="Arial" w:eastAsia="Arial" w:hAnsi="Arial"/>
          <w:sz w:val="15"/>
          <w:szCs w:val="15"/>
          <w:color w:val="auto"/>
        </w:rPr>
        <w:t xml:space="preserve">SECTION 1103. </w:t>
      </w:r>
      <w:r>
        <w:rPr>
          <w:rFonts w:ascii="Arial" w:cs="Arial" w:eastAsia="Arial" w:hAnsi="Arial"/>
          <w:sz w:val="15"/>
          <w:szCs w:val="15"/>
          <w:i w:val="1"/>
          <w:iCs w:val="1"/>
          <w:color w:val="auto"/>
        </w:rPr>
        <w:t>Selection by Trustee of Securities to Be Redeemed</w:t>
      </w:r>
      <w:r>
        <w:rPr>
          <w:rFonts w:ascii="Arial" w:cs="Arial" w:eastAsia="Arial" w:hAnsi="Arial"/>
          <w:sz w:val="15"/>
          <w:szCs w:val="15"/>
          <w:color w:val="auto"/>
        </w:rPr>
        <w:t>. If less than all the Securities of any series are to be redeemed, unless the</w:t>
      </w:r>
    </w:p>
    <w:p>
      <w:pPr>
        <w:spacing w:after="0" w:line="84"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procedures of the Depositary provide otherwise, the particular Securities to be redeemed shall be selected by the Trustee, from the Outstanding Securities of such series not previously called for redemption, by such method as is provided for any particular series, or, in the absence of any such provision, pro rata, by lot, or by such method as the Trustee deems fair and appropriate and which may provide for the selection for redemption of portions (equal to the minimum authorized denomination for Securities of that series or any integral multiple thereof) of the principal amount of Securities of such series of a denomination larger than the minimum authorized denomination for Securities of that series.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720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82" w:name="page83"/>
    <w:bookmarkEnd w:id="82"/>
    <w:p>
      <w:pPr>
        <w:ind w:right="220" w:firstLine="1297"/>
        <w:spacing w:after="0" w:line="264" w:lineRule="auto"/>
        <w:rPr>
          <w:sz w:val="20"/>
          <w:szCs w:val="20"/>
          <w:color w:val="auto"/>
        </w:rPr>
      </w:pPr>
      <w:r>
        <w:rPr>
          <w:rFonts w:ascii="Arial" w:cs="Arial" w:eastAsia="Arial" w:hAnsi="Arial"/>
          <w:sz w:val="18"/>
          <w:szCs w:val="18"/>
          <w:color w:val="auto"/>
        </w:rPr>
        <w:t>The Trustee shall promptly notify the Company and the Security Registrar in writing of the Securities selected for redemption and, in the case of any Securities selected for partial redemption, the principal amount thereof to be redeemed and the method it has chosen for the selection of such Securities.</w:t>
      </w:r>
    </w:p>
    <w:p>
      <w:pPr>
        <w:spacing w:after="0" w:line="181" w:lineRule="exact"/>
        <w:rPr>
          <w:sz w:val="20"/>
          <w:szCs w:val="20"/>
          <w:color w:val="auto"/>
        </w:rPr>
      </w:pPr>
    </w:p>
    <w:p>
      <w:pPr>
        <w:ind w:right="140" w:firstLine="1297"/>
        <w:spacing w:after="0" w:line="264" w:lineRule="auto"/>
        <w:rPr>
          <w:sz w:val="20"/>
          <w:szCs w:val="20"/>
          <w:color w:val="auto"/>
        </w:rPr>
      </w:pPr>
      <w:r>
        <w:rPr>
          <w:rFonts w:ascii="Arial" w:cs="Arial" w:eastAsia="Arial" w:hAnsi="Arial"/>
          <w:sz w:val="18"/>
          <w:szCs w:val="18"/>
          <w:color w:val="auto"/>
        </w:rPr>
        <w:t>For all purposes of this Indenture, unless the context otherwise requires, all provisions relating to the redemption of Securities shall relate, in the case of any Securities redeemed or to be redeemed only in part, to the portion of the principal amount of such Securities that has been or is to be redeemed.</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SECTION 1104. </w:t>
      </w:r>
      <w:r>
        <w:rPr>
          <w:rFonts w:ascii="Arial" w:cs="Arial" w:eastAsia="Arial" w:hAnsi="Arial"/>
          <w:sz w:val="16"/>
          <w:szCs w:val="16"/>
          <w:i w:val="1"/>
          <w:iCs w:val="1"/>
          <w:color w:val="auto"/>
        </w:rPr>
        <w:t>Notice of Redemption</w:t>
      </w:r>
      <w:r>
        <w:rPr>
          <w:rFonts w:ascii="Arial" w:cs="Arial" w:eastAsia="Arial" w:hAnsi="Arial"/>
          <w:sz w:val="16"/>
          <w:szCs w:val="16"/>
          <w:color w:val="auto"/>
        </w:rPr>
        <w:t>. Unless otherwise specified as contemplated by Section 301 with respect to any series of Securities,</w:t>
      </w:r>
    </w:p>
    <w:p>
      <w:pPr>
        <w:spacing w:after="0" w:line="7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notice of redemption shall be given by electronic transmission or first-class mail, postage prepaid, mailed not less than 30 nor more than 60 days prior to the Redemption Date, to each Holder of Securities to be redeemed, at such Holder’s address appearing in the Security Register.</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All notices of redemption shall state:</w:t>
      </w:r>
    </w:p>
    <w:p>
      <w:pPr>
        <w:spacing w:after="0" w:line="225" w:lineRule="exact"/>
        <w:rPr>
          <w:sz w:val="20"/>
          <w:szCs w:val="20"/>
          <w:color w:val="auto"/>
        </w:rPr>
      </w:pPr>
    </w:p>
    <w:p>
      <w:pPr>
        <w:ind w:left="1520" w:hanging="215"/>
        <w:spacing w:after="0"/>
        <w:tabs>
          <w:tab w:leader="none" w:pos="1520" w:val="left"/>
        </w:tabs>
        <w:numPr>
          <w:ilvl w:val="0"/>
          <w:numId w:val="89"/>
        </w:numPr>
        <w:rPr>
          <w:rFonts w:ascii="Arial" w:cs="Arial" w:eastAsia="Arial" w:hAnsi="Arial"/>
          <w:sz w:val="17"/>
          <w:szCs w:val="17"/>
          <w:color w:val="auto"/>
        </w:rPr>
      </w:pPr>
      <w:r>
        <w:rPr>
          <w:rFonts w:ascii="Arial" w:cs="Arial" w:eastAsia="Arial" w:hAnsi="Arial"/>
          <w:sz w:val="17"/>
          <w:szCs w:val="17"/>
          <w:color w:val="auto"/>
        </w:rPr>
        <w:t>the Redemption Date,</w:t>
      </w:r>
    </w:p>
    <w:p>
      <w:pPr>
        <w:spacing w:after="0" w:line="277" w:lineRule="exact"/>
        <w:rPr>
          <w:rFonts w:ascii="Arial" w:cs="Arial" w:eastAsia="Arial" w:hAnsi="Arial"/>
          <w:sz w:val="17"/>
          <w:szCs w:val="17"/>
          <w:color w:val="auto"/>
        </w:rPr>
      </w:pPr>
    </w:p>
    <w:p>
      <w:pPr>
        <w:ind w:left="660" w:right="320" w:firstLine="645"/>
        <w:spacing w:after="0" w:line="324" w:lineRule="auto"/>
        <w:tabs>
          <w:tab w:leader="none" w:pos="1532"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Redemption Price, or the formula pursuant to which the Redemption Price is to be determined if the Redemption Price cannot be determined at the time notice is given,</w:t>
      </w:r>
    </w:p>
    <w:p>
      <w:pPr>
        <w:spacing w:after="0" w:line="129" w:lineRule="exact"/>
        <w:rPr>
          <w:rFonts w:ascii="Arial" w:cs="Arial" w:eastAsia="Arial" w:hAnsi="Arial"/>
          <w:sz w:val="18"/>
          <w:szCs w:val="18"/>
          <w:color w:val="auto"/>
        </w:rPr>
      </w:pPr>
    </w:p>
    <w:p>
      <w:pPr>
        <w:ind w:left="1520" w:hanging="215"/>
        <w:spacing w:after="0"/>
        <w:tabs>
          <w:tab w:leader="none" w:pos="1520" w:val="left"/>
        </w:tabs>
        <w:numPr>
          <w:ilvl w:val="0"/>
          <w:numId w:val="89"/>
        </w:numPr>
        <w:rPr>
          <w:rFonts w:ascii="Arial" w:cs="Arial" w:eastAsia="Arial" w:hAnsi="Arial"/>
          <w:sz w:val="16"/>
          <w:szCs w:val="16"/>
          <w:color w:val="auto"/>
        </w:rPr>
      </w:pPr>
      <w:r>
        <w:rPr>
          <w:rFonts w:ascii="Arial" w:cs="Arial" w:eastAsia="Arial" w:hAnsi="Arial"/>
          <w:sz w:val="16"/>
          <w:szCs w:val="16"/>
          <w:color w:val="auto"/>
        </w:rPr>
        <w:t>if less than all the Outstanding Securities of any series are to be redeemed, the identification (and, in the case of partial redemption, the</w:t>
      </w:r>
    </w:p>
    <w:p>
      <w:pPr>
        <w:spacing w:after="0" w:line="73" w:lineRule="exact"/>
        <w:rPr>
          <w:sz w:val="20"/>
          <w:szCs w:val="20"/>
          <w:color w:val="auto"/>
        </w:rPr>
      </w:pPr>
    </w:p>
    <w:p>
      <w:pPr>
        <w:ind w:left="660"/>
        <w:spacing w:after="0" w:line="259" w:lineRule="auto"/>
        <w:rPr>
          <w:sz w:val="20"/>
          <w:szCs w:val="20"/>
          <w:color w:val="auto"/>
        </w:rPr>
      </w:pPr>
      <w:r>
        <w:rPr>
          <w:rFonts w:ascii="Arial" w:cs="Arial" w:eastAsia="Arial" w:hAnsi="Arial"/>
          <w:sz w:val="18"/>
          <w:szCs w:val="18"/>
          <w:color w:val="auto"/>
        </w:rPr>
        <w:t>principal amounts) of the particular Securities to be redeemed, and the portion of the principal amount of any Security to be redeemed in part and, in the case of any such Security of such series to be redeemed in part, that, on and after the Redemption Date, upon surrender of such Security, a new Security or Securities of such series in principal amount equal to the remaining unpaid principal amount thereof will be issued as provided in Section 1106,</w:t>
      </w:r>
    </w:p>
    <w:p>
      <w:pPr>
        <w:spacing w:after="0" w:line="187" w:lineRule="exact"/>
        <w:rPr>
          <w:sz w:val="20"/>
          <w:szCs w:val="20"/>
          <w:color w:val="auto"/>
        </w:rPr>
      </w:pPr>
    </w:p>
    <w:p>
      <w:pPr>
        <w:ind w:left="660" w:right="580" w:firstLine="645"/>
        <w:spacing w:after="0" w:line="324" w:lineRule="auto"/>
        <w:tabs>
          <w:tab w:leader="none" w:pos="1532"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that on the Redemption Date the Redemption Price will become due and payable upon each such Security to be redeemed and, if applicable, that interest thereon will cease to accrue on and after said date,</w:t>
      </w:r>
    </w:p>
    <w:p>
      <w:pPr>
        <w:spacing w:after="0" w:line="129" w:lineRule="exact"/>
        <w:rPr>
          <w:rFonts w:ascii="Arial" w:cs="Arial" w:eastAsia="Arial" w:hAnsi="Arial"/>
          <w:sz w:val="18"/>
          <w:szCs w:val="18"/>
          <w:color w:val="auto"/>
        </w:rPr>
      </w:pPr>
    </w:p>
    <w:p>
      <w:pPr>
        <w:ind w:left="1520" w:hanging="215"/>
        <w:spacing w:after="0"/>
        <w:tabs>
          <w:tab w:leader="none" w:pos="1520" w:val="left"/>
        </w:tabs>
        <w:numPr>
          <w:ilvl w:val="0"/>
          <w:numId w:val="90"/>
        </w:numPr>
        <w:rPr>
          <w:rFonts w:ascii="Arial" w:cs="Arial" w:eastAsia="Arial" w:hAnsi="Arial"/>
          <w:sz w:val="17"/>
          <w:szCs w:val="17"/>
          <w:color w:val="auto"/>
        </w:rPr>
      </w:pPr>
      <w:r>
        <w:rPr>
          <w:rFonts w:ascii="Arial" w:cs="Arial" w:eastAsia="Arial" w:hAnsi="Arial"/>
          <w:sz w:val="17"/>
          <w:szCs w:val="17"/>
          <w:color w:val="auto"/>
        </w:rPr>
        <w:t>the place or places where such Securities are to be surrendered for payment of the Redemption Price and accrued interest, if any,</w:t>
      </w:r>
    </w:p>
    <w:p>
      <w:pPr>
        <w:spacing w:after="0" w:line="277" w:lineRule="exact"/>
        <w:rPr>
          <w:rFonts w:ascii="Arial" w:cs="Arial" w:eastAsia="Arial" w:hAnsi="Arial"/>
          <w:sz w:val="17"/>
          <w:szCs w:val="17"/>
          <w:color w:val="auto"/>
        </w:rPr>
      </w:pPr>
    </w:p>
    <w:p>
      <w:pPr>
        <w:ind w:left="1520" w:hanging="215"/>
        <w:spacing w:after="0"/>
        <w:tabs>
          <w:tab w:leader="none" w:pos="1520" w:val="left"/>
        </w:tabs>
        <w:numPr>
          <w:ilvl w:val="0"/>
          <w:numId w:val="90"/>
        </w:numPr>
        <w:rPr>
          <w:rFonts w:ascii="Arial" w:cs="Arial" w:eastAsia="Arial" w:hAnsi="Arial"/>
          <w:sz w:val="17"/>
          <w:szCs w:val="17"/>
          <w:color w:val="auto"/>
        </w:rPr>
      </w:pPr>
      <w:r>
        <w:rPr>
          <w:rFonts w:ascii="Arial" w:cs="Arial" w:eastAsia="Arial" w:hAnsi="Arial"/>
          <w:sz w:val="17"/>
          <w:szCs w:val="17"/>
          <w:color w:val="auto"/>
        </w:rPr>
        <w:t>that the redemption is for a sinking fund, if such is the case,</w:t>
      </w:r>
    </w:p>
    <w:p>
      <w:pPr>
        <w:spacing w:after="0" w:line="277" w:lineRule="exact"/>
        <w:rPr>
          <w:rFonts w:ascii="Arial" w:cs="Arial" w:eastAsia="Arial" w:hAnsi="Arial"/>
          <w:sz w:val="17"/>
          <w:szCs w:val="17"/>
          <w:color w:val="auto"/>
        </w:rPr>
      </w:pPr>
    </w:p>
    <w:p>
      <w:pPr>
        <w:ind w:left="1520" w:hanging="215"/>
        <w:spacing w:after="0"/>
        <w:tabs>
          <w:tab w:leader="none" w:pos="1520" w:val="left"/>
        </w:tabs>
        <w:numPr>
          <w:ilvl w:val="0"/>
          <w:numId w:val="90"/>
        </w:numPr>
        <w:rPr>
          <w:rFonts w:ascii="Arial" w:cs="Arial" w:eastAsia="Arial" w:hAnsi="Arial"/>
          <w:sz w:val="17"/>
          <w:szCs w:val="17"/>
          <w:color w:val="auto"/>
        </w:rPr>
      </w:pPr>
      <w:r>
        <w:rPr>
          <w:rFonts w:ascii="Arial" w:cs="Arial" w:eastAsia="Arial" w:hAnsi="Arial"/>
          <w:sz w:val="17"/>
          <w:szCs w:val="17"/>
          <w:color w:val="auto"/>
        </w:rPr>
        <w:t xml:space="preserve">the CUSIP, “ISIN” or similar number(s), if any, assigned to such Securities; </w:t>
      </w:r>
      <w:r>
        <w:rPr>
          <w:rFonts w:ascii="Arial" w:cs="Arial" w:eastAsia="Arial" w:hAnsi="Arial"/>
          <w:sz w:val="17"/>
          <w:szCs w:val="17"/>
          <w:i w:val="1"/>
          <w:iCs w:val="1"/>
          <w:color w:val="auto"/>
        </w:rPr>
        <w:t>provided however</w:t>
      </w:r>
      <w:r>
        <w:rPr>
          <w:rFonts w:ascii="Arial" w:cs="Arial" w:eastAsia="Arial" w:hAnsi="Arial"/>
          <w:sz w:val="17"/>
          <w:szCs w:val="17"/>
          <w:color w:val="auto"/>
        </w:rPr>
        <w:t>, that such notice may state that no</w:t>
      </w:r>
    </w:p>
    <w:p>
      <w:pPr>
        <w:spacing w:after="0" w:line="61" w:lineRule="exact"/>
        <w:rPr>
          <w:sz w:val="20"/>
          <w:szCs w:val="20"/>
          <w:color w:val="auto"/>
        </w:rPr>
      </w:pPr>
    </w:p>
    <w:p>
      <w:pPr>
        <w:ind w:left="660" w:right="220"/>
        <w:spacing w:after="0" w:line="277" w:lineRule="auto"/>
        <w:rPr>
          <w:sz w:val="20"/>
          <w:szCs w:val="20"/>
          <w:color w:val="auto"/>
        </w:rPr>
      </w:pPr>
      <w:r>
        <w:rPr>
          <w:rFonts w:ascii="Arial" w:cs="Arial" w:eastAsia="Arial" w:hAnsi="Arial"/>
          <w:sz w:val="18"/>
          <w:szCs w:val="18"/>
          <w:color w:val="auto"/>
        </w:rPr>
        <w:t>representation is made as to the correctness of CUSIP, “ISIN” or similar number(s), and the redemption of such Securities shall not be affected by any defect in or omission of such number(s), and</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(8) such other matters as the Company shall deem desirable or appropriate.</w:t>
      </w:r>
    </w:p>
    <w:p>
      <w:pPr>
        <w:spacing w:after="0" w:line="266" w:lineRule="exact"/>
        <w:rPr>
          <w:sz w:val="20"/>
          <w:szCs w:val="20"/>
          <w:color w:val="auto"/>
        </w:rPr>
      </w:pPr>
    </w:p>
    <w:p>
      <w:pPr>
        <w:ind w:right="40" w:firstLine="1297"/>
        <w:spacing w:after="0" w:line="270" w:lineRule="auto"/>
        <w:rPr>
          <w:sz w:val="20"/>
          <w:szCs w:val="20"/>
          <w:color w:val="auto"/>
        </w:rPr>
      </w:pPr>
      <w:r>
        <w:rPr>
          <w:rFonts w:ascii="Arial" w:cs="Arial" w:eastAsia="Arial" w:hAnsi="Arial"/>
          <w:sz w:val="17"/>
          <w:szCs w:val="17"/>
          <w:color w:val="auto"/>
        </w:rPr>
        <w:t>Unless otherwise specified with respect to any Securities in accordance with Section 301, with respect to any notice of redemption of Securities at the election of the Company, unless, upon the giving of such notice, such Securities are deemed to have been paid in accordance with Section 401, such notice may state that such redemption shall be conditional upon the receipt by the Paying Agent or Agents for such Securities, on or prior to the date fixed for such redemption, of money sufficient to pay the principal of and premium, if any, and interest, if any, on such Securities and that if such money has not been so received such notice shall be of no force or effect and the Company shall not be required to redeem such Securities. In the event that such notice of redemption contains such a condition and such money is not so received, the redemption shall not be made and within a reasonable time thereafter notice shall be given, in the manner in which the notice of redemption was given, that such money was not so received and such redemption was not required to be made, and the Paying Agent or Agents for the Securities otherwise to have been redeemed shall promptly return to the Holders thereof any of such Securities that had been surrendered for payment upon such redemption.</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720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83" w:name="page84"/>
    <w:bookmarkEnd w:id="83"/>
    <w:p>
      <w:pPr>
        <w:ind w:right="360" w:firstLine="1297"/>
        <w:spacing w:after="0" w:line="312" w:lineRule="auto"/>
        <w:rPr>
          <w:sz w:val="20"/>
          <w:szCs w:val="20"/>
          <w:color w:val="auto"/>
        </w:rPr>
      </w:pPr>
      <w:r>
        <w:rPr>
          <w:rFonts w:ascii="Arial" w:cs="Arial" w:eastAsia="Arial" w:hAnsi="Arial"/>
          <w:sz w:val="16"/>
          <w:szCs w:val="16"/>
          <w:color w:val="auto"/>
        </w:rPr>
        <w:t>Notice of redemption of Securities to be redeemed at the election of the Company, and any notice of non-satisfaction of a condition for redemption as aforesaid, shall be given by the Company or, at the Company’s request, by the Security Registrar in the name and at the expense of the Company. Notice of mandatory redemption of Securities shall be given by the Security Registrar in the name and at the expense of the Company.</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SECTION 1105. </w:t>
      </w:r>
      <w:r>
        <w:rPr>
          <w:rFonts w:ascii="Arial" w:cs="Arial" w:eastAsia="Arial" w:hAnsi="Arial"/>
          <w:sz w:val="16"/>
          <w:szCs w:val="16"/>
          <w:i w:val="1"/>
          <w:iCs w:val="1"/>
          <w:color w:val="auto"/>
        </w:rPr>
        <w:t>Securities Payable on Redemption Date</w:t>
      </w:r>
      <w:r>
        <w:rPr>
          <w:rFonts w:ascii="Arial" w:cs="Arial" w:eastAsia="Arial" w:hAnsi="Arial"/>
          <w:sz w:val="16"/>
          <w:szCs w:val="16"/>
          <w:color w:val="auto"/>
        </w:rPr>
        <w:t>. (a) Notice of redemption having been given as aforesaid, and the conditions, if</w:t>
      </w:r>
    </w:p>
    <w:p>
      <w:pPr>
        <w:spacing w:after="0" w:line="73"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 xml:space="preserve">any, set forth in such notice having been satisfied, the Securities or portions thereof so to be redeemed shall, on the Redemption Date, become due and payable at the Redemption Price therein specified, and from and after such date (unless the Company defaults in the payment of the Redemption Price and accrued interest, if any) such Securities, or portions thereof, if interest-bearing, shall cease to bear interest. Upon surrender of any such Security for redemption in accordance with said notice, such Security or portion thereof, if any, shall be paid by the Company at the Redemption Price, together with accrued interest, if any, to the Redemption Date; </w:t>
      </w:r>
      <w:r>
        <w:rPr>
          <w:rFonts w:ascii="Arial" w:cs="Arial" w:eastAsia="Arial" w:hAnsi="Arial"/>
          <w:sz w:val="17"/>
          <w:szCs w:val="17"/>
          <w:i w:val="1"/>
          <w:iCs w:val="1"/>
          <w:color w:val="auto"/>
        </w:rPr>
        <w:t>provided, however</w:t>
      </w:r>
      <w:r>
        <w:rPr>
          <w:rFonts w:ascii="Arial" w:cs="Arial" w:eastAsia="Arial" w:hAnsi="Arial"/>
          <w:sz w:val="17"/>
          <w:szCs w:val="17"/>
          <w:color w:val="auto"/>
        </w:rPr>
        <w:t>, that installments of interest whose Stated Maturity is on or prior to the Redemption Date shall be payable to the Holders of such Securities, or one or more Predecessor Securities, registered as such at the close of business on the relevant Regular Record Dates according to their terms and the provisions of Section 307.</w:t>
      </w:r>
    </w:p>
    <w:p>
      <w:pPr>
        <w:spacing w:after="0" w:line="178" w:lineRule="exact"/>
        <w:rPr>
          <w:sz w:val="20"/>
          <w:szCs w:val="20"/>
          <w:color w:val="auto"/>
        </w:rPr>
      </w:pPr>
    </w:p>
    <w:p>
      <w:pPr>
        <w:ind w:right="220" w:firstLine="1305"/>
        <w:spacing w:after="0" w:line="357" w:lineRule="auto"/>
        <w:tabs>
          <w:tab w:leader="none" w:pos="1520" w:val="left"/>
        </w:tabs>
        <w:numPr>
          <w:ilvl w:val="0"/>
          <w:numId w:val="91"/>
        </w:numPr>
        <w:rPr>
          <w:rFonts w:ascii="Arial" w:cs="Arial" w:eastAsia="Arial" w:hAnsi="Arial"/>
          <w:sz w:val="17"/>
          <w:szCs w:val="17"/>
          <w:color w:val="auto"/>
        </w:rPr>
      </w:pPr>
      <w:r>
        <w:rPr>
          <w:rFonts w:ascii="Arial" w:cs="Arial" w:eastAsia="Arial" w:hAnsi="Arial"/>
          <w:sz w:val="17"/>
          <w:szCs w:val="17"/>
          <w:color w:val="auto"/>
        </w:rPr>
        <w:t>If any Security called for redemption shall not be so paid upon surrender thereof for redemption, the principal and any premium shall, until paid, bear interest from the Redemption Date at the rate prescribed therefor in the Security.</w:t>
      </w:r>
    </w:p>
    <w:p>
      <w:pPr>
        <w:spacing w:after="0" w:line="10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SECTION 1106. </w:t>
      </w:r>
      <w:r>
        <w:rPr>
          <w:rFonts w:ascii="Arial" w:cs="Arial" w:eastAsia="Arial" w:hAnsi="Arial"/>
          <w:sz w:val="16"/>
          <w:szCs w:val="16"/>
          <w:i w:val="1"/>
          <w:iCs w:val="1"/>
          <w:color w:val="auto"/>
        </w:rPr>
        <w:t>Securities Redeemed in Part</w:t>
      </w:r>
      <w:r>
        <w:rPr>
          <w:rFonts w:ascii="Arial" w:cs="Arial" w:eastAsia="Arial" w:hAnsi="Arial"/>
          <w:sz w:val="16"/>
          <w:szCs w:val="16"/>
          <w:color w:val="auto"/>
        </w:rPr>
        <w:t>. Any physical Security that is to be redeemed only in part shall be surrendered at a Place of</w:t>
      </w:r>
    </w:p>
    <w:p>
      <w:pPr>
        <w:spacing w:after="0" w:line="7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Payment therefor (with, if the Company or the Trustee so requires, due endorsement by, or a written instrument of transfer in form satisfactory to the Company and the Trustee duly executed by, the Holder thereof or his or her attorney duly authorized in writing), and the Company shall execute, and the Trustee shall authenticate and deliver to the Holder of such Security without service charge, a new Security or Securities of the same series, of any authorized denomination as requested by such Holder, and of like tenor and in aggregate principal amount equal to and in exchange for the unredeemed portion of the principal of the Security so surrendered.</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TWELVE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REPAYMENT OF SECURITIES AT OPTION OF HOLDERS</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SECTION 1201. </w:t>
      </w:r>
      <w:r>
        <w:rPr>
          <w:rFonts w:ascii="Arial" w:cs="Arial" w:eastAsia="Arial" w:hAnsi="Arial"/>
          <w:sz w:val="16"/>
          <w:szCs w:val="16"/>
          <w:i w:val="1"/>
          <w:iCs w:val="1"/>
          <w:color w:val="auto"/>
        </w:rPr>
        <w:t>Applicability of Article</w:t>
      </w:r>
      <w:r>
        <w:rPr>
          <w:rFonts w:ascii="Arial" w:cs="Arial" w:eastAsia="Arial" w:hAnsi="Arial"/>
          <w:sz w:val="16"/>
          <w:szCs w:val="16"/>
          <w:color w:val="auto"/>
        </w:rPr>
        <w:t>. Securities of any series that are repayable before their Stated Maturity at the option of the Holders</w:t>
      </w:r>
    </w:p>
    <w:p>
      <w:pPr>
        <w:spacing w:after="0" w:line="73"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shall be repayable in accordance with their terms and (except as otherwise specified as contemplated by Section 301 for Securities of any series) in accordance with this Article.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SECTION 1202. </w:t>
      </w:r>
      <w:r>
        <w:rPr>
          <w:rFonts w:ascii="Arial" w:cs="Arial" w:eastAsia="Arial" w:hAnsi="Arial"/>
          <w:sz w:val="16"/>
          <w:szCs w:val="16"/>
          <w:i w:val="1"/>
          <w:iCs w:val="1"/>
          <w:color w:val="auto"/>
        </w:rPr>
        <w:t>Notice of Repayment Date</w:t>
      </w:r>
      <w:r>
        <w:rPr>
          <w:rFonts w:ascii="Arial" w:cs="Arial" w:eastAsia="Arial" w:hAnsi="Arial"/>
          <w:sz w:val="16"/>
          <w:szCs w:val="16"/>
          <w:color w:val="auto"/>
        </w:rPr>
        <w:t>. Notice of any Repayment Date with respect to Securities of any series shall be given by the</w:t>
      </w:r>
    </w:p>
    <w:p>
      <w:pPr>
        <w:spacing w:after="0" w:line="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Company not less than 30 nor more than 45 days prior to such Repayment Date (or at such other times as may be specified for such repayment or repurchase pursuant to Section 301) to each Holder of Securities of such series in accordance with Section 106 (except as otherwise specified as contemplated by Section 301 for Securities of any series).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notice as to the Repayment Date shall state (unless otherwise specified for such repayment or repurchase pursuant to Section 301):</w:t>
      </w:r>
    </w:p>
    <w:p>
      <w:pPr>
        <w:spacing w:after="0" w:line="237" w:lineRule="exact"/>
        <w:rPr>
          <w:sz w:val="20"/>
          <w:szCs w:val="20"/>
          <w:color w:val="auto"/>
        </w:rPr>
      </w:pPr>
    </w:p>
    <w:p>
      <w:pPr>
        <w:ind w:left="1520" w:hanging="215"/>
        <w:spacing w:after="0"/>
        <w:tabs>
          <w:tab w:leader="none" w:pos="1520"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the Repayment Date;</w:t>
      </w:r>
    </w:p>
    <w:p>
      <w:pPr>
        <w:spacing w:after="0" w:line="277" w:lineRule="exact"/>
        <w:rPr>
          <w:rFonts w:ascii="Arial" w:cs="Arial" w:eastAsia="Arial" w:hAnsi="Arial"/>
          <w:sz w:val="17"/>
          <w:szCs w:val="17"/>
          <w:color w:val="auto"/>
        </w:rPr>
      </w:pPr>
    </w:p>
    <w:p>
      <w:pPr>
        <w:ind w:left="660" w:right="180" w:firstLine="645"/>
        <w:spacing w:after="0" w:line="357" w:lineRule="auto"/>
        <w:tabs>
          <w:tab w:leader="none" w:pos="1532"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the principal amount of the Securities required to be repaid or repurchased and the Repayment Price (or the formula pursuant to which the Repayment Price is to be determined if the Repayment Price cannot be determined at the time the notice is given);</w:t>
      </w:r>
    </w:p>
    <w:p>
      <w:pPr>
        <w:spacing w:after="0" w:line="107" w:lineRule="exact"/>
        <w:rPr>
          <w:rFonts w:ascii="Arial" w:cs="Arial" w:eastAsia="Arial" w:hAnsi="Arial"/>
          <w:sz w:val="17"/>
          <w:szCs w:val="17"/>
          <w:color w:val="auto"/>
        </w:rPr>
      </w:pPr>
    </w:p>
    <w:p>
      <w:pPr>
        <w:ind w:left="1520" w:hanging="215"/>
        <w:spacing w:after="0"/>
        <w:tabs>
          <w:tab w:leader="none" w:pos="1520"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place or places where such Securities are to be surrendered for payment of the Repayment Price, and accrued interest, if any, and the</w:t>
      </w:r>
    </w:p>
    <w:p>
      <w:pPr>
        <w:spacing w:after="0" w:line="73" w:lineRule="exact"/>
        <w:rPr>
          <w:sz w:val="20"/>
          <w:szCs w:val="20"/>
          <w:color w:val="auto"/>
        </w:rPr>
      </w:pPr>
    </w:p>
    <w:p>
      <w:pPr>
        <w:ind w:left="5640" w:right="4580" w:hanging="4989"/>
        <w:spacing w:after="0" w:line="342" w:lineRule="auto"/>
        <w:rPr>
          <w:sz w:val="20"/>
          <w:szCs w:val="20"/>
          <w:color w:val="auto"/>
        </w:rPr>
      </w:pPr>
      <w:r>
        <w:rPr>
          <w:rFonts w:ascii="Arial" w:cs="Arial" w:eastAsia="Arial" w:hAnsi="Arial"/>
          <w:sz w:val="16"/>
          <w:szCs w:val="16"/>
          <w:color w:val="auto"/>
        </w:rPr>
        <w:t>date by which Securities must be so surrendered in order to be repaid or repurchased;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152400</wp:posOffset>
            </wp:positionV>
            <wp:extent cx="72720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368" w:right="279" w:bottom="1440" w:gutter="0" w:footer="0" w:header="0"/>
        </w:sectPr>
      </w:pPr>
    </w:p>
    <w:bookmarkStart w:id="84" w:name="page85"/>
    <w:bookmarkEnd w:id="84"/>
    <w:p>
      <w:pPr>
        <w:ind w:left="1520" w:hanging="215"/>
        <w:spacing w:after="0"/>
        <w:tabs>
          <w:tab w:leader="none" w:pos="1520" w:val="left"/>
        </w:tabs>
        <w:numPr>
          <w:ilvl w:val="0"/>
          <w:numId w:val="93"/>
        </w:numPr>
        <w:rPr>
          <w:rFonts w:ascii="Arial" w:cs="Arial" w:eastAsia="Arial" w:hAnsi="Arial"/>
          <w:sz w:val="17"/>
          <w:szCs w:val="17"/>
          <w:color w:val="auto"/>
        </w:rPr>
      </w:pPr>
      <w:r>
        <w:rPr>
          <w:rFonts w:ascii="Arial" w:cs="Arial" w:eastAsia="Arial" w:hAnsi="Arial"/>
          <w:sz w:val="17"/>
          <w:szCs w:val="17"/>
          <w:color w:val="auto"/>
        </w:rPr>
        <w:t>that any Security not tendered or accepted for payment shall continue to accrue interest;</w:t>
      </w:r>
    </w:p>
    <w:p>
      <w:pPr>
        <w:spacing w:after="0" w:line="277" w:lineRule="exact"/>
        <w:rPr>
          <w:rFonts w:ascii="Arial" w:cs="Arial" w:eastAsia="Arial" w:hAnsi="Arial"/>
          <w:sz w:val="17"/>
          <w:szCs w:val="17"/>
          <w:color w:val="auto"/>
        </w:rPr>
      </w:pPr>
    </w:p>
    <w:p>
      <w:pPr>
        <w:ind w:left="1520" w:hanging="215"/>
        <w:spacing w:after="0"/>
        <w:tabs>
          <w:tab w:leader="none" w:pos="1520"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that, unless the Company defaults in making such payment or the Paying Agent is prohibited from paying such money to the Holders on</w:t>
      </w:r>
    </w:p>
    <w:p>
      <w:pPr>
        <w:spacing w:after="0" w:line="73"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that date pursuant to the terms of this Indenture, Securities accepted for payment pursuant to any such offer of repayment or repurchase shall cease to accrue interest after the Repayment Date;</w:t>
      </w:r>
    </w:p>
    <w:p>
      <w:pPr>
        <w:spacing w:after="0" w:line="170" w:lineRule="exact"/>
        <w:rPr>
          <w:sz w:val="20"/>
          <w:szCs w:val="20"/>
          <w:color w:val="auto"/>
        </w:rPr>
      </w:pPr>
    </w:p>
    <w:p>
      <w:pPr>
        <w:ind w:left="1520" w:hanging="215"/>
        <w:spacing w:after="0"/>
        <w:tabs>
          <w:tab w:leader="none" w:pos="1520"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that Holders electing to have a Security repaid or purchased pursuant to such offer may elect to have all or any portion of such Security</w:t>
      </w:r>
    </w:p>
    <w:p>
      <w:pPr>
        <w:spacing w:after="0" w:line="72"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purchased;</w:t>
      </w:r>
    </w:p>
    <w:p>
      <w:pPr>
        <w:spacing w:after="0" w:line="225" w:lineRule="exact"/>
        <w:rPr>
          <w:rFonts w:ascii="Arial" w:cs="Arial" w:eastAsia="Arial" w:hAnsi="Arial"/>
          <w:sz w:val="16"/>
          <w:szCs w:val="16"/>
          <w:color w:val="auto"/>
        </w:rPr>
      </w:pPr>
    </w:p>
    <w:p>
      <w:pPr>
        <w:ind w:left="1520" w:hanging="215"/>
        <w:spacing w:after="0"/>
        <w:tabs>
          <w:tab w:leader="none" w:pos="1520"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that Holders electing to have a Security repaid or repurchased pursuant to any such offer shall be required to surrender the Security, with</w:t>
      </w:r>
    </w:p>
    <w:p>
      <w:pPr>
        <w:spacing w:after="0" w:line="73" w:lineRule="exact"/>
        <w:rPr>
          <w:sz w:val="20"/>
          <w:szCs w:val="20"/>
          <w:color w:val="auto"/>
        </w:rPr>
      </w:pPr>
    </w:p>
    <w:p>
      <w:pPr>
        <w:ind w:left="660" w:right="100"/>
        <w:spacing w:after="0" w:line="308" w:lineRule="auto"/>
        <w:rPr>
          <w:sz w:val="20"/>
          <w:szCs w:val="20"/>
          <w:color w:val="auto"/>
        </w:rPr>
      </w:pPr>
      <w:r>
        <w:rPr>
          <w:rFonts w:ascii="Arial" w:cs="Arial" w:eastAsia="Arial" w:hAnsi="Arial"/>
          <w:sz w:val="17"/>
          <w:szCs w:val="17"/>
          <w:color w:val="auto"/>
        </w:rPr>
        <w:t>such customary documents of surrender and transfer as the Company may reasonably request, duly completed, or transfer by book-entry transfer, to the Company or the Paying Agent at the address specified in the notice at least two Business Days prior to the Repayment Date;</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(8) that Holders shall be entitled to withdraw their election if the Company or the Paying Agent, as the case may be, receives, not later than</w:t>
      </w:r>
    </w:p>
    <w:p>
      <w:pPr>
        <w:spacing w:after="0" w:line="73" w:lineRule="exact"/>
        <w:rPr>
          <w:sz w:val="20"/>
          <w:szCs w:val="20"/>
          <w:color w:val="auto"/>
        </w:rPr>
      </w:pPr>
    </w:p>
    <w:p>
      <w:pPr>
        <w:ind w:left="660" w:right="480"/>
        <w:spacing w:after="0" w:line="264" w:lineRule="auto"/>
        <w:rPr>
          <w:sz w:val="20"/>
          <w:szCs w:val="20"/>
          <w:color w:val="auto"/>
        </w:rPr>
      </w:pPr>
      <w:r>
        <w:rPr>
          <w:rFonts w:ascii="Arial" w:cs="Arial" w:eastAsia="Arial" w:hAnsi="Arial"/>
          <w:sz w:val="18"/>
          <w:szCs w:val="18"/>
          <w:color w:val="auto"/>
        </w:rPr>
        <w:t>the expiration of the offer to repay or repurchase, a telegram, facsimile transmission or letter setting forth the name of the Holder, the principal amount of the Security the Holder delivered for purchase and a statement that such Holder is withdrawing its election to have such Security purchased;</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(9) that, in the case of a repayment or repurchase of less than all Outstanding Securities of a series, the method of selection of Securities to</w:t>
      </w:r>
    </w:p>
    <w:p>
      <w:pPr>
        <w:spacing w:after="0" w:line="73" w:lineRule="exact"/>
        <w:rPr>
          <w:sz w:val="20"/>
          <w:szCs w:val="20"/>
          <w:color w:val="auto"/>
        </w:rPr>
      </w:pPr>
    </w:p>
    <w:p>
      <w:pPr>
        <w:ind w:left="660" w:right="360"/>
        <w:spacing w:after="0" w:line="277" w:lineRule="auto"/>
        <w:rPr>
          <w:sz w:val="20"/>
          <w:szCs w:val="20"/>
          <w:color w:val="auto"/>
        </w:rPr>
      </w:pPr>
      <w:r>
        <w:rPr>
          <w:rFonts w:ascii="Arial" w:cs="Arial" w:eastAsia="Arial" w:hAnsi="Arial"/>
          <w:sz w:val="18"/>
          <w:szCs w:val="18"/>
          <w:color w:val="auto"/>
        </w:rPr>
        <w:t>be repaid or repurchased to be applied by the Trustee if the principal amount of properly tendered Securities exceeds the principal amount of the Securities to be repaid or repurchased;</w:t>
      </w:r>
    </w:p>
    <w:p>
      <w:pPr>
        <w:spacing w:after="0" w:line="170" w:lineRule="exact"/>
        <w:rPr>
          <w:sz w:val="20"/>
          <w:szCs w:val="20"/>
          <w:color w:val="auto"/>
        </w:rPr>
      </w:pPr>
    </w:p>
    <w:p>
      <w:pPr>
        <w:ind w:left="660" w:right="120" w:firstLine="645"/>
        <w:spacing w:after="0" w:line="357" w:lineRule="auto"/>
        <w:tabs>
          <w:tab w:leader="none" w:pos="1622"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that Holders whose Securities are purchased only in part shall be issued new Securities of the same series equal in principal amount to the unpurchased portion of the Securities surrendered (or transferred by book-entry transfer); and</w:t>
      </w:r>
    </w:p>
    <w:p>
      <w:pPr>
        <w:spacing w:after="0" w:line="107" w:lineRule="exact"/>
        <w:rPr>
          <w:rFonts w:ascii="Arial" w:cs="Arial" w:eastAsia="Arial" w:hAnsi="Arial"/>
          <w:sz w:val="17"/>
          <w:szCs w:val="17"/>
          <w:color w:val="auto"/>
        </w:rPr>
      </w:pPr>
    </w:p>
    <w:p>
      <w:pPr>
        <w:ind w:left="660" w:right="220" w:firstLine="645"/>
        <w:spacing w:after="0" w:line="357" w:lineRule="auto"/>
        <w:tabs>
          <w:tab w:leader="none" w:pos="1615"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CUSIP or other identification number, if any, printed on the Securities being repurchased and that no representation is made as to the correctness or accuracy of the CUSIP or other identification number, if any, listed in such notice or printed on the Securities.</w:t>
      </w:r>
    </w:p>
    <w:p>
      <w:pPr>
        <w:spacing w:after="0" w:line="10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SECTION 1203. </w:t>
      </w:r>
      <w:r>
        <w:rPr>
          <w:rFonts w:ascii="Arial" w:cs="Arial" w:eastAsia="Arial" w:hAnsi="Arial"/>
          <w:sz w:val="16"/>
          <w:szCs w:val="16"/>
          <w:i w:val="1"/>
          <w:iCs w:val="1"/>
          <w:color w:val="auto"/>
        </w:rPr>
        <w:t>Securities Payable on Repayment Date</w:t>
      </w:r>
      <w:r>
        <w:rPr>
          <w:rFonts w:ascii="Arial" w:cs="Arial" w:eastAsia="Arial" w:hAnsi="Arial"/>
          <w:sz w:val="16"/>
          <w:szCs w:val="16"/>
          <w:color w:val="auto"/>
        </w:rPr>
        <w:t>. The form of option to elect repurchase or repayment having been delivered as</w:t>
      </w:r>
    </w:p>
    <w:p>
      <w:pPr>
        <w:spacing w:after="0" w:line="7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specified in the form of Security for such series, the Securities of such series so to be repaid (after application of the method of selection described pursuant to clause (9) of Section 1202, if the principal amount of properly tendered Securities exceeds the principal amount of the Securities to be repaid or repurchased) shall, on the Repayment Date, become due and payable at the Repayment Price applicable thereto and from and after such date (unless the Company defaults in the payment of the Repayment Price and accrued interest) such Securities shall cease to bear interest. Upon surrender of any such Security for repayment in accordance with said notice, such Security shall be paid by the Company at the Repayment Price together with accrued interest, if any, to but excluding the Repayment Date; </w:t>
      </w:r>
      <w:r>
        <w:rPr>
          <w:rFonts w:ascii="Arial" w:cs="Arial" w:eastAsia="Arial" w:hAnsi="Arial"/>
          <w:sz w:val="17"/>
          <w:szCs w:val="17"/>
          <w:i w:val="1"/>
          <w:iCs w:val="1"/>
          <w:color w:val="auto"/>
        </w:rPr>
        <w:t>provided, however</w:t>
      </w:r>
      <w:r>
        <w:rPr>
          <w:rFonts w:ascii="Arial" w:cs="Arial" w:eastAsia="Arial" w:hAnsi="Arial"/>
          <w:sz w:val="17"/>
          <w:szCs w:val="17"/>
          <w:color w:val="auto"/>
        </w:rPr>
        <w:t>, that if a Security is repaid or repurchased on or after a Regular Record Date but on or prior to the Stated Maturity of any installments of interest, then any accrued and unpaid interest due on such Stated Maturity shall be payable to the Holders of such Securities, or one or more Predecessor Securities, registered as such at the close of business on the relevant Regular Record Dates according to their terms and the provisions of Section 307.</w:t>
      </w:r>
    </w:p>
    <w:p>
      <w:pPr>
        <w:spacing w:after="0" w:line="182" w:lineRule="exact"/>
        <w:rPr>
          <w:sz w:val="20"/>
          <w:szCs w:val="20"/>
          <w:color w:val="auto"/>
        </w:rPr>
      </w:pPr>
    </w:p>
    <w:p>
      <w:pPr>
        <w:ind w:right="80" w:firstLine="1297"/>
        <w:spacing w:after="0" w:line="277" w:lineRule="auto"/>
        <w:rPr>
          <w:sz w:val="20"/>
          <w:szCs w:val="20"/>
          <w:color w:val="auto"/>
        </w:rPr>
      </w:pPr>
      <w:r>
        <w:rPr>
          <w:rFonts w:ascii="Arial" w:cs="Arial" w:eastAsia="Arial" w:hAnsi="Arial"/>
          <w:sz w:val="18"/>
          <w:szCs w:val="18"/>
          <w:color w:val="auto"/>
        </w:rPr>
        <w:t>If any Security is not paid upon surrender thereof for repayment, the principal (and premium, if any) shall, until paid, bear interest from the Repayment Date at the rate prescribed therefor in such Security.</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SECTION 1204. </w:t>
      </w:r>
      <w:r>
        <w:rPr>
          <w:rFonts w:ascii="Arial" w:cs="Arial" w:eastAsia="Arial" w:hAnsi="Arial"/>
          <w:sz w:val="16"/>
          <w:szCs w:val="16"/>
          <w:i w:val="1"/>
          <w:iCs w:val="1"/>
          <w:color w:val="auto"/>
        </w:rPr>
        <w:t>Securities Repaid in Part</w:t>
      </w:r>
      <w:r>
        <w:rPr>
          <w:rFonts w:ascii="Arial" w:cs="Arial" w:eastAsia="Arial" w:hAnsi="Arial"/>
          <w:sz w:val="16"/>
          <w:szCs w:val="16"/>
          <w:color w:val="auto"/>
        </w:rPr>
        <w:t>. Any Security that by its terms may be repaid in part at the option of the Holder and that is to be</w:t>
      </w:r>
    </w:p>
    <w:p>
      <w:pPr>
        <w:spacing w:after="0" w:line="7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repaid only in part shall be surrendered at any office or agency of the Company designated for that purpose pursuant to Section 1002 (with, if the Company or the Trustee so requires, due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720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85" w:name="page86"/>
    <w:bookmarkEnd w:id="85"/>
    <w:p>
      <w:pPr>
        <w:spacing w:after="0" w:line="302" w:lineRule="auto"/>
        <w:rPr>
          <w:sz w:val="20"/>
          <w:szCs w:val="20"/>
          <w:color w:val="auto"/>
        </w:rPr>
      </w:pPr>
      <w:r>
        <w:rPr>
          <w:rFonts w:ascii="Arial" w:cs="Arial" w:eastAsia="Arial" w:hAnsi="Arial"/>
          <w:sz w:val="16"/>
          <w:szCs w:val="16"/>
          <w:color w:val="auto"/>
        </w:rPr>
        <w:t>endorsement by, or a written instrument of transfer in form satisfactory to the Company and the Trustee duly executed by, the Holder thereof or his or her attorney duly authorized in writing), and the Company shall execute, and the Trustee shall authenticate and deliver to the Holder of such Security without service charge, a new Security or Securities of the same series, as provided in Section 305</w:t>
      </w:r>
      <w:r>
        <w:rPr>
          <w:rFonts w:ascii="Arial" w:cs="Arial" w:eastAsia="Arial" w:hAnsi="Arial"/>
          <w:sz w:val="16"/>
          <w:szCs w:val="16"/>
          <w:b w:val="1"/>
          <w:bCs w:val="1"/>
          <w:color w:val="auto"/>
        </w:rPr>
        <w:t>,</w:t>
      </w:r>
      <w:r>
        <w:rPr>
          <w:rFonts w:ascii="Arial" w:cs="Arial" w:eastAsia="Arial" w:hAnsi="Arial"/>
          <w:sz w:val="16"/>
          <w:szCs w:val="16"/>
          <w:color w:val="auto"/>
        </w:rPr>
        <w:t xml:space="preserve"> of any authorized denomination as requested by such Holder, in aggregate principal amount equal to and in exchange for the unrepaid portion of the principal of the Security so surrendered.</w:t>
      </w:r>
    </w:p>
    <w:p>
      <w:pPr>
        <w:spacing w:after="0" w:line="15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720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160"/>
          </w:cols>
          <w:pgMar w:left="240" w:top="584" w:right="499" w:bottom="1440" w:gutter="0" w:footer="0" w:header="0"/>
        </w:sectPr>
      </w:pPr>
    </w:p>
    <w:bookmarkStart w:id="86" w:name="page87"/>
    <w:bookmarkEnd w:id="86"/>
    <w:p>
      <w:pPr>
        <w:ind w:firstLine="1297"/>
        <w:spacing w:after="0" w:line="277" w:lineRule="auto"/>
        <w:rPr>
          <w:sz w:val="20"/>
          <w:szCs w:val="20"/>
          <w:color w:val="auto"/>
        </w:rPr>
      </w:pPr>
      <w:r>
        <w:rPr>
          <w:rFonts w:ascii="Arial" w:cs="Arial" w:eastAsia="Arial" w:hAnsi="Arial"/>
          <w:sz w:val="18"/>
          <w:szCs w:val="18"/>
          <w:color w:val="auto"/>
        </w:rPr>
        <w:t>This instrument may be executed in any number of counterparts, each of which so executed shall be deemed to be an original, but all such counterparts shall together constitute but one and the same instrument.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IN WITNESS WHEREOF, the parties hereto have caused this Indenture to be duly executed as of the date first above written.</w:t>
      </w:r>
    </w:p>
    <w:p>
      <w:pPr>
        <w:spacing w:after="0" w:line="399"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VERACYTE, INC.</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48895</wp:posOffset>
            </wp:positionV>
            <wp:extent cx="33020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70"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Name:</w:t>
      </w:r>
    </w:p>
    <w:p>
      <w:pPr>
        <w:spacing w:after="0" w:line="90"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[TRUSTEE]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48895</wp:posOffset>
            </wp:positionV>
            <wp:extent cx="33020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70"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Name:</w:t>
      </w:r>
    </w:p>
    <w:p>
      <w:pPr>
        <w:spacing w:after="0" w:line="90"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720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240"/>
          </w:cols>
          <w:pgMar w:left="240" w:top="584" w:right="419" w:bottom="1440" w:gutter="0" w:footer="0" w:header="0"/>
        </w:sectPr>
      </w:pPr>
    </w:p>
    <w:bookmarkStart w:id="87" w:name="page88"/>
    <w:bookmarkEnd w:id="87"/>
    <w:p>
      <w:pPr>
        <w:jc w:val="right"/>
        <w:spacing w:after="0"/>
        <w:rPr>
          <w:sz w:val="20"/>
          <w:szCs w:val="20"/>
          <w:color w:val="auto"/>
        </w:rPr>
      </w:pPr>
      <w:r>
        <w:rPr>
          <w:rFonts w:ascii="Arial" w:cs="Arial" w:eastAsia="Arial" w:hAnsi="Arial"/>
          <w:sz w:val="22"/>
          <w:szCs w:val="22"/>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2123440</wp:posOffset>
            </wp:positionH>
            <wp:positionV relativeFrom="paragraph">
              <wp:posOffset>200025</wp:posOffset>
            </wp:positionV>
            <wp:extent cx="4064635" cy="9436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4064635" cy="943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May 1,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Veracyte,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6000 Shoreline Court, Suite 300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 San Francisco, CA 94080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At your request, we have examined the Registration Statement on Form S-3 filed by Veracyte, Inc.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with the Securities and Exchange Commission (the “</w:t>
      </w:r>
      <w:r>
        <w:rPr>
          <w:rFonts w:ascii="Arial" w:cs="Arial" w:eastAsia="Arial" w:hAnsi="Arial"/>
          <w:sz w:val="16"/>
          <w:szCs w:val="16"/>
          <w:b w:val="1"/>
          <w:bCs w:val="1"/>
          <w:i w:val="1"/>
          <w:iCs w:val="1"/>
          <w:color w:val="auto"/>
        </w:rPr>
        <w:t>Commission</w:t>
      </w:r>
      <w:r>
        <w:rPr>
          <w:rFonts w:ascii="Arial" w:cs="Arial" w:eastAsia="Arial" w:hAnsi="Arial"/>
          <w:sz w:val="16"/>
          <w:szCs w:val="16"/>
          <w:color w:val="auto"/>
        </w:rPr>
        <w:t>”) on May 1, 2019 (the “</w:t>
      </w:r>
      <w:r>
        <w:rPr>
          <w:rFonts w:ascii="Arial" w:cs="Arial" w:eastAsia="Arial" w:hAnsi="Arial"/>
          <w:sz w:val="16"/>
          <w:szCs w:val="16"/>
          <w:b w:val="1"/>
          <w:bCs w:val="1"/>
          <w:i w:val="1"/>
          <w:iCs w:val="1"/>
          <w:color w:val="auto"/>
        </w:rPr>
        <w:t>Registration Statement</w:t>
      </w:r>
      <w:r>
        <w:rPr>
          <w:rFonts w:ascii="Arial" w:cs="Arial" w:eastAsia="Arial" w:hAnsi="Arial"/>
          <w:sz w:val="16"/>
          <w:szCs w:val="16"/>
          <w:color w:val="auto"/>
        </w:rPr>
        <w:t>”) in connection with the registration under the Securities Act of 1933, as amended (the “</w:t>
      </w:r>
      <w:r>
        <w:rPr>
          <w:rFonts w:ascii="Arial" w:cs="Arial" w:eastAsia="Arial" w:hAnsi="Arial"/>
          <w:sz w:val="16"/>
          <w:szCs w:val="16"/>
          <w:b w:val="1"/>
          <w:bCs w:val="1"/>
          <w:i w:val="1"/>
          <w:iCs w:val="1"/>
          <w:color w:val="auto"/>
        </w:rPr>
        <w:t>Securities Act</w:t>
      </w:r>
      <w:r>
        <w:rPr>
          <w:rFonts w:ascii="Arial" w:cs="Arial" w:eastAsia="Arial" w:hAnsi="Arial"/>
          <w:sz w:val="16"/>
          <w:szCs w:val="16"/>
          <w:color w:val="auto"/>
        </w:rPr>
        <w:t>”), of the offering and sale from time to time of (i) shares of the Company’s common stock, $0.001 par value per share (the “</w:t>
      </w:r>
      <w:r>
        <w:rPr>
          <w:rFonts w:ascii="Arial" w:cs="Arial" w:eastAsia="Arial" w:hAnsi="Arial"/>
          <w:sz w:val="16"/>
          <w:szCs w:val="16"/>
          <w:b w:val="1"/>
          <w:bCs w:val="1"/>
          <w:i w:val="1"/>
          <w:iCs w:val="1"/>
          <w:color w:val="auto"/>
        </w:rPr>
        <w:t>Common Stock</w:t>
      </w:r>
      <w:r>
        <w:rPr>
          <w:rFonts w:ascii="Arial" w:cs="Arial" w:eastAsia="Arial" w:hAnsi="Arial"/>
          <w:sz w:val="16"/>
          <w:szCs w:val="16"/>
          <w:color w:val="auto"/>
        </w:rPr>
        <w:t>”), (ii) shares of the Company’s preferred stock, $0.001 par value per share (the “</w:t>
      </w:r>
      <w:r>
        <w:rPr>
          <w:rFonts w:ascii="Arial" w:cs="Arial" w:eastAsia="Arial" w:hAnsi="Arial"/>
          <w:sz w:val="16"/>
          <w:szCs w:val="16"/>
          <w:b w:val="1"/>
          <w:bCs w:val="1"/>
          <w:i w:val="1"/>
          <w:iCs w:val="1"/>
          <w:color w:val="auto"/>
        </w:rPr>
        <w:t>Preferred Stock</w:t>
      </w:r>
      <w:r>
        <w:rPr>
          <w:rFonts w:ascii="Arial" w:cs="Arial" w:eastAsia="Arial" w:hAnsi="Arial"/>
          <w:sz w:val="16"/>
          <w:szCs w:val="16"/>
          <w:color w:val="auto"/>
        </w:rPr>
        <w:t>”), (iii) one or more series of debt securities (the “</w:t>
      </w:r>
      <w:r>
        <w:rPr>
          <w:rFonts w:ascii="Arial" w:cs="Arial" w:eastAsia="Arial" w:hAnsi="Arial"/>
          <w:sz w:val="16"/>
          <w:szCs w:val="16"/>
          <w:b w:val="1"/>
          <w:bCs w:val="1"/>
          <w:i w:val="1"/>
          <w:iCs w:val="1"/>
          <w:color w:val="auto"/>
        </w:rPr>
        <w:t>Debt Securities</w:t>
      </w:r>
      <w:r>
        <w:rPr>
          <w:rFonts w:ascii="Arial" w:cs="Arial" w:eastAsia="Arial" w:hAnsi="Arial"/>
          <w:sz w:val="16"/>
          <w:szCs w:val="16"/>
          <w:color w:val="auto"/>
        </w:rPr>
        <w:t>”) issuable pursuant to an indenture (the “</w:t>
      </w:r>
      <w:r>
        <w:rPr>
          <w:rFonts w:ascii="Arial" w:cs="Arial" w:eastAsia="Arial" w:hAnsi="Arial"/>
          <w:sz w:val="16"/>
          <w:szCs w:val="16"/>
          <w:b w:val="1"/>
          <w:bCs w:val="1"/>
          <w:i w:val="1"/>
          <w:iCs w:val="1"/>
          <w:color w:val="auto"/>
        </w:rPr>
        <w:t>Indenture</w:t>
      </w:r>
      <w:r>
        <w:rPr>
          <w:rFonts w:ascii="Arial" w:cs="Arial" w:eastAsia="Arial" w:hAnsi="Arial"/>
          <w:sz w:val="16"/>
          <w:szCs w:val="16"/>
          <w:color w:val="auto"/>
        </w:rPr>
        <w:t>”) by and between the Company and a financial institution to be identified therein as trustee (the “</w:t>
      </w:r>
      <w:r>
        <w:rPr>
          <w:rFonts w:ascii="Arial" w:cs="Arial" w:eastAsia="Arial" w:hAnsi="Arial"/>
          <w:sz w:val="16"/>
          <w:szCs w:val="16"/>
          <w:b w:val="1"/>
          <w:bCs w:val="1"/>
          <w:i w:val="1"/>
          <w:iCs w:val="1"/>
          <w:color w:val="auto"/>
        </w:rPr>
        <w:t>Trustee</w:t>
      </w:r>
      <w:r>
        <w:rPr>
          <w:rFonts w:ascii="Arial" w:cs="Arial" w:eastAsia="Arial" w:hAnsi="Arial"/>
          <w:sz w:val="16"/>
          <w:szCs w:val="16"/>
          <w:color w:val="auto"/>
        </w:rPr>
        <w:t>”), (iv) warrants to purchase shares of Common Stock, shares of Preferred Stock or Debt Securities (the “</w:t>
      </w:r>
      <w:r>
        <w:rPr>
          <w:rFonts w:ascii="Arial" w:cs="Arial" w:eastAsia="Arial" w:hAnsi="Arial"/>
          <w:sz w:val="16"/>
          <w:szCs w:val="16"/>
          <w:b w:val="1"/>
          <w:bCs w:val="1"/>
          <w:i w:val="1"/>
          <w:iCs w:val="1"/>
          <w:color w:val="auto"/>
        </w:rPr>
        <w:t>Warrants</w:t>
      </w:r>
      <w:r>
        <w:rPr>
          <w:rFonts w:ascii="Arial" w:cs="Arial" w:eastAsia="Arial" w:hAnsi="Arial"/>
          <w:sz w:val="16"/>
          <w:szCs w:val="16"/>
          <w:color w:val="auto"/>
        </w:rPr>
        <w:t>”),</w:t>
      </w:r>
    </w:p>
    <w:p>
      <w:pPr>
        <w:spacing w:after="0" w:line="5" w:lineRule="exact"/>
        <w:rPr>
          <w:sz w:val="20"/>
          <w:szCs w:val="20"/>
          <w:color w:val="auto"/>
        </w:rPr>
      </w:pPr>
    </w:p>
    <w:p>
      <w:pPr>
        <w:jc w:val="both"/>
        <w:ind w:firstLine="8"/>
        <w:spacing w:after="0" w:line="271" w:lineRule="auto"/>
        <w:tabs>
          <w:tab w:leader="none" w:pos="282" w:val="left"/>
        </w:tabs>
        <w:numPr>
          <w:ilvl w:val="0"/>
          <w:numId w:val="96"/>
        </w:numPr>
        <w:rPr>
          <w:rFonts w:ascii="Arial" w:cs="Arial" w:eastAsia="Arial" w:hAnsi="Arial"/>
          <w:sz w:val="17"/>
          <w:szCs w:val="17"/>
          <w:color w:val="auto"/>
        </w:rPr>
      </w:pPr>
      <w:r>
        <w:rPr>
          <w:rFonts w:ascii="Arial" w:cs="Arial" w:eastAsia="Arial" w:hAnsi="Arial"/>
          <w:sz w:val="17"/>
          <w:szCs w:val="17"/>
          <w:color w:val="auto"/>
        </w:rPr>
        <w:t>subscription rights to purchase shares of Common Stock, shares of Preferred Stock or Debt Securities (the “</w:t>
      </w:r>
      <w:r>
        <w:rPr>
          <w:rFonts w:ascii="Arial" w:cs="Arial" w:eastAsia="Arial" w:hAnsi="Arial"/>
          <w:sz w:val="17"/>
          <w:szCs w:val="17"/>
          <w:b w:val="1"/>
          <w:bCs w:val="1"/>
          <w:i w:val="1"/>
          <w:iCs w:val="1"/>
          <w:color w:val="auto"/>
        </w:rPr>
        <w:t>Subscription Rights</w:t>
      </w:r>
      <w:r>
        <w:rPr>
          <w:rFonts w:ascii="Arial" w:cs="Arial" w:eastAsia="Arial" w:hAnsi="Arial"/>
          <w:sz w:val="17"/>
          <w:szCs w:val="17"/>
          <w:color w:val="auto"/>
        </w:rPr>
        <w:t>”) and/or (vi) units consisting of any combination of such foregoing securities described in clauses (i) through (v) above (the “</w:t>
      </w:r>
      <w:r>
        <w:rPr>
          <w:rFonts w:ascii="Arial" w:cs="Arial" w:eastAsia="Arial" w:hAnsi="Arial"/>
          <w:sz w:val="17"/>
          <w:szCs w:val="17"/>
          <w:b w:val="1"/>
          <w:bCs w:val="1"/>
          <w:i w:val="1"/>
          <w:iCs w:val="1"/>
          <w:color w:val="auto"/>
        </w:rPr>
        <w:t>Units</w:t>
      </w:r>
      <w:r>
        <w:rPr>
          <w:rFonts w:ascii="Arial" w:cs="Arial" w:eastAsia="Arial" w:hAnsi="Arial"/>
          <w:sz w:val="17"/>
          <w:szCs w:val="17"/>
          <w:color w:val="auto"/>
        </w:rPr>
        <w:t>”), at indeterminate prices in reliance on Rule 456(b) and Rule 457(r) under the Securities Act. The Debt Securities, the Common Stock, the Preferred Stock, the Warrants, the Subscription Rights and the Units are collectively referred to herein as the “</w:t>
      </w:r>
      <w:r>
        <w:rPr>
          <w:rFonts w:ascii="Arial" w:cs="Arial" w:eastAsia="Arial" w:hAnsi="Arial"/>
          <w:sz w:val="17"/>
          <w:szCs w:val="17"/>
          <w:b w:val="1"/>
          <w:bCs w:val="1"/>
          <w:i w:val="1"/>
          <w:iCs w:val="1"/>
          <w:color w:val="auto"/>
        </w:rPr>
        <w:t>Securities</w:t>
      </w:r>
      <w:r>
        <w:rPr>
          <w:rFonts w:ascii="Arial" w:cs="Arial" w:eastAsia="Arial" w:hAnsi="Arial"/>
          <w:sz w:val="17"/>
          <w:szCs w:val="17"/>
          <w:color w:val="auto"/>
        </w:rPr>
        <w:t>.” The Securities may be sold from time to time by the Company as set forth in the Registration Statement, the prospectus contained within the Registration Statement (the “</w:t>
      </w:r>
      <w:r>
        <w:rPr>
          <w:rFonts w:ascii="Arial" w:cs="Arial" w:eastAsia="Arial" w:hAnsi="Arial"/>
          <w:sz w:val="17"/>
          <w:szCs w:val="17"/>
          <w:b w:val="1"/>
          <w:bCs w:val="1"/>
          <w:i w:val="1"/>
          <w:iCs w:val="1"/>
          <w:color w:val="auto"/>
        </w:rPr>
        <w:t>Prospectus</w:t>
      </w:r>
      <w:r>
        <w:rPr>
          <w:rFonts w:ascii="Arial" w:cs="Arial" w:eastAsia="Arial" w:hAnsi="Arial"/>
          <w:sz w:val="17"/>
          <w:szCs w:val="17"/>
          <w:color w:val="auto"/>
        </w:rPr>
        <w:t>”) and supplements to the Prospectus.</w:t>
      </w:r>
    </w:p>
    <w:p>
      <w:pPr>
        <w:spacing w:after="0" w:line="1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connection with our opinion expressed below we have examined originals or copies of the Company’s Restated Certificate of Incorporation (the “</w:t>
      </w:r>
      <w:r>
        <w:rPr>
          <w:rFonts w:ascii="Arial" w:cs="Arial" w:eastAsia="Arial" w:hAnsi="Arial"/>
          <w:sz w:val="18"/>
          <w:szCs w:val="18"/>
          <w:b w:val="1"/>
          <w:bCs w:val="1"/>
          <w:i w:val="1"/>
          <w:iCs w:val="1"/>
          <w:color w:val="auto"/>
        </w:rPr>
        <w:t>Restated Certificate</w:t>
      </w:r>
      <w:r>
        <w:rPr>
          <w:rFonts w:ascii="Arial" w:cs="Arial" w:eastAsia="Arial" w:hAnsi="Arial"/>
          <w:sz w:val="18"/>
          <w:szCs w:val="18"/>
          <w:color w:val="auto"/>
        </w:rPr>
        <w:t>”) and Amended and Restated Bylaws (the “</w:t>
      </w:r>
      <w:r>
        <w:rPr>
          <w:rFonts w:ascii="Arial" w:cs="Arial" w:eastAsia="Arial" w:hAnsi="Arial"/>
          <w:sz w:val="18"/>
          <w:szCs w:val="18"/>
          <w:b w:val="1"/>
          <w:bCs w:val="1"/>
          <w:i w:val="1"/>
          <w:iCs w:val="1"/>
          <w:color w:val="auto"/>
        </w:rPr>
        <w:t>Restated Bylaws</w:t>
      </w:r>
      <w:r>
        <w:rPr>
          <w:rFonts w:ascii="Arial" w:cs="Arial" w:eastAsia="Arial" w:hAnsi="Arial"/>
          <w:sz w:val="18"/>
          <w:szCs w:val="18"/>
          <w:color w:val="auto"/>
        </w:rPr>
        <w:t>” and, together with the Restated Certificate, as each may be amended, modified or restated, the “</w:t>
      </w:r>
      <w:r>
        <w:rPr>
          <w:rFonts w:ascii="Arial" w:cs="Arial" w:eastAsia="Arial" w:hAnsi="Arial"/>
          <w:sz w:val="18"/>
          <w:szCs w:val="18"/>
          <w:b w:val="1"/>
          <w:bCs w:val="1"/>
          <w:i w:val="1"/>
          <w:iCs w:val="1"/>
          <w:color w:val="auto"/>
        </w:rPr>
        <w:t>Charter Documents</w:t>
      </w:r>
      <w:r>
        <w:rPr>
          <w:rFonts w:ascii="Arial" w:cs="Arial" w:eastAsia="Arial" w:hAnsi="Arial"/>
          <w:sz w:val="18"/>
          <w:szCs w:val="18"/>
          <w:color w:val="auto"/>
        </w:rPr>
        <w:t>”), certain corporate proceedings of the Company’s board of directors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and stockholders relating to the Registration Statement, the Company’s Restated Certificate and Restated Bylaws, and such other agreements, documents, certificates and statements of the Company, its transfer agent and public or government officials, as we have deemed advisable, and have examined such questions of law as we have considered necessary</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assumed, and express no opinion as to, the genuineness of all signatures on documents submitted to us, the authenticity and completeness of all documents submitted to us as originals, the conformity to originals and completeness of all documents submitted to us as copies, the legal capacity of all persons or entities (except for the Company) executing the same, the absence of any undisclosed termination, modification, waiver or amendment to any document reviewed by us, the absence of any other extrinsic agreements or documents that might change or affect the interpretation or terms of documents we have reviewed, and the due authorization, execution and delivery of all such</w:t>
      </w:r>
    </w:p>
    <w:p>
      <w:pPr>
        <w:sectPr>
          <w:pgSz w:w="11900" w:h="16838" w:orient="portrait"/>
          <w:cols w:equalWidth="0" w:num="1">
            <w:col w:w="11420"/>
          </w:cols>
          <w:pgMar w:left="240" w:top="895" w:right="239" w:bottom="1440" w:gutter="0" w:footer="0" w:header="0"/>
        </w:sectPr>
      </w:pPr>
    </w:p>
    <w:bookmarkStart w:id="88" w:name="page89"/>
    <w:bookmarkEnd w:id="88"/>
    <w:p>
      <w:pPr>
        <w:jc w:val="both"/>
        <w:spacing w:after="0" w:line="286" w:lineRule="auto"/>
        <w:rPr>
          <w:sz w:val="20"/>
          <w:szCs w:val="20"/>
          <w:color w:val="auto"/>
        </w:rPr>
      </w:pPr>
      <w:r>
        <w:rPr>
          <w:rFonts w:ascii="Arial" w:cs="Arial" w:eastAsia="Arial" w:hAnsi="Arial"/>
          <w:sz w:val="17"/>
          <w:szCs w:val="17"/>
          <w:color w:val="auto"/>
        </w:rPr>
        <w:t>documents where due authorization, execution and delivery are prerequisites to the effectiveness thereof. In giving our opinion, we have also relied upon a good standing certificate regarding the Company issued by the Delaware Secretary of State dated May 1, 2019, and a management certificate addressed to us and dated of even date herewith executed by the Company containing certain factual representations (the “</w:t>
      </w:r>
      <w:r>
        <w:rPr>
          <w:rFonts w:ascii="Arial" w:cs="Arial" w:eastAsia="Arial" w:hAnsi="Arial"/>
          <w:sz w:val="17"/>
          <w:szCs w:val="17"/>
          <w:b w:val="1"/>
          <w:bCs w:val="1"/>
          <w:i w:val="1"/>
          <w:iCs w:val="1"/>
          <w:color w:val="auto"/>
        </w:rPr>
        <w:t>Management Certificate</w:t>
      </w:r>
      <w:r>
        <w:rPr>
          <w:rFonts w:ascii="Arial" w:cs="Arial" w:eastAsia="Arial" w:hAnsi="Arial"/>
          <w:sz w:val="17"/>
          <w:szCs w:val="17"/>
          <w:color w:val="auto"/>
        </w:rPr>
        <w:t>”).</w:t>
      </w:r>
    </w:p>
    <w:p>
      <w:pPr>
        <w:spacing w:after="0" w:line="16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also have assumed that any certificates or instruments representing the Securities will be, when issued, properly signed by authorized officers of the Company, and, in the case of Debt Securities, properly authenticated in accordance with the terms of the Indenture and delivered to the intended recipients with the intent that the Company be bound thereby. Furthermore, with respect to the Company’s uncertificated capital stock, we assume that issued Common Stock will not be reissued by the Company in uncertificated form until any previously issued stock certificate representing such issued Common Stock has been surrendered to the Company in accordance with Section 158 of the Delaware General Corporation Law, and that the Company will properly register the transfer of the Common Stock to the purchasers of such Common Stock on the Company’s record of uncertificated securities. We also have assumed that the Indenture at the time of execution, authentication, issuance and delivery of the Debt Securities will be a valid and legally binding obligation of the Trustee.</w:t>
      </w:r>
    </w:p>
    <w:p>
      <w:pPr>
        <w:spacing w:after="0" w:line="16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to matters of fact relevant to this opinion, we have relied solely upon our examination of the documents referred to above and the Management Certificate and have assumed the current accuracy and completeness of the information obtained from the documents referred to above and the representations and warranties made by representatives of the Company to us, including but not limited to those set forth in the Management Certificate. We have made no independent investigation or other attempt to verify the accuracy of any of such information or to determine the existence or non-existence of any other factual matters.</w:t>
      </w:r>
    </w:p>
    <w:p>
      <w:pPr>
        <w:spacing w:after="0" w:line="18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are admitted to practice law in the State of California, and we render this opinion only with respect to, and express no opinion herein concerning the application or effect of the laws of any jurisdiction other than (i) the existing laws of the State of California, (ii) the Delaware General Corporation Law, and (iii) solely with respect to whether or not the Debt Securities are the valid and binding obligations of the Company, the existing laws of the state of New York (clauses (i) through (iii) collectively, the “</w:t>
      </w:r>
      <w:r>
        <w:rPr>
          <w:rFonts w:ascii="Arial" w:cs="Arial" w:eastAsia="Arial" w:hAnsi="Arial"/>
          <w:sz w:val="16"/>
          <w:szCs w:val="16"/>
          <w:b w:val="1"/>
          <w:bCs w:val="1"/>
          <w:i w:val="1"/>
          <w:iCs w:val="1"/>
          <w:color w:val="auto"/>
        </w:rPr>
        <w:t>Applicable Laws</w:t>
      </w:r>
      <w:r>
        <w:rPr>
          <w:rFonts w:ascii="Arial" w:cs="Arial" w:eastAsia="Arial" w:hAnsi="Arial"/>
          <w:sz w:val="16"/>
          <w:szCs w:val="16"/>
          <w:color w:val="auto"/>
        </w:rPr>
        <w:t>”). To the extent that any Warrant Agreement, Subscription Rights Agreement or Unit Agreement (each as defined below) is governed by the laws of any jurisdiction other than the State of California, our opinion expressed below assumes that Internal California Law (as defined below) will exclusively apply to and govern such Warrant Agreement, Subscription Rights Agreement or Unit Agreement, without regard to any interpretation or construction that might be indicated by the laws stated as governing any such Warrant Agreement, Subscription Rights Agreement or Unit Agreement. As used herein “</w:t>
      </w:r>
      <w:r>
        <w:rPr>
          <w:rFonts w:ascii="Arial" w:cs="Arial" w:eastAsia="Arial" w:hAnsi="Arial"/>
          <w:sz w:val="16"/>
          <w:szCs w:val="16"/>
          <w:b w:val="1"/>
          <w:bCs w:val="1"/>
          <w:i w:val="1"/>
          <w:iCs w:val="1"/>
          <w:color w:val="auto"/>
        </w:rPr>
        <w:t>Internal California Law</w:t>
      </w:r>
      <w:r>
        <w:rPr>
          <w:rFonts w:ascii="Arial" w:cs="Arial" w:eastAsia="Arial" w:hAnsi="Arial"/>
          <w:sz w:val="16"/>
          <w:szCs w:val="16"/>
          <w:b w:val="1"/>
          <w:bCs w:val="1"/>
          <w:color w:val="auto"/>
        </w:rPr>
        <w:t>”</w:t>
      </w:r>
      <w:r>
        <w:rPr>
          <w:rFonts w:ascii="Arial" w:cs="Arial" w:eastAsia="Arial" w:hAnsi="Arial"/>
          <w:sz w:val="16"/>
          <w:szCs w:val="16"/>
          <w:color w:val="auto"/>
        </w:rPr>
        <w:t xml:space="preserve"> means the internal laws of the State of California applicable to a contract made by California residents in the State of California that selects California law as the governing law of such contract, without regard to any laws or equitable principles regarding choice of law, conflict of laws or public policies that might make any other law(s) applicable. Without limitation, we express no opinion with respect to the federal laws of the United States of America or the securities or “blue sky” laws of any state or any local or regional laws.</w:t>
      </w:r>
    </w:p>
    <w:p>
      <w:pPr>
        <w:spacing w:after="0" w:line="17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connection with our opinions expressed below, we have assumed that, (i) at or prior to the time of the delivery of any of the Securities, there will not have occurred any change in the law or the facts affecting the validity of the Securities, (ii) if any Debt Securities are issued, such Debt Securities will only be issued pursuant to the Indenture in the form filed with the Registration Statement as an exhibit and that there will not have occurred any change in law affecting the enforceability of the Debt Securities or the Indenture, (iii) all applicable covenants binding on or applicable to the Company restricting the issuance of Debt Securities will have been validly waived, (iv) the Registration Statement and any amendments (including any necessary post-effective amendments) will have been declared effective under the Securities Act, (v) at the time of the offer, issuance and sale of any Securities, no stop order suspending the Registration Statement’s effectiveness will have been issued and remain in effect, (vi) no future amendments will be made to the Charter Documents that would be in conflict with or inconsistent with the Company’s right and ability to issue the Securities, (vii) at the time of each offer, issuance and sale of any Securities, the Company will have a sufficient number of authorized and unissued and unreserved shares of the applicable class or series of its capital stock included in (or purchasable upon exercise or conversion of) the Securities so issued and sold (after taking into account all other outstanding securities of the Company which may require the Company to issue shares of such applicable class or series) to be able to issue all such shares, and (viii) all purchasers of Securities will timely pay in full to the Company</w:t>
      </w:r>
    </w:p>
    <w:p>
      <w:pPr>
        <w:spacing w:after="0" w:line="231"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420"/>
          </w:cols>
          <w:pgMar w:left="240" w:top="368" w:right="239" w:bottom="1440" w:gutter="0" w:footer="0" w:header="0"/>
        </w:sectPr>
      </w:pPr>
    </w:p>
    <w:bookmarkStart w:id="89" w:name="page90"/>
    <w:bookmarkEnd w:id="89"/>
    <w:p>
      <w:pPr>
        <w:jc w:val="both"/>
        <w:spacing w:after="0" w:line="273" w:lineRule="auto"/>
        <w:rPr>
          <w:sz w:val="20"/>
          <w:szCs w:val="20"/>
          <w:color w:val="auto"/>
        </w:rPr>
      </w:pPr>
      <w:r>
        <w:rPr>
          <w:rFonts w:ascii="Arial" w:cs="Arial" w:eastAsia="Arial" w:hAnsi="Arial"/>
          <w:sz w:val="17"/>
          <w:szCs w:val="17"/>
          <w:color w:val="auto"/>
        </w:rPr>
        <w:t>all amounts they have agreed to pay to purchase such Securities, as approved by the Board or a duly authorized committee thereof, and that the purchase price of any Securities that are shares of capital stock will not be less than the par value thereof. We also have assumed that the terms of any Debt Securities to be established subsequent to the date hereof, the issuance and delivery of Securities subsequent to the date hereof and the compliance by the Company with the terms of such Securities will not violate any applicable law (including, without limitation, any law relating to usury or similar laws) or result in a violation of any provision of any of the Charter Documents or of any instrument or agreement then binding upon the Company or any restriction imposed by any court or governmental body having jurisdiction over the Company.</w:t>
      </w:r>
    </w:p>
    <w:p>
      <w:pPr>
        <w:spacing w:after="0" w:line="17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This opinion is qualified by, and is subject to, and we render no opinion with respect to, the following limitations and exceptions to the enforceability of the Debt Securities:</w:t>
      </w:r>
    </w:p>
    <w:p>
      <w:pPr>
        <w:spacing w:after="0" w:line="170" w:lineRule="exact"/>
        <w:rPr>
          <w:sz w:val="20"/>
          <w:szCs w:val="20"/>
          <w:color w:val="auto"/>
        </w:rPr>
      </w:pPr>
    </w:p>
    <w:p>
      <w:pPr>
        <w:jc w:val="both"/>
        <w:ind w:left="1300" w:hanging="644"/>
        <w:spacing w:after="0" w:line="279" w:lineRule="auto"/>
        <w:tabs>
          <w:tab w:leader="none" w:pos="1523"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effect of the laws of bankruptcy, insolvency, reorganization, arrangement, moratorium, fraudulent conveyance, assignment for the benefit of creditors, and other similar laws now or hereinafter in effect relating to or affecting the rights and remedies of creditors, including the effect of statutory or other laws regarding fraudulent transfers or preferential transfers.</w:t>
      </w:r>
    </w:p>
    <w:p>
      <w:pPr>
        <w:spacing w:after="0" w:line="169" w:lineRule="exact"/>
        <w:rPr>
          <w:rFonts w:ascii="Arial" w:cs="Arial" w:eastAsia="Arial" w:hAnsi="Arial"/>
          <w:sz w:val="18"/>
          <w:szCs w:val="18"/>
          <w:color w:val="auto"/>
        </w:rPr>
      </w:pPr>
    </w:p>
    <w:p>
      <w:pPr>
        <w:jc w:val="both"/>
        <w:ind w:left="1300" w:hanging="644"/>
        <w:spacing w:after="0" w:line="303" w:lineRule="auto"/>
        <w:tabs>
          <w:tab w:leader="none" w:pos="1338" w:val="left"/>
        </w:tabs>
        <w:numPr>
          <w:ilvl w:val="0"/>
          <w:numId w:val="97"/>
        </w:numPr>
        <w:rPr>
          <w:rFonts w:ascii="Arial" w:cs="Arial" w:eastAsia="Arial" w:hAnsi="Arial"/>
          <w:sz w:val="17"/>
          <w:szCs w:val="17"/>
          <w:color w:val="auto"/>
        </w:rPr>
      </w:pPr>
      <w:r>
        <w:rPr>
          <w:rFonts w:ascii="Arial" w:cs="Arial" w:eastAsia="Arial" w:hAnsi="Arial"/>
          <w:sz w:val="17"/>
          <w:szCs w:val="17"/>
          <w:color w:val="auto"/>
        </w:rPr>
        <w:t>The effect of general principles of equity and similar principles, including, without limitation, concepts of materiality, reasonableness, good faith and fair dealing, public policy and unconscionability, and the possible unavailability of specific performance, injunctive relief, or other equitable remedies, regardless of whether considered in a proceeding in equity or at law.</w:t>
      </w:r>
    </w:p>
    <w:p>
      <w:pPr>
        <w:spacing w:after="0" w:line="150" w:lineRule="exact"/>
        <w:rPr>
          <w:rFonts w:ascii="Arial" w:cs="Arial" w:eastAsia="Arial" w:hAnsi="Arial"/>
          <w:sz w:val="17"/>
          <w:szCs w:val="17"/>
          <w:color w:val="auto"/>
        </w:rPr>
      </w:pPr>
    </w:p>
    <w:p>
      <w:pPr>
        <w:ind w:left="1320" w:hanging="664"/>
        <w:spacing w:after="0"/>
        <w:tabs>
          <w:tab w:leader="none" w:pos="13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effect of laws relating to usury or permissible rates of interest for loans, forbearances or the use of money.</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express no opinion regarding the effectiveness of any waiver or stay, extension, or of unknown future rights. Further, we express no opinion regarding the effect of provisions relating to indemnification, exculpation or contribution to the extent such provisions may be held unenforceable as contrary to federal or state securities laws or public policy.</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Company has informed us that the Company intends to issue the Securities from time to time on a delayed or continuous basis. This opinion is limited to the Applicable Laws, including the rules and regulations thereunder, as in effect on the date hereof. We are basing this opinion on our understanding that, prior to issuing any Securities in connection with the Registration Statement, the Company will advise us in writing of the terms thereof and other information material thereto, will afford us an opportunity to review the operative documents pursuant to which such Securities are to be issued (including the Registration Statement, the Prospectus and the applicable supplement to the Prospectus, as then in effect) and will file such supplement or amendment to this opinion (if any) as we may reasonably consider necessary or appropriate with respect to such Securities. However, we undertake no responsibility to monitor the Company’s future compliance with applicable laws, rules or regulations of the Commission or other governmental body. In particular, we assume that the Company will obtain the requisite approval of the Board and the requisite approval of its stockholders if required by the laws of the State of Delaware and the Charter Documents, or if necessary because the Company does not have a sufficient number of authorized but unissued and unreserved shares of its capital stock at the time of issuance to comply with any Securities. We also assume the Company will timely file any and all supplements to the Registration Statement and Prospectus as are necessary to comply with applicable laws in effect from time to time and duly amend its Restated Certificate to increase the authorized number of shares of its capital stock as necessary if the number of such shares to be sold pursuant to the Registration Statement would cause the Company to issue more such shares than it has authorized and unissued and unreserved.</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Based upon the foregoing, we are of the following opinion:</w:t>
      </w:r>
    </w:p>
    <w:p>
      <w:pPr>
        <w:spacing w:after="0" w:line="200" w:lineRule="exact"/>
        <w:rPr>
          <w:sz w:val="20"/>
          <w:szCs w:val="20"/>
          <w:color w:val="auto"/>
        </w:rPr>
      </w:pPr>
    </w:p>
    <w:p>
      <w:pPr>
        <w:spacing w:after="0" w:line="241" w:lineRule="exact"/>
        <w:rPr>
          <w:sz w:val="20"/>
          <w:szCs w:val="20"/>
          <w:color w:val="auto"/>
        </w:rPr>
      </w:pPr>
    </w:p>
    <w:p>
      <w:pPr>
        <w:jc w:val="both"/>
        <w:ind w:left="1140" w:hanging="484"/>
        <w:spacing w:after="0" w:line="264" w:lineRule="auto"/>
        <w:tabs>
          <w:tab w:leader="none" w:pos="11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With respect to any Debt Securities registered pursuant to the Registration Statement, when (i) the issuance of such Debt Securities has been duly authorized by all required corporate action of the Board or a duly authorized committee thereof, and, if required, of the stockholders of the Company in</w:t>
      </w:r>
    </w:p>
    <w:p>
      <w:pPr>
        <w:spacing w:after="0" w:line="233"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420"/>
          </w:cols>
          <w:pgMar w:left="240" w:top="368" w:right="239" w:bottom="1440" w:gutter="0" w:footer="0" w:header="0"/>
        </w:sectPr>
      </w:pPr>
    </w:p>
    <w:bookmarkStart w:id="90" w:name="page91"/>
    <w:bookmarkEnd w:id="90"/>
    <w:p>
      <w:pPr>
        <w:jc w:val="both"/>
        <w:ind w:left="484"/>
        <w:spacing w:after="0" w:line="340" w:lineRule="auto"/>
        <w:rPr>
          <w:sz w:val="20"/>
          <w:szCs w:val="20"/>
          <w:color w:val="auto"/>
        </w:rPr>
      </w:pPr>
      <w:r>
        <w:rPr>
          <w:rFonts w:ascii="Arial" w:cs="Arial" w:eastAsia="Arial" w:hAnsi="Arial"/>
          <w:sz w:val="16"/>
          <w:szCs w:val="16"/>
          <w:color w:val="auto"/>
        </w:rPr>
        <w:t>accordance with the Charter Documents and Applicable Laws, (ii) an Indenture relating to such Debt Securities in the form filed with the Registration Statement as an exhibit has been duly authorized and validly executed and delivered by each of the Company (by duly authorized officers of the Company) and the Trustee, (iii) the form and terms of the Debt Securities have been duly established in accordance with the Indenture pursuant to resolutions duly adopted by the Board or a duly authorized committee thereof and as set forth in an officer’s certificate or supplemental indenture duly authorized by the Board or a duly authorized committee thereof in accordance with the Charter Documents and Applicable Laws and duly executed by an authorized officer of the Company, and (iv) instruments representing such Debt Securities have been duly executed and authenticated in accordance with the terms of the Indenture and any supplement thereto, and issued, sold and delivered in the manner and for the consideration approved by the Board or a duly authorized committee thereof and stated in the Registration Statement, the Prospectus and any prospectus supplement relating thereto (as amended as of the date of such issuance, sale and delivery) and any applicable definitive purchase, underwriting or similar agreement and upon the exercise of Warrants to purchase Debt Securities, upon payment of the consideration provided for therein and approved by the Board or a duly authorized committee thereof, then the Debt Securities will be validly issued and will constitute valid and binding obligations of the Company.</w:t>
      </w:r>
    </w:p>
    <w:p>
      <w:pPr>
        <w:spacing w:after="0" w:line="141" w:lineRule="exact"/>
        <w:rPr>
          <w:sz w:val="20"/>
          <w:szCs w:val="20"/>
          <w:color w:val="auto"/>
        </w:rPr>
      </w:pPr>
    </w:p>
    <w:p>
      <w:pPr>
        <w:jc w:val="both"/>
        <w:ind w:left="484" w:hanging="484"/>
        <w:spacing w:after="0" w:line="287" w:lineRule="auto"/>
        <w:tabs>
          <w:tab w:leader="none" w:pos="484" w:val="left"/>
        </w:tabs>
        <w:numPr>
          <w:ilvl w:val="0"/>
          <w:numId w:val="99"/>
        </w:numPr>
        <w:rPr>
          <w:rFonts w:ascii="Arial" w:cs="Arial" w:eastAsia="Arial" w:hAnsi="Arial"/>
          <w:sz w:val="16"/>
          <w:szCs w:val="16"/>
          <w:color w:val="auto"/>
        </w:rPr>
      </w:pPr>
      <w:r>
        <w:rPr>
          <w:rFonts w:ascii="Arial" w:cs="Arial" w:eastAsia="Arial" w:hAnsi="Arial"/>
          <w:sz w:val="16"/>
          <w:szCs w:val="16"/>
          <w:color w:val="auto"/>
        </w:rPr>
        <w:t>With respect to the shares of Common Stock registered pursuant to the Registration Statement, when (i) the issuance of and the terms of the offering of such shares of Common Stock and related matters have been duly authorized by all required corporate action of the Board or a duly authorized committee thereof, and, if required, of the stockholders of the Company in accordance with the Charter Documents and the Applicable Laws and (ii) if required, certificates representing the shares of Common Stock have been duly executed, countersigned, registered and delivered either (a) in accordance with the applicable definitive purchase, underwriting or similar agreement approved by the Board or a duly authorized committee thereof, or upon the exercise of Warrants to purchase Common Stock, upon payment of the consideration therefor (in an amount not less than the par value per share of the Common Stock) provided for therein and approved by the Board or a duly authorized committee thereof, or (b) upon conversion or exercise of any other security of the Company, in accordance with the terms of such security or the instrument governing such security providing for such conversion or exercise as approved by the Board or a duly authorized committee thereof, for the consideration approved by the Board or a duly authorized committee thereof (in an amount not less than the par value per share of the Common Stock), then such shares of Common Stock will be validly issued, fully paid and nonassessable.</w:t>
      </w:r>
    </w:p>
    <w:p>
      <w:pPr>
        <w:spacing w:after="0" w:line="172" w:lineRule="exact"/>
        <w:rPr>
          <w:rFonts w:ascii="Arial" w:cs="Arial" w:eastAsia="Arial" w:hAnsi="Arial"/>
          <w:sz w:val="16"/>
          <w:szCs w:val="16"/>
          <w:color w:val="auto"/>
        </w:rPr>
      </w:pPr>
    </w:p>
    <w:p>
      <w:pPr>
        <w:ind w:left="484" w:right="40" w:hanging="484"/>
        <w:spacing w:after="0" w:line="286" w:lineRule="auto"/>
        <w:tabs>
          <w:tab w:leader="none" w:pos="484" w:val="left"/>
        </w:tabs>
        <w:numPr>
          <w:ilvl w:val="0"/>
          <w:numId w:val="99"/>
        </w:numPr>
        <w:rPr>
          <w:rFonts w:ascii="Arial" w:cs="Arial" w:eastAsia="Arial" w:hAnsi="Arial"/>
          <w:sz w:val="16"/>
          <w:szCs w:val="16"/>
          <w:color w:val="auto"/>
        </w:rPr>
      </w:pPr>
      <w:r>
        <w:rPr>
          <w:rFonts w:ascii="Arial" w:cs="Arial" w:eastAsia="Arial" w:hAnsi="Arial"/>
          <w:sz w:val="16"/>
          <w:szCs w:val="16"/>
          <w:color w:val="auto"/>
        </w:rPr>
        <w:t>With respect to any particular series of shares of Preferred Stock registered pursuant to the Registration Statement, when (i) the issuance and terms of such shares of Preferred Stock, the terms of the offering thereof and related matters, including the adoption of a certificate of designation relating to such Preferred Stock conforming to the Company’s Restated Certificate and Bylaws and the Delaware General Corporation Law (a “</w:t>
      </w:r>
      <w:r>
        <w:rPr>
          <w:rFonts w:ascii="Arial" w:cs="Arial" w:eastAsia="Arial" w:hAnsi="Arial"/>
          <w:sz w:val="16"/>
          <w:szCs w:val="16"/>
          <w:b w:val="1"/>
          <w:bCs w:val="1"/>
          <w:i w:val="1"/>
          <w:iCs w:val="1"/>
          <w:color w:val="auto"/>
        </w:rPr>
        <w:t>Certificate</w:t>
      </w:r>
      <w:r>
        <w:rPr>
          <w:rFonts w:ascii="Arial" w:cs="Arial" w:eastAsia="Arial" w:hAnsi="Arial"/>
          <w:sz w:val="16"/>
          <w:szCs w:val="16"/>
          <w:color w:val="auto"/>
        </w:rPr>
        <w:t>”) and the filing of such Certificate with the Secretary of State of the State of Delaware (or the filing of an amendment to the Company’s Certificate of Incorporation to similar effect), have been duly authorized by all required corporate action of the Board or a duly authorized committee thereof and, if required, of the stockholders of the Company in accordance with the Charter Documents and Applicable Laws and (ii) if required, certificates representing the shares of Preferred Stock have been duly executed, countersigned, registered and delivered either (a) in accordance with the applicable definitive purchase, underwriting or similar agreement approved by the Board or a duly authorized committee thereof, or upon the exercise of Warrants to purchase Preferred Stock, upon payment of the consideration therefor (in an amount not less than the par value per share of such Preferred Stock) provided for therein and approved by the Board or a duly authorized committee thereof or (b) upon conversion or exercise of any other security of the Company, in accordance with the terms of such security or the instrument governing such security providing for such conversion or exercise as approved by the Board or a duly authorized committee thereof, for the consideration approved by the Board or a duly authorized committee thereof (in an amount not less than the par value per share of the Preferred Stock), then such shares of Preferred Stock will be validly issued, fully paid and nonassessable.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564"/>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0764"/>
          </w:cols>
          <w:pgMar w:left="896" w:top="395" w:right="239" w:bottom="1440" w:gutter="0" w:footer="0" w:header="0"/>
        </w:sectPr>
      </w:pPr>
    </w:p>
    <w:bookmarkStart w:id="91" w:name="page92"/>
    <w:bookmarkEnd w:id="91"/>
    <w:p>
      <w:pPr>
        <w:jc w:val="both"/>
        <w:ind w:left="1140" w:hanging="484"/>
        <w:spacing w:after="0" w:line="289" w:lineRule="auto"/>
        <w:tabs>
          <w:tab w:leader="none" w:pos="1140" w:val="left"/>
        </w:tabs>
        <w:numPr>
          <w:ilvl w:val="1"/>
          <w:numId w:val="100"/>
        </w:numPr>
        <w:rPr>
          <w:rFonts w:ascii="Arial" w:cs="Arial" w:eastAsia="Arial" w:hAnsi="Arial"/>
          <w:sz w:val="16"/>
          <w:szCs w:val="16"/>
          <w:color w:val="auto"/>
        </w:rPr>
      </w:pPr>
      <w:r>
        <w:rPr>
          <w:rFonts w:ascii="Arial" w:cs="Arial" w:eastAsia="Arial" w:hAnsi="Arial"/>
          <w:sz w:val="16"/>
          <w:szCs w:val="16"/>
          <w:color w:val="auto"/>
        </w:rPr>
        <w:t>With respect to any Warrants registered pursuant to the Registration Statement, when (i) the issuance and terms of such Warrants, the terms, execution and delivery of the warrant agreement relating to the Warrants (“</w:t>
      </w:r>
      <w:r>
        <w:rPr>
          <w:rFonts w:ascii="Arial" w:cs="Arial" w:eastAsia="Arial" w:hAnsi="Arial"/>
          <w:sz w:val="16"/>
          <w:szCs w:val="16"/>
          <w:b w:val="1"/>
          <w:bCs w:val="1"/>
          <w:i w:val="1"/>
          <w:iCs w:val="1"/>
          <w:color w:val="auto"/>
        </w:rPr>
        <w:t>Warrant Agreement</w:t>
      </w:r>
      <w:r>
        <w:rPr>
          <w:rFonts w:ascii="Arial" w:cs="Arial" w:eastAsia="Arial" w:hAnsi="Arial"/>
          <w:sz w:val="16"/>
          <w:szCs w:val="16"/>
          <w:color w:val="auto"/>
        </w:rPr>
        <w:t>”), the terms of the offering thereof and related matters have been duly authorized by all required corporate action of the Board or a duly authorized committee thereof and, if required, of the stockholders of the Company in accordance with the Charter Documents and Applicable Laws, (ii) the Warrant Agreement has been duly authorized and validly executed and delivered by the Company by duly authorized officers of the Company, and (iii) such Warrants have been duly executed, issued and delivered by the Company by duly authorized officers of the Company in accordance with the provisions of the applicable Warrant Agreement and the applicable definitive purchase, underwriting or similar agreement approved by the Board or a duly authorized committee thereof, upon payment of the consideration therefor provided for therein and approved by the Board or a duly authorized committee thereof, such Warrants will constitute valid and binding obligations of the Company.</w:t>
      </w:r>
    </w:p>
    <w:p>
      <w:pPr>
        <w:spacing w:after="0" w:line="342" w:lineRule="exact"/>
        <w:rPr>
          <w:rFonts w:ascii="Arial" w:cs="Arial" w:eastAsia="Arial" w:hAnsi="Arial"/>
          <w:sz w:val="16"/>
          <w:szCs w:val="16"/>
          <w:color w:val="auto"/>
        </w:rPr>
      </w:pPr>
    </w:p>
    <w:p>
      <w:pPr>
        <w:jc w:val="both"/>
        <w:ind w:left="1140" w:hanging="484"/>
        <w:spacing w:after="0" w:line="270" w:lineRule="auto"/>
        <w:tabs>
          <w:tab w:leader="none" w:pos="1140" w:val="left"/>
        </w:tabs>
        <w:numPr>
          <w:ilvl w:val="1"/>
          <w:numId w:val="100"/>
        </w:numPr>
        <w:rPr>
          <w:rFonts w:ascii="Arial" w:cs="Arial" w:eastAsia="Arial" w:hAnsi="Arial"/>
          <w:sz w:val="17"/>
          <w:szCs w:val="17"/>
          <w:color w:val="auto"/>
        </w:rPr>
      </w:pPr>
      <w:r>
        <w:rPr>
          <w:rFonts w:ascii="Arial" w:cs="Arial" w:eastAsia="Arial" w:hAnsi="Arial"/>
          <w:sz w:val="17"/>
          <w:szCs w:val="17"/>
          <w:color w:val="auto"/>
        </w:rPr>
        <w:t>With respect to any Subscription Rights registered pursuant to the Registration Statement, when (i) the issuance and terms of such Subscription Rights, the terms, execution and delivery of the subscription rights agreement relating to the Subscription Rights (“</w:t>
      </w:r>
      <w:r>
        <w:rPr>
          <w:rFonts w:ascii="Arial" w:cs="Arial" w:eastAsia="Arial" w:hAnsi="Arial"/>
          <w:sz w:val="17"/>
          <w:szCs w:val="17"/>
          <w:b w:val="1"/>
          <w:bCs w:val="1"/>
          <w:i w:val="1"/>
          <w:iCs w:val="1"/>
          <w:color w:val="auto"/>
        </w:rPr>
        <w:t>Subscription</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Rights Agreement</w:t>
      </w:r>
      <w:r>
        <w:rPr>
          <w:rFonts w:ascii="Arial" w:cs="Arial" w:eastAsia="Arial" w:hAnsi="Arial"/>
          <w:sz w:val="17"/>
          <w:szCs w:val="17"/>
          <w:color w:val="auto"/>
        </w:rPr>
        <w:t>”), the terms of the offering thereof and related matters have been duly authorized by all required corporate action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Board or a duly authorized committee thereof and, if required, of the stockholders of the Company in accordance with the Charter Documents and Applicable Laws, (ii) the Subscription Rights Agreement has been duly authorized and validly executed and delivered by duly authorized officers of the Company, and (iii) such Subscription Rights have been duly executed, issued and delivered by the Company by duly authorized officers of the Company in accordance with the provisions of the applicable Subscription Rights Agreement and the applicable definitive purchase, underwriting or similar agreement approved by the Board or a duly authorized committee thereof, upon payment of the consideration therefor provided for therein and approved by the Board or a duly authorized committee thereof, such Subscription Rights will constitute valid and binding obligations of the Company.</w:t>
      </w:r>
    </w:p>
    <w:p>
      <w:pPr>
        <w:spacing w:after="0" w:line="177" w:lineRule="exact"/>
        <w:rPr>
          <w:rFonts w:ascii="Arial" w:cs="Arial" w:eastAsia="Arial" w:hAnsi="Arial"/>
          <w:sz w:val="17"/>
          <w:szCs w:val="17"/>
          <w:color w:val="auto"/>
        </w:rPr>
      </w:pPr>
    </w:p>
    <w:p>
      <w:pPr>
        <w:jc w:val="both"/>
        <w:ind w:left="1160" w:hanging="531"/>
        <w:spacing w:after="0" w:line="253" w:lineRule="auto"/>
        <w:tabs>
          <w:tab w:leader="none" w:pos="11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With respect to any Units registered pursuant to the Registration Statement, when (i) the conditions outlined in the immediately preceding paragraphs (1) through (5) that apply to the Securities that make up such Units are all met, (ii) the issuance and terms of such Units, the terms, execution and delivery of the unit agreement relating to the Units (“</w:t>
      </w:r>
      <w:r>
        <w:rPr>
          <w:rFonts w:ascii="Arial" w:cs="Arial" w:eastAsia="Arial" w:hAnsi="Arial"/>
          <w:sz w:val="18"/>
          <w:szCs w:val="18"/>
          <w:b w:val="1"/>
          <w:bCs w:val="1"/>
          <w:i w:val="1"/>
          <w:iCs w:val="1"/>
          <w:color w:val="auto"/>
        </w:rPr>
        <w:t>Unit Agreement</w:t>
      </w:r>
      <w:r>
        <w:rPr>
          <w:rFonts w:ascii="Arial" w:cs="Arial" w:eastAsia="Arial" w:hAnsi="Arial"/>
          <w:sz w:val="18"/>
          <w:szCs w:val="18"/>
          <w:color w:val="auto"/>
        </w:rPr>
        <w:t>”), the terms of the offering thereof and related matters have been duly authorized by appropriate corporate action of the Board or a duly authorized committee thereof and, if required, the stockholders of the Company, (iii) the Unit Agreement has been duly authorized and validly executed and delivered, and (iv) such Units have been duly executed, issued and delivered by duly authorized officers of the Company in accordance with the provisions of the applicable Unit Agreement and the applicable definitive purchase, underwriting or similar agreement approved by the Board or a duly authorized committee thereof, upon payment of the consideration therefor provided for therein, such Units will constitute valid and binding obligations of the Company.</w:t>
      </w:r>
    </w:p>
    <w:p>
      <w:pPr>
        <w:spacing w:after="0" w:line="19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consent to the use of this opinion as an exhibit to the Registration Statement and further consent to all references to us, if any, in the Registration Statement, the Prospectus constituting parts thereof and any amendments thereto. In giving this consent we do not thereby admit that we come within the category of persons whose consent is required by the Securities Act or by the rules and regulations promulgated thereunder.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[Concluding Paragraph Follows on Next Page]</w:t>
      </w:r>
    </w:p>
    <w:p>
      <w:pPr>
        <w:spacing w:after="0" w:line="200" w:lineRule="exact"/>
        <w:rPr>
          <w:sz w:val="20"/>
          <w:szCs w:val="20"/>
          <w:color w:val="auto"/>
        </w:rPr>
      </w:pPr>
    </w:p>
    <w:p>
      <w:pPr>
        <w:spacing w:after="0" w:line="293"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420"/>
          </w:cols>
          <w:pgMar w:left="240" w:top="368" w:right="239" w:bottom="1440" w:gutter="0" w:footer="0" w:header="0"/>
        </w:sectPr>
      </w:pPr>
    </w:p>
    <w:bookmarkStart w:id="92" w:name="page93"/>
    <w:bookmarkEnd w:id="92"/>
    <w:p>
      <w:pPr>
        <w:jc w:val="both"/>
        <w:ind w:firstLine="648"/>
        <w:spacing w:after="0" w:line="293" w:lineRule="auto"/>
        <w:rPr>
          <w:sz w:val="20"/>
          <w:szCs w:val="20"/>
          <w:color w:val="auto"/>
        </w:rPr>
      </w:pPr>
      <w:r>
        <w:rPr>
          <w:rFonts w:ascii="Arial" w:cs="Arial" w:eastAsia="Arial" w:hAnsi="Arial"/>
          <w:sz w:val="16"/>
          <w:szCs w:val="16"/>
          <w:color w:val="auto"/>
        </w:rPr>
        <w:t>This opinion is intended solely for use in connection with the issuance and sale of the Securities subject to the Registration Statement and is not to be relied upon for any other purpose. In providing this letter, we are opining only as to the specific legal issues expressly set forth above, and no opinion shall be inferred as to any other matter or matters. This opinion is rendered on, and speaks only as of, the date of this letter first written above, is based solely on our understanding of facts in existence as of such date after the aforementioned examination and does not address any potential changes in facts, circumstance or law that may occur after the date of this opinion letter. We assume no obligation to advise you of any fact, circumstance, event or change in the law or the facts that may hereafter be brought to our attention whether or not such occurrence would affect or modify any of the opinions expressed herein.</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5800"/>
        <w:spacing w:after="0"/>
        <w:rPr>
          <w:sz w:val="20"/>
          <w:szCs w:val="20"/>
          <w:color w:val="auto"/>
        </w:rPr>
      </w:pPr>
      <w:r>
        <w:rPr>
          <w:rFonts w:ascii="Arial" w:cs="Arial" w:eastAsia="Arial" w:hAnsi="Arial"/>
          <w:sz w:val="20"/>
          <w:szCs w:val="20"/>
          <w:color w:val="auto"/>
        </w:rPr>
        <w:t>Very truly yours,</w:t>
      </w:r>
    </w:p>
    <w:p>
      <w:pPr>
        <w:spacing w:after="0" w:line="318" w:lineRule="exact"/>
        <w:rPr>
          <w:sz w:val="20"/>
          <w:szCs w:val="20"/>
          <w:color w:val="auto"/>
        </w:rPr>
      </w:pPr>
    </w:p>
    <w:p>
      <w:pPr>
        <w:ind w:left="5800"/>
        <w:spacing w:after="0"/>
        <w:rPr>
          <w:sz w:val="20"/>
          <w:szCs w:val="20"/>
          <w:color w:val="auto"/>
        </w:rPr>
      </w:pPr>
      <w:r>
        <w:rPr>
          <w:rFonts w:ascii="Arial" w:cs="Arial" w:eastAsia="Arial" w:hAnsi="Arial"/>
          <w:sz w:val="20"/>
          <w:szCs w:val="20"/>
          <w:b w:val="1"/>
          <w:bCs w:val="1"/>
          <w:color w:val="auto"/>
        </w:rPr>
        <w:t>/s/ Fenwick &amp; West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3667125</wp:posOffset>
            </wp:positionH>
            <wp:positionV relativeFrom="paragraph">
              <wp:posOffset>31115</wp:posOffset>
            </wp:positionV>
            <wp:extent cx="208407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2084070" cy="8890"/>
                    </a:xfrm>
                    <a:prstGeom prst="rect">
                      <a:avLst/>
                    </a:prstGeom>
                    <a:noFill/>
                  </pic:spPr>
                </pic:pic>
              </a:graphicData>
            </a:graphic>
          </wp:anchor>
        </w:drawing>
      </w:r>
    </w:p>
    <w:p>
      <w:pPr>
        <w:spacing w:after="0" w:line="47" w:lineRule="exact"/>
        <w:rPr>
          <w:sz w:val="20"/>
          <w:szCs w:val="20"/>
          <w:color w:val="auto"/>
        </w:rPr>
      </w:pPr>
    </w:p>
    <w:p>
      <w:pPr>
        <w:ind w:left="5800"/>
        <w:spacing w:after="0"/>
        <w:rPr>
          <w:sz w:val="20"/>
          <w:szCs w:val="20"/>
          <w:color w:val="auto"/>
        </w:rPr>
      </w:pPr>
      <w:r>
        <w:rPr>
          <w:rFonts w:ascii="Arial" w:cs="Arial" w:eastAsia="Arial" w:hAnsi="Arial"/>
          <w:sz w:val="20"/>
          <w:szCs w:val="20"/>
          <w:b w:val="1"/>
          <w:bCs w:val="1"/>
          <w:color w:val="auto"/>
        </w:rPr>
        <w:t>FENWICK &amp; WEST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420"/>
          </w:cols>
          <w:pgMar w:left="240" w:top="760" w:right="2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23.3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consent to the reference to our firm under the caption "Experts" in the Registration Statement (Form S-3) and related Prospectus of Veracyte, Inc. for the registration of common stock, preferred stock, debt securities, warrants, subscription rights, and units, and to the incorporation by reference therein of our reports dated February 25, 2019, with respect to the financial statements of Veracyte, Inc., and the effectiveness of internal control over financial reporting of Veracyte, Inc., included in its Annual Report (Form 10-K) for the year ended December 31, 2018, filed with the Securities and Exchange Commission.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Redwood City, Calfornia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1, 2019</w:t>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A026FA"/>
    <w:multiLevelType w:val="hybridMultilevel"/>
    <w:lvl w:ilvl="0">
      <w:lvlJc w:val="left"/>
      <w:lvlText w:val="(%1)"/>
      <w:numFmt w:val="decimal"/>
      <w:start w:val="1"/>
    </w:lvl>
  </w:abstractNum>
  <w:abstractNum w:abstractNumId="1">
    <w:nsid w:val="79A1DEAA"/>
    <w:multiLevelType w:val="hybridMultilevel"/>
    <w:lvl w:ilvl="0">
      <w:lvlJc w:val="left"/>
      <w:lvlText w:val="•"/>
      <w:numFmt w:val="bullet"/>
      <w:start w:val="1"/>
    </w:lvl>
  </w:abstractNum>
  <w:abstractNum w:abstractNumId="2">
    <w:nsid w:val="75C6C33A"/>
    <w:multiLevelType w:val="hybridMultilevel"/>
    <w:lvl w:ilvl="0">
      <w:lvlJc w:val="left"/>
      <w:lvlText w:val="•"/>
      <w:numFmt w:val="bullet"/>
      <w:start w:val="1"/>
    </w:lvl>
  </w:abstractNum>
  <w:abstractNum w:abstractNumId="3">
    <w:nsid w:val="12E685FB"/>
    <w:multiLevelType w:val="hybridMultilevel"/>
    <w:lvl w:ilvl="0">
      <w:lvlJc w:val="left"/>
      <w:lvlText w:val="•"/>
      <w:numFmt w:val="bullet"/>
      <w:start w:val="1"/>
    </w:lvl>
  </w:abstractNum>
  <w:abstractNum w:abstractNumId="4">
    <w:nsid w:val="70C6A529"/>
    <w:multiLevelType w:val="hybridMultilevel"/>
    <w:lvl w:ilvl="0">
      <w:lvlJc w:val="left"/>
      <w:lvlText w:val="•"/>
      <w:numFmt w:val="bullet"/>
      <w:start w:val="1"/>
    </w:lvl>
  </w:abstractNum>
  <w:abstractNum w:abstractNumId="5">
    <w:nsid w:val="520EEDD1"/>
    <w:multiLevelType w:val="hybridMultilevel"/>
    <w:lvl w:ilvl="0">
      <w:lvlJc w:val="left"/>
      <w:lvlText w:val="•"/>
      <w:numFmt w:val="bullet"/>
      <w:start w:val="1"/>
    </w:lvl>
  </w:abstractNum>
  <w:abstractNum w:abstractNumId="6">
    <w:nsid w:val="374A3FE6"/>
    <w:multiLevelType w:val="hybridMultilevel"/>
    <w:lvl w:ilvl="0">
      <w:lvlJc w:val="left"/>
      <w:lvlText w:val="•"/>
      <w:numFmt w:val="bullet"/>
      <w:start w:val="1"/>
    </w:lvl>
  </w:abstractNum>
  <w:abstractNum w:abstractNumId="7">
    <w:nsid w:val="4F4EF005"/>
    <w:multiLevelType w:val="hybridMultilevel"/>
    <w:lvl w:ilvl="0">
      <w:lvlJc w:val="left"/>
      <w:lvlText w:val="•"/>
      <w:numFmt w:val="bullet"/>
      <w:start w:val="1"/>
    </w:lvl>
  </w:abstractNum>
  <w:abstractNum w:abstractNumId="8">
    <w:nsid w:val="23F9C13C"/>
    <w:multiLevelType w:val="hybridMultilevel"/>
    <w:lvl w:ilvl="0">
      <w:lvlJc w:val="left"/>
      <w:lvlText w:val="•"/>
      <w:numFmt w:val="bullet"/>
      <w:start w:val="1"/>
    </w:lvl>
  </w:abstractNum>
  <w:abstractNum w:abstractNumId="9">
    <w:nsid w:val="649BB77C"/>
    <w:multiLevelType w:val="hybridMultilevel"/>
    <w:lvl w:ilvl="0">
      <w:lvlJc w:val="left"/>
      <w:lvlText w:val="•"/>
      <w:numFmt w:val="bullet"/>
      <w:start w:val="1"/>
    </w:lvl>
  </w:abstractNum>
  <w:abstractNum w:abstractNumId="10">
    <w:nsid w:val="275AC794"/>
    <w:multiLevelType w:val="hybridMultilevel"/>
    <w:lvl w:ilvl="0">
      <w:lvlJc w:val="left"/>
      <w:lvlText w:val="•"/>
      <w:numFmt w:val="bullet"/>
      <w:start w:val="1"/>
    </w:lvl>
  </w:abstractNum>
  <w:abstractNum w:abstractNumId="11">
    <w:nsid w:val="39386575"/>
    <w:multiLevelType w:val="hybridMultilevel"/>
    <w:lvl w:ilvl="0">
      <w:lvlJc w:val="left"/>
      <w:lvlText w:val="•"/>
      <w:numFmt w:val="bullet"/>
      <w:start w:val="1"/>
    </w:lvl>
  </w:abstractNum>
  <w:abstractNum w:abstractNumId="12">
    <w:nsid w:val="1CF10FD8"/>
    <w:multiLevelType w:val="hybridMultilevel"/>
    <w:lvl w:ilvl="0">
      <w:lvlJc w:val="left"/>
      <w:lvlText w:val="•"/>
      <w:numFmt w:val="bullet"/>
      <w:start w:val="1"/>
    </w:lvl>
  </w:abstractNum>
  <w:abstractNum w:abstractNumId="13">
    <w:nsid w:val="180115BE"/>
    <w:multiLevelType w:val="hybridMultilevel"/>
    <w:lvl w:ilvl="0">
      <w:lvlJc w:val="left"/>
      <w:lvlText w:val="•"/>
      <w:numFmt w:val="bullet"/>
      <w:start w:val="1"/>
    </w:lvl>
  </w:abstractNum>
  <w:abstractNum w:abstractNumId="14">
    <w:nsid w:val="235BA861"/>
    <w:multiLevelType w:val="hybridMultilevel"/>
    <w:lvl w:ilvl="0">
      <w:lvlJc w:val="left"/>
      <w:lvlText w:val="•"/>
      <w:numFmt w:val="bullet"/>
      <w:start w:val="1"/>
    </w:lvl>
  </w:abstractNum>
  <w:abstractNum w:abstractNumId="15">
    <w:nsid w:val="47398C89"/>
    <w:multiLevelType w:val="hybridMultilevel"/>
    <w:lvl w:ilvl="0">
      <w:lvlJc w:val="left"/>
      <w:lvlText w:val="•"/>
      <w:numFmt w:val="bullet"/>
      <w:start w:val="1"/>
    </w:lvl>
  </w:abstractNum>
  <w:abstractNum w:abstractNumId="16">
    <w:nsid w:val="354FE9F9"/>
    <w:multiLevelType w:val="hybridMultilevel"/>
    <w:lvl w:ilvl="0">
      <w:lvlJc w:val="left"/>
      <w:lvlText w:val="•"/>
      <w:numFmt w:val="bullet"/>
      <w:start w:val="1"/>
    </w:lvl>
  </w:abstractNum>
  <w:abstractNum w:abstractNumId="17">
    <w:nsid w:val="15B5AF5C"/>
    <w:multiLevelType w:val="hybridMultilevel"/>
    <w:lvl w:ilvl="0">
      <w:lvlJc w:val="left"/>
      <w:lvlText w:val="•"/>
      <w:numFmt w:val="bullet"/>
      <w:start w:val="1"/>
    </w:lvl>
  </w:abstractNum>
  <w:abstractNum w:abstractNumId="18">
    <w:nsid w:val="741226BB"/>
    <w:multiLevelType w:val="hybridMultilevel"/>
    <w:lvl w:ilvl="0">
      <w:lvlJc w:val="left"/>
      <w:lvlText w:val="•"/>
      <w:numFmt w:val="bullet"/>
      <w:start w:val="1"/>
    </w:lvl>
  </w:abstractNum>
  <w:abstractNum w:abstractNumId="19">
    <w:nsid w:val="D34B6A8"/>
    <w:multiLevelType w:val="hybridMultilevel"/>
    <w:lvl w:ilvl="0">
      <w:lvlJc w:val="left"/>
      <w:lvlText w:val="•"/>
      <w:numFmt w:val="bullet"/>
      <w:start w:val="1"/>
    </w:lvl>
  </w:abstractNum>
  <w:abstractNum w:abstractNumId="20">
    <w:nsid w:val="10233C99"/>
    <w:multiLevelType w:val="hybridMultilevel"/>
    <w:lvl w:ilvl="0">
      <w:lvlJc w:val="left"/>
      <w:lvlText w:val="•"/>
      <w:numFmt w:val="bullet"/>
      <w:start w:val="1"/>
    </w:lvl>
  </w:abstractNum>
  <w:abstractNum w:abstractNumId="21">
    <w:nsid w:val="3F6AB60F"/>
    <w:multiLevelType w:val="hybridMultilevel"/>
    <w:lvl w:ilvl="0">
      <w:lvlJc w:val="left"/>
      <w:lvlText w:val="•"/>
      <w:numFmt w:val="bullet"/>
      <w:start w:val="1"/>
    </w:lvl>
  </w:abstractNum>
  <w:abstractNum w:abstractNumId="22">
    <w:nsid w:val="61574095"/>
    <w:multiLevelType w:val="hybridMultilevel"/>
    <w:lvl w:ilvl="0">
      <w:lvlJc w:val="left"/>
      <w:lvlText w:val="•"/>
      <w:numFmt w:val="bullet"/>
      <w:start w:val="1"/>
    </w:lvl>
  </w:abstractNum>
  <w:abstractNum w:abstractNumId="23">
    <w:nsid w:val="7E0C57B1"/>
    <w:multiLevelType w:val="hybridMultilevel"/>
    <w:lvl w:ilvl="0">
      <w:lvlJc w:val="left"/>
      <w:lvlText w:val="•"/>
      <w:numFmt w:val="bullet"/>
      <w:start w:val="1"/>
    </w:lvl>
  </w:abstractNum>
  <w:abstractNum w:abstractNumId="24">
    <w:nsid w:val="77AE35EB"/>
    <w:multiLevelType w:val="hybridMultilevel"/>
    <w:lvl w:ilvl="0">
      <w:lvlJc w:val="left"/>
      <w:lvlText w:val="•"/>
      <w:numFmt w:val="bullet"/>
      <w:start w:val="1"/>
    </w:lvl>
  </w:abstractNum>
  <w:abstractNum w:abstractNumId="25">
    <w:nsid w:val="579BE4F1"/>
    <w:multiLevelType w:val="hybridMultilevel"/>
    <w:lvl w:ilvl="0">
      <w:lvlJc w:val="left"/>
      <w:lvlText w:val="*"/>
      <w:numFmt w:val="bullet"/>
      <w:start w:val="1"/>
    </w:lvl>
  </w:abstractNum>
  <w:abstractNum w:abstractNumId="26">
    <w:nsid w:val="310C50B3"/>
    <w:multiLevelType w:val="hybridMultilevel"/>
    <w:lvl w:ilvl="0">
      <w:lvlJc w:val="left"/>
      <w:lvlText w:val="•"/>
      <w:numFmt w:val="bullet"/>
      <w:start w:val="1"/>
    </w:lvl>
  </w:abstractNum>
  <w:abstractNum w:abstractNumId="27">
    <w:nsid w:val="5FF87E05"/>
    <w:multiLevelType w:val="hybridMultilevel"/>
    <w:lvl w:ilvl="0">
      <w:lvlJc w:val="left"/>
      <w:lvlText w:val="*"/>
      <w:numFmt w:val="bullet"/>
      <w:start w:val="1"/>
    </w:lvl>
  </w:abstractNum>
  <w:abstractNum w:abstractNumId="28">
    <w:nsid w:val="2F305DEF"/>
    <w:multiLevelType w:val="hybridMultilevel"/>
    <w:lvl w:ilvl="0">
      <w:lvlJc w:val="left"/>
      <w:lvlText w:val="(%1)"/>
      <w:numFmt w:val="decimal"/>
      <w:start w:val="1"/>
    </w:lvl>
    <w:lvl w:ilvl="1">
      <w:lvlJc w:val="left"/>
      <w:lvlText w:val="(%2)"/>
      <w:numFmt w:val="lowerRoman"/>
      <w:start w:val="1"/>
    </w:lvl>
  </w:abstractNum>
  <w:abstractNum w:abstractNumId="29">
    <w:nsid w:val="25A70BF7"/>
    <w:multiLevelType w:val="hybridMultilevel"/>
    <w:lvl w:ilvl="0">
      <w:lvlJc w:val="left"/>
      <w:lvlText w:val="(%1)"/>
      <w:numFmt w:val="decimal"/>
      <w:start w:val="2"/>
    </w:lvl>
  </w:abstractNum>
  <w:abstractNum w:abstractNumId="30">
    <w:nsid w:val="1DBABF00"/>
    <w:multiLevelType w:val="hybridMultilevel"/>
    <w:lvl w:ilvl="0">
      <w:lvlJc w:val="left"/>
      <w:lvlText w:val="(%1)"/>
      <w:numFmt w:val="decimal"/>
      <w:start w:val="3"/>
    </w:lvl>
    <w:lvl w:ilvl="1">
      <w:lvlJc w:val="left"/>
      <w:lvlText w:val="(%2)"/>
      <w:numFmt w:val="lowerRoman"/>
      <w:start w:val="1"/>
    </w:lvl>
  </w:abstractNum>
  <w:abstractNum w:abstractNumId="31">
    <w:nsid w:val="4AD084E9"/>
    <w:multiLevelType w:val="hybridMultilevel"/>
    <w:lvl w:ilvl="0">
      <w:lvlJc w:val="left"/>
      <w:lvlText w:val="(%1)"/>
      <w:numFmt w:val="decimal"/>
      <w:start w:val="1"/>
    </w:lvl>
  </w:abstractNum>
  <w:abstractNum w:abstractNumId="32">
    <w:nsid w:val="1F48EAA1"/>
    <w:multiLevelType w:val="hybridMultilevel"/>
    <w:lvl w:ilvl="0">
      <w:lvlJc w:val="left"/>
      <w:lvlText w:val="(%1)"/>
      <w:numFmt w:val="decimal"/>
      <w:start w:val="4"/>
    </w:lvl>
  </w:abstractNum>
  <w:abstractNum w:abstractNumId="33">
    <w:nsid w:val="1381823A"/>
    <w:multiLevelType w:val="hybridMultilevel"/>
    <w:lvl w:ilvl="0">
      <w:lvlJc w:val="left"/>
      <w:lvlText w:val="(%1)"/>
      <w:numFmt w:val="lowerLetter"/>
      <w:start w:val="1"/>
    </w:lvl>
  </w:abstractNum>
  <w:abstractNum w:abstractNumId="34">
    <w:nsid w:val="5DB70AE5"/>
    <w:multiLevelType w:val="hybridMultilevel"/>
    <w:lvl w:ilvl="0">
      <w:lvlJc w:val="left"/>
      <w:lvlText w:val="(%1)"/>
      <w:numFmt w:val="lowerLetter"/>
      <w:start w:val="1"/>
    </w:lvl>
  </w:abstractNum>
  <w:abstractNum w:abstractNumId="35">
    <w:nsid w:val="100F8FCA"/>
    <w:multiLevelType w:val="hybridMultilevel"/>
    <w:lvl w:ilvl="0">
      <w:lvlJc w:val="left"/>
      <w:lvlText w:val="(%1)"/>
      <w:numFmt w:val="lowerLetter"/>
      <w:start w:val="3"/>
    </w:lvl>
  </w:abstractNum>
  <w:abstractNum w:abstractNumId="36">
    <w:nsid w:val="6590700B"/>
    <w:multiLevelType w:val="hybridMultilevel"/>
    <w:lvl w:ilvl="0">
      <w:lvlJc w:val="left"/>
      <w:lvlText w:val="(%1)"/>
      <w:numFmt w:val="lowerLetter"/>
      <w:start w:val="2"/>
    </w:lvl>
  </w:abstractNum>
  <w:abstractNum w:abstractNumId="37">
    <w:nsid w:val="15014ACB"/>
    <w:multiLevelType w:val="hybridMultilevel"/>
    <w:lvl w:ilvl="0">
      <w:lvlJc w:val="left"/>
      <w:lvlText w:val="(%1)"/>
      <w:numFmt w:val="decimal"/>
      <w:start w:val="2"/>
    </w:lvl>
  </w:abstractNum>
  <w:abstractNum w:abstractNumId="38">
    <w:nsid w:val="5F5E7FD0"/>
    <w:multiLevelType w:val="hybridMultilevel"/>
    <w:lvl w:ilvl="0">
      <w:lvlJc w:val="left"/>
      <w:lvlText w:val="(%1)"/>
      <w:numFmt w:val="lowerLetter"/>
      <w:start w:val="3"/>
    </w:lvl>
  </w:abstractNum>
  <w:abstractNum w:abstractNumId="39">
    <w:nsid w:val="98A3148"/>
    <w:multiLevelType w:val="hybridMultilevel"/>
    <w:lvl w:ilvl="0">
      <w:lvlJc w:val="left"/>
      <w:lvlText w:val="(%1)"/>
      <w:numFmt w:val="lowerLetter"/>
      <w:start w:val="3"/>
    </w:lvl>
  </w:abstractNum>
  <w:abstractNum w:abstractNumId="40">
    <w:nsid w:val="799D0247"/>
    <w:multiLevelType w:val="hybridMultilevel"/>
    <w:lvl w:ilvl="0">
      <w:lvlJc w:val="left"/>
      <w:lvlText w:val="(%1)"/>
      <w:numFmt w:val="lowerLetter"/>
      <w:start w:val="1"/>
    </w:lvl>
  </w:abstractNum>
  <w:abstractNum w:abstractNumId="41">
    <w:nsid w:val="6B94764"/>
    <w:multiLevelType w:val="hybridMultilevel"/>
    <w:lvl w:ilvl="0">
      <w:lvlJc w:val="left"/>
      <w:lvlText w:val="(%1)"/>
      <w:numFmt w:val="lowerLetter"/>
      <w:start w:val="2"/>
    </w:lvl>
  </w:abstractNum>
  <w:abstractNum w:abstractNumId="42">
    <w:nsid w:val="42C296BD"/>
    <w:multiLevelType w:val="hybridMultilevel"/>
    <w:lvl w:ilvl="0">
      <w:lvlJc w:val="left"/>
      <w:lvlText w:val="(%1)"/>
      <w:numFmt w:val="lowerLetter"/>
      <w:start w:val="2"/>
    </w:lvl>
  </w:abstractNum>
  <w:abstractNum w:abstractNumId="43">
    <w:nsid w:val="168E121F"/>
    <w:multiLevelType w:val="hybridMultilevel"/>
    <w:lvl w:ilvl="0">
      <w:lvlJc w:val="left"/>
      <w:lvlText w:val="(%1)"/>
      <w:numFmt w:val="lowerLetter"/>
      <w:start w:val="2"/>
    </w:lvl>
  </w:abstractNum>
  <w:abstractNum w:abstractNumId="44">
    <w:nsid w:val="1EBA5D23"/>
    <w:multiLevelType w:val="hybridMultilevel"/>
    <w:lvl w:ilvl="0">
      <w:lvlJc w:val="left"/>
      <w:lvlText w:val="(%1)"/>
      <w:numFmt w:val="decimal"/>
      <w:start w:val="1"/>
    </w:lvl>
  </w:abstractNum>
  <w:abstractNum w:abstractNumId="45">
    <w:nsid w:val="661E3F1E"/>
    <w:multiLevelType w:val="hybridMultilevel"/>
    <w:lvl w:ilvl="0">
      <w:lvlJc w:val="left"/>
      <w:lvlText w:val="(%1)"/>
      <w:numFmt w:val="decimal"/>
      <w:start w:val="8"/>
    </w:lvl>
  </w:abstractNum>
  <w:abstractNum w:abstractNumId="46">
    <w:nsid w:val="5DC79EA8"/>
    <w:multiLevelType w:val="hybridMultilevel"/>
    <w:lvl w:ilvl="0">
      <w:lvlJc w:val="left"/>
      <w:lvlText w:val="(%1)"/>
      <w:numFmt w:val="decimal"/>
      <w:start w:val="14"/>
    </w:lvl>
  </w:abstractNum>
  <w:abstractNum w:abstractNumId="47">
    <w:nsid w:val="540A471C"/>
    <w:multiLevelType w:val="hybridMultilevel"/>
    <w:lvl w:ilvl="0">
      <w:lvlJc w:val="left"/>
      <w:lvlText w:val="(%1)"/>
      <w:numFmt w:val="decimal"/>
      <w:start w:val="21"/>
    </w:lvl>
  </w:abstractNum>
  <w:abstractNum w:abstractNumId="48">
    <w:nsid w:val="7BD3EE7B"/>
    <w:multiLevelType w:val="hybridMultilevel"/>
    <w:lvl w:ilvl="0">
      <w:lvlJc w:val="left"/>
      <w:lvlText w:val="(%1)"/>
      <w:numFmt w:val="lowerLetter"/>
      <w:start w:val="4"/>
    </w:lvl>
  </w:abstractNum>
  <w:abstractNum w:abstractNumId="49">
    <w:nsid w:val="51D9C564"/>
    <w:multiLevelType w:val="hybridMultilevel"/>
    <w:lvl w:ilvl="0">
      <w:lvlJc w:val="left"/>
      <w:lvlText w:val="(%1)"/>
      <w:numFmt w:val="lowerRoman"/>
      <w:start w:val="1"/>
    </w:lvl>
  </w:abstractNum>
  <w:abstractNum w:abstractNumId="50">
    <w:nsid w:val="613EFDC5"/>
    <w:multiLevelType w:val="hybridMultilevel"/>
    <w:lvl w:ilvl="0">
      <w:lvlJc w:val="left"/>
      <w:lvlText w:val="(%1)"/>
      <w:numFmt w:val="lowerLetter"/>
      <w:start w:val="3"/>
    </w:lvl>
  </w:abstractNum>
  <w:abstractNum w:abstractNumId="51">
    <w:nsid w:val="BF72B14"/>
    <w:multiLevelType w:val="hybridMultilevel"/>
    <w:lvl w:ilvl="0">
      <w:lvlJc w:val="left"/>
      <w:lvlText w:val="(%1)"/>
      <w:numFmt w:val="lowerLetter"/>
      <w:start w:val="3"/>
    </w:lvl>
  </w:abstractNum>
  <w:abstractNum w:abstractNumId="52">
    <w:nsid w:val="11447B73"/>
    <w:multiLevelType w:val="hybridMultilevel"/>
    <w:lvl w:ilvl="0">
      <w:lvlJc w:val="left"/>
      <w:lvlText w:val="(%1)"/>
      <w:numFmt w:val="lowerLetter"/>
      <w:start w:val="6"/>
    </w:lvl>
  </w:abstractNum>
  <w:abstractNum w:abstractNumId="53">
    <w:nsid w:val="42963E5A"/>
    <w:multiLevelType w:val="hybridMultilevel"/>
    <w:lvl w:ilvl="0">
      <w:lvlJc w:val="left"/>
      <w:lvlText w:val="(%1)"/>
      <w:numFmt w:val="lowerLetter"/>
      <w:start w:val="2"/>
    </w:lvl>
  </w:abstractNum>
  <w:abstractNum w:abstractNumId="54">
    <w:nsid w:val="A0382C5"/>
    <w:multiLevelType w:val="hybridMultilevel"/>
    <w:lvl w:ilvl="0">
      <w:lvlJc w:val="left"/>
      <w:lvlText w:val="(%1)"/>
      <w:numFmt w:val="lowerLetter"/>
      <w:start w:val="3"/>
    </w:lvl>
  </w:abstractNum>
  <w:abstractNum w:abstractNumId="55">
    <w:nsid w:val="8F2B15E"/>
    <w:multiLevelType w:val="hybridMultilevel"/>
    <w:lvl w:ilvl="0">
      <w:lvlJc w:val="left"/>
      <w:lvlText w:val="(%1)"/>
      <w:numFmt w:val="upperLetter"/>
      <w:start w:val="2"/>
    </w:lvl>
    <w:lvl w:ilvl="1">
      <w:lvlJc w:val="left"/>
      <w:lvlText w:val="(%2)"/>
      <w:numFmt w:val="lowerRoman"/>
      <w:start w:val="1"/>
    </w:lvl>
  </w:abstractNum>
  <w:abstractNum w:abstractNumId="56">
    <w:nsid w:val="1A32234B"/>
    <w:multiLevelType w:val="hybridMultilevel"/>
    <w:lvl w:ilvl="0">
      <w:lvlJc w:val="left"/>
      <w:lvlText w:val="(%1)"/>
      <w:numFmt w:val="decimal"/>
      <w:start w:val="2"/>
    </w:lvl>
  </w:abstractNum>
  <w:abstractNum w:abstractNumId="57">
    <w:nsid w:val="3B0FD379"/>
    <w:multiLevelType w:val="hybridMultilevel"/>
    <w:lvl w:ilvl="0">
      <w:lvlJc w:val="left"/>
      <w:lvlText w:val="(%1)"/>
      <w:numFmt w:val="decimal"/>
      <w:start w:val="1"/>
    </w:lvl>
  </w:abstractNum>
  <w:abstractNum w:abstractNumId="58">
    <w:nsid w:val="68EB2F63"/>
    <w:multiLevelType w:val="hybridMultilevel"/>
    <w:lvl w:ilvl="0">
      <w:lvlJc w:val="left"/>
      <w:lvlText w:val="(%1)"/>
      <w:numFmt w:val="lowerRoman"/>
      <w:start w:val="4"/>
    </w:lvl>
  </w:abstractNum>
  <w:abstractNum w:abstractNumId="59">
    <w:nsid w:val="4962813B"/>
    <w:multiLevelType w:val="hybridMultilevel"/>
    <w:lvl w:ilvl="0">
      <w:lvlJc w:val="left"/>
      <w:lvlText w:val="(%1)"/>
      <w:numFmt w:val="lowerRoman"/>
      <w:start w:val="8"/>
    </w:lvl>
  </w:abstractNum>
  <w:abstractNum w:abstractNumId="60">
    <w:nsid w:val="60B6DF70"/>
    <w:multiLevelType w:val="hybridMultilevel"/>
    <w:lvl w:ilvl="0">
      <w:lvlJc w:val="left"/>
      <w:lvlText w:val="(%1)"/>
      <w:numFmt w:val="decimal"/>
      <w:start w:val="2"/>
    </w:lvl>
  </w:abstractNum>
  <w:abstractNum w:abstractNumId="61">
    <w:nsid w:val="6A5EE64"/>
    <w:multiLevelType w:val="hybridMultilevel"/>
    <w:lvl w:ilvl="0">
      <w:lvlJc w:val="left"/>
      <w:lvlText w:val="(%1)"/>
      <w:numFmt w:val="decimal"/>
      <w:start w:val="1"/>
    </w:lvl>
  </w:abstractNum>
  <w:abstractNum w:abstractNumId="62">
    <w:nsid w:val="14330624"/>
    <w:multiLevelType w:val="hybridMultilevel"/>
    <w:lvl w:ilvl="0">
      <w:lvlJc w:val="left"/>
      <w:lvlText w:val="(%1)"/>
      <w:numFmt w:val="upperLetter"/>
      <w:start w:val="1"/>
    </w:lvl>
  </w:abstractNum>
  <w:abstractNum w:abstractNumId="63">
    <w:nsid w:val="7FFFCA11"/>
    <w:multiLevelType w:val="hybridMultilevel"/>
    <w:lvl w:ilvl="0">
      <w:lvlJc w:val="left"/>
      <w:lvlText w:val="(%1)"/>
      <w:numFmt w:val="decimal"/>
      <w:start w:val="2"/>
    </w:lvl>
  </w:abstractNum>
  <w:abstractNum w:abstractNumId="64">
    <w:nsid w:val="1A27709E"/>
    <w:multiLevelType w:val="hybridMultilevel"/>
    <w:lvl w:ilvl="0">
      <w:lvlJc w:val="left"/>
      <w:lvlText w:val="(%1)"/>
      <w:numFmt w:val="decimal"/>
      <w:start w:val="2"/>
    </w:lvl>
  </w:abstractNum>
  <w:abstractNum w:abstractNumId="65">
    <w:nsid w:val="71EA1109"/>
    <w:multiLevelType w:val="hybridMultilevel"/>
    <w:lvl w:ilvl="0">
      <w:lvlJc w:val="left"/>
      <w:lvlText w:val="(%1)"/>
      <w:numFmt w:val="decimal"/>
      <w:start w:val="1"/>
    </w:lvl>
  </w:abstractNum>
  <w:abstractNum w:abstractNumId="66">
    <w:nsid w:val="100F59DC"/>
    <w:multiLevelType w:val="hybridMultilevel"/>
    <w:lvl w:ilvl="0">
      <w:lvlJc w:val="left"/>
      <w:lvlText w:val="(%1)"/>
      <w:numFmt w:val="decimal"/>
      <w:start w:val="1"/>
    </w:lvl>
  </w:abstractNum>
  <w:abstractNum w:abstractNumId="67">
    <w:nsid w:val="7FB7E0AA"/>
    <w:multiLevelType w:val="hybridMultilevel"/>
    <w:lvl w:ilvl="0">
      <w:lvlJc w:val="left"/>
      <w:lvlText w:val="(%1)"/>
      <w:numFmt w:val="decimal"/>
      <w:start w:val="1"/>
    </w:lvl>
  </w:abstractNum>
  <w:abstractNum w:abstractNumId="68">
    <w:nsid w:val="6EB5BD4"/>
    <w:multiLevelType w:val="hybridMultilevel"/>
    <w:lvl w:ilvl="0">
      <w:lvlJc w:val="left"/>
      <w:lvlText w:val="(%1)"/>
      <w:numFmt w:val="lowerLetter"/>
      <w:start w:val="3"/>
    </w:lvl>
    <w:lvl w:ilvl="1">
      <w:lvlJc w:val="left"/>
      <w:lvlText w:val="(%2)"/>
      <w:numFmt w:val="decimal"/>
      <w:start w:val="1"/>
    </w:lvl>
  </w:abstractNum>
  <w:abstractNum w:abstractNumId="69">
    <w:nsid w:val="6F6DD9AC"/>
    <w:multiLevelType w:val="hybridMultilevel"/>
    <w:lvl w:ilvl="0">
      <w:lvlJc w:val="left"/>
      <w:lvlText w:val="(%1)"/>
      <w:numFmt w:val="lowerLetter"/>
      <w:start w:val="4"/>
    </w:lvl>
  </w:abstractNum>
  <w:abstractNum w:abstractNumId="70">
    <w:nsid w:val="94211F2"/>
    <w:multiLevelType w:val="hybridMultilevel"/>
    <w:lvl w:ilvl="0">
      <w:lvlJc w:val="left"/>
      <w:lvlText w:val="(%1)"/>
      <w:numFmt w:val="lowerLetter"/>
      <w:start w:val="2"/>
    </w:lvl>
  </w:abstractNum>
  <w:abstractNum w:abstractNumId="71">
    <w:nsid w:val="885E1B"/>
    <w:multiLevelType w:val="hybridMultilevel"/>
    <w:lvl w:ilvl="0">
      <w:lvlJc w:val="left"/>
      <w:lvlText w:val="(%1)"/>
      <w:numFmt w:val="lowerLetter"/>
      <w:start w:val="4"/>
    </w:lvl>
  </w:abstractNum>
  <w:abstractNum w:abstractNumId="72">
    <w:nsid w:val="76272110"/>
    <w:multiLevelType w:val="hybridMultilevel"/>
    <w:lvl w:ilvl="0">
      <w:lvlJc w:val="left"/>
      <w:lvlText w:val="(%1)"/>
      <w:numFmt w:val="decimal"/>
      <w:start w:val="1"/>
    </w:lvl>
  </w:abstractNum>
  <w:abstractNum w:abstractNumId="73">
    <w:nsid w:val="4C04A8AF"/>
    <w:multiLevelType w:val="hybridMultilevel"/>
    <w:lvl w:ilvl="0">
      <w:lvlJc w:val="left"/>
      <w:lvlText w:val="(%1)"/>
      <w:numFmt w:val="lowerLetter"/>
      <w:start w:val="3"/>
    </w:lvl>
    <w:lvl w:ilvl="1">
      <w:lvlJc w:val="left"/>
      <w:lvlText w:val="(%2)"/>
      <w:numFmt w:val="decimal"/>
      <w:start w:val="1"/>
    </w:lvl>
  </w:abstractNum>
  <w:abstractNum w:abstractNumId="74">
    <w:nsid w:val="1716703B"/>
    <w:multiLevelType w:val="hybridMultilevel"/>
    <w:lvl w:ilvl="0">
      <w:lvlJc w:val="left"/>
      <w:lvlText w:val="(%1)"/>
      <w:numFmt w:val="lowerLetter"/>
      <w:start w:val="3"/>
    </w:lvl>
  </w:abstractNum>
  <w:abstractNum w:abstractNumId="75">
    <w:nsid w:val="14E17E33"/>
    <w:multiLevelType w:val="hybridMultilevel"/>
    <w:lvl w:ilvl="0">
      <w:lvlJc w:val="left"/>
      <w:lvlText w:val="(%1)"/>
      <w:numFmt w:val="lowerLetter"/>
      <w:start w:val="4"/>
    </w:lvl>
  </w:abstractNum>
  <w:abstractNum w:abstractNumId="76">
    <w:nsid w:val="3222E7CD"/>
    <w:multiLevelType w:val="hybridMultilevel"/>
    <w:lvl w:ilvl="0">
      <w:lvlJc w:val="left"/>
      <w:lvlText w:val="(%1)"/>
      <w:numFmt w:val="lowerLetter"/>
      <w:start w:val="2"/>
    </w:lvl>
  </w:abstractNum>
  <w:abstractNum w:abstractNumId="77">
    <w:nsid w:val="74DE0EE3"/>
    <w:multiLevelType w:val="hybridMultilevel"/>
    <w:lvl w:ilvl="0">
      <w:lvlJc w:val="left"/>
      <w:lvlText w:val="(%1)"/>
      <w:numFmt w:val="lowerLetter"/>
      <w:start w:val="2"/>
    </w:lvl>
  </w:abstractNum>
  <w:abstractNum w:abstractNumId="78">
    <w:nsid w:val="68EBC550"/>
    <w:multiLevelType w:val="hybridMultilevel"/>
    <w:lvl w:ilvl="0">
      <w:lvlJc w:val="left"/>
      <w:lvlText w:val="(%1)"/>
      <w:numFmt w:val="decimal"/>
      <w:start w:val="2"/>
    </w:lvl>
  </w:abstractNum>
  <w:abstractNum w:abstractNumId="79">
    <w:nsid w:val="2DF6D648"/>
    <w:multiLevelType w:val="hybridMultilevel"/>
    <w:lvl w:ilvl="0">
      <w:lvlJc w:val="left"/>
      <w:lvlText w:val="(%1)"/>
      <w:numFmt w:val="decimal"/>
      <w:start w:val="1"/>
    </w:lvl>
  </w:abstractNum>
  <w:abstractNum w:abstractNumId="80">
    <w:nsid w:val="46B7D447"/>
    <w:multiLevelType w:val="hybridMultilevel"/>
    <w:lvl w:ilvl="0">
      <w:lvlJc w:val="left"/>
      <w:lvlText w:val="(%1)"/>
      <w:numFmt w:val="decimal"/>
      <w:start w:val="3"/>
    </w:lvl>
  </w:abstractNum>
  <w:abstractNum w:abstractNumId="81">
    <w:nsid w:val="4A2AC315"/>
    <w:multiLevelType w:val="hybridMultilevel"/>
    <w:lvl w:ilvl="0">
      <w:lvlJc w:val="left"/>
      <w:lvlText w:val="(%1)"/>
      <w:numFmt w:val="decimal"/>
      <w:start w:val="5"/>
    </w:lvl>
  </w:abstractNum>
  <w:abstractNum w:abstractNumId="82">
    <w:nsid w:val="39EE015C"/>
    <w:multiLevelType w:val="hybridMultilevel"/>
    <w:lvl w:ilvl="0">
      <w:lvlJc w:val="left"/>
      <w:lvlText w:val="(%1)"/>
      <w:numFmt w:val="decimal"/>
      <w:start w:val="7"/>
    </w:lvl>
  </w:abstractNum>
  <w:abstractNum w:abstractNumId="83">
    <w:nsid w:val="57FC4FBB"/>
    <w:multiLevelType w:val="hybridMultilevel"/>
    <w:lvl w:ilvl="0">
      <w:lvlJc w:val="left"/>
      <w:lvlText w:val="(%1)"/>
      <w:numFmt w:val="decimal"/>
      <w:start w:val="12"/>
    </w:lvl>
  </w:abstractNum>
  <w:abstractNum w:abstractNumId="84">
    <w:nsid w:val="CC1016F"/>
    <w:multiLevelType w:val="hybridMultilevel"/>
    <w:lvl w:ilvl="0">
      <w:lvlJc w:val="left"/>
      <w:lvlText w:val="(%1)"/>
      <w:numFmt w:val="decimal"/>
      <w:start w:val="3"/>
    </w:lvl>
  </w:abstractNum>
  <w:abstractNum w:abstractNumId="85">
    <w:nsid w:val="43F18422"/>
    <w:multiLevelType w:val="hybridMultilevel"/>
    <w:lvl w:ilvl="0">
      <w:lvlJc w:val="left"/>
      <w:lvlText w:val="(%1)"/>
      <w:numFmt w:val="lowerLetter"/>
      <w:start w:val="3"/>
    </w:lvl>
  </w:abstractNum>
  <w:abstractNum w:abstractNumId="86">
    <w:nsid w:val="60EF0119"/>
    <w:multiLevelType w:val="hybridMultilevel"/>
    <w:lvl w:ilvl="0">
      <w:lvlJc w:val="left"/>
      <w:lvlText w:val="(%1)"/>
      <w:numFmt w:val="lowerLetter"/>
      <w:start w:val="3"/>
    </w:lvl>
  </w:abstractNum>
  <w:abstractNum w:abstractNumId="87">
    <w:nsid w:val="26F324BA"/>
    <w:multiLevelType w:val="hybridMultilevel"/>
    <w:lvl w:ilvl="0">
      <w:lvlJc w:val="left"/>
      <w:lvlText w:val="(%1)"/>
      <w:numFmt w:val="lowerRoman"/>
      <w:start w:val="1"/>
    </w:lvl>
  </w:abstractNum>
  <w:abstractNum w:abstractNumId="88">
    <w:nsid w:val="7F01579B"/>
    <w:multiLevelType w:val="hybridMultilevel"/>
    <w:lvl w:ilvl="0">
      <w:lvlJc w:val="left"/>
      <w:lvlText w:val="(%1)"/>
      <w:numFmt w:val="decimal"/>
      <w:start w:val="1"/>
    </w:lvl>
  </w:abstractNum>
  <w:abstractNum w:abstractNumId="89">
    <w:nsid w:val="49DA307D"/>
    <w:multiLevelType w:val="hybridMultilevel"/>
    <w:lvl w:ilvl="0">
      <w:lvlJc w:val="left"/>
      <w:lvlText w:val="(%1)"/>
      <w:numFmt w:val="decimal"/>
      <w:start w:val="4"/>
    </w:lvl>
  </w:abstractNum>
  <w:abstractNum w:abstractNumId="90">
    <w:nsid w:val="7055A5F5"/>
    <w:multiLevelType w:val="hybridMultilevel"/>
    <w:lvl w:ilvl="0">
      <w:lvlJc w:val="left"/>
      <w:lvlText w:val="(%1)"/>
      <w:numFmt w:val="lowerLetter"/>
      <w:start w:val="2"/>
    </w:lvl>
  </w:abstractNum>
  <w:abstractNum w:abstractNumId="91">
    <w:nsid w:val="5FB8370B"/>
    <w:multiLevelType w:val="hybridMultilevel"/>
    <w:lvl w:ilvl="0">
      <w:lvlJc w:val="left"/>
      <w:lvlText w:val="(%1)"/>
      <w:numFmt w:val="decimal"/>
      <w:start w:val="1"/>
    </w:lvl>
  </w:abstractNum>
  <w:abstractNum w:abstractNumId="92">
    <w:nsid w:val="50801EE1"/>
    <w:multiLevelType w:val="hybridMultilevel"/>
    <w:lvl w:ilvl="0">
      <w:lvlJc w:val="left"/>
      <w:lvlText w:val="(%1)"/>
      <w:numFmt w:val="decimal"/>
      <w:start w:val="4"/>
    </w:lvl>
  </w:abstractNum>
  <w:abstractNum w:abstractNumId="93">
    <w:nsid w:val="488AC1A"/>
    <w:multiLevelType w:val="hybridMultilevel"/>
    <w:lvl w:ilvl="0">
      <w:lvlJc w:val="left"/>
      <w:lvlText w:val="(%1)"/>
      <w:numFmt w:val="decimal"/>
      <w:start w:val="6"/>
    </w:lvl>
  </w:abstractNum>
  <w:abstractNum w:abstractNumId="94">
    <w:nsid w:val="5FB8011C"/>
    <w:multiLevelType w:val="hybridMultilevel"/>
    <w:lvl w:ilvl="0">
      <w:lvlJc w:val="left"/>
      <w:lvlText w:val="(%1)"/>
      <w:numFmt w:val="decimal"/>
      <w:start w:val="10"/>
    </w:lvl>
  </w:abstractNum>
  <w:abstractNum w:abstractNumId="95">
    <w:nsid w:val="6AA78F7F"/>
    <w:multiLevelType w:val="hybridMultilevel"/>
    <w:lvl w:ilvl="0">
      <w:lvlJc w:val="left"/>
      <w:lvlText w:val="(%1)"/>
      <w:numFmt w:val="lowerRoman"/>
      <w:start w:val="5"/>
    </w:lvl>
  </w:abstractNum>
  <w:abstractNum w:abstractNumId="96">
    <w:nsid w:val="7672BD23"/>
    <w:multiLevelType w:val="hybridMultilevel"/>
    <w:lvl w:ilvl="0">
      <w:lvlJc w:val="left"/>
      <w:lvlText w:val="(%1)"/>
      <w:numFmt w:val="decimal"/>
      <w:start w:val="1"/>
    </w:lvl>
  </w:abstractNum>
  <w:abstractNum w:abstractNumId="97">
    <w:nsid w:val="6FC75AF8"/>
    <w:multiLevelType w:val="hybridMultilevel"/>
    <w:lvl w:ilvl="0">
      <w:lvlJc w:val="left"/>
      <w:lvlText w:val="%1."/>
      <w:numFmt w:val="decimal"/>
      <w:start w:val="1"/>
    </w:lvl>
  </w:abstractNum>
  <w:abstractNum w:abstractNumId="98">
    <w:nsid w:val="6A5F7029"/>
    <w:multiLevelType w:val="hybridMultilevel"/>
    <w:lvl w:ilvl="0">
      <w:lvlJc w:val="left"/>
      <w:lvlText w:val="%1."/>
      <w:numFmt w:val="decimal"/>
      <w:start w:val="2"/>
    </w:lvl>
  </w:abstractNum>
  <w:abstractNum w:abstractNumId="99">
    <w:nsid w:val="7D5E18F8"/>
    <w:multiLevelType w:val="hybridMultilevel"/>
    <w:lvl w:ilvl="0">
      <w:lvlJc w:val="left"/>
      <w:lvlText w:val="%1"/>
      <w:numFmt w:val="decimal"/>
      <w:start w:val="1"/>
    </w:lvl>
    <w:lvl w:ilvl="1">
      <w:lvlJc w:val="left"/>
      <w:lvlText w:val="%2."/>
      <w:numFmt w:val="decimal"/>
      <w:start w:val="4"/>
    </w:lvl>
  </w:abstractNum>
  <w:abstractNum w:abstractNumId="100">
    <w:nsid w:val="5F3534A4"/>
    <w:multiLevelType w:val="hybridMultilevel"/>
    <w:lvl w:ilvl="0">
      <w:lvlJc w:val="left"/>
      <w:lvlText w:val="%1."/>
      <w:numFmt w:val="decimal"/>
      <w:start w:val="6"/>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30" Type="http://schemas.openxmlformats.org/officeDocument/2006/relationships/image" Target="media/image20.png"/><Relationship Id="rId31" Type="http://schemas.openxmlformats.org/officeDocument/2006/relationships/image" Target="media/image21.png"/><Relationship Id="rId32" Type="http://schemas.openxmlformats.org/officeDocument/2006/relationships/image" Target="media/image22.png"/><Relationship Id="rId33" Type="http://schemas.openxmlformats.org/officeDocument/2006/relationships/image" Target="media/image23.png"/><Relationship Id="rId34" Type="http://schemas.openxmlformats.org/officeDocument/2006/relationships/image" Target="media/image24.png"/><Relationship Id="rId35" Type="http://schemas.openxmlformats.org/officeDocument/2006/relationships/image" Target="media/image25.png"/><Relationship Id="rId36" Type="http://schemas.openxmlformats.org/officeDocument/2006/relationships/image" Target="media/image26.png"/><Relationship Id="rId37" Type="http://schemas.openxmlformats.org/officeDocument/2006/relationships/image" Target="media/image27.png"/><Relationship Id="rId38" Type="http://schemas.openxmlformats.org/officeDocument/2006/relationships/image" Target="media/image28.png"/><Relationship Id="rId39" Type="http://schemas.openxmlformats.org/officeDocument/2006/relationships/image" Target="media/image29.png"/><Relationship Id="rId40"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44"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jpeg"/><Relationship Id="rId81" Type="http://schemas.openxmlformats.org/officeDocument/2006/relationships/image" Target="media/image71.png"/><Relationship Id="rId12" Type="http://schemas.openxmlformats.org/officeDocument/2006/relationships/hyperlink" Target="http://www.sec.gov/Archives/edgar/data/1384101/000110465913082910/a13-23874_1ex3d1.htm" TargetMode="External"/><Relationship Id="rId13" Type="http://schemas.openxmlformats.org/officeDocument/2006/relationships/hyperlink" Target="http://www.sec.gov/Archives/edgar/data/1384101/000110465913082910/a13-23874_1ex3d2.htm" TargetMode="External"/><Relationship Id="rId14" Type="http://schemas.openxmlformats.org/officeDocument/2006/relationships/hyperlink" Target="http://www.sec.gov/Archives/edgar/data/1384101/000104746913009631/a2216954zex-4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2019-12-21T02:39:23Z</dcterms:created>
  <dcterms:modified xsi:type="dcterms:W3CDTF">2019-12-21T02:39:23Z</dcterms:modified>
</cp:coreProperties>
</file>