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1,920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93,486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725, 453 and 742 shares of common stock to satisfy the reporting person's tax withholding obligations in connection with the vesting of 1,429, 892 and 1,463 Restricted Stock Units granted on February 28, 2022,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462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2024-09-04T19:18:09Z</dcterms:created>
  <dcterms:modified xsi:type="dcterms:W3CDTF">2024-09-04T19:18:09Z</dcterms:modified>
</cp:coreProperties>
</file>