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2 )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8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875" cy="21590"/>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87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875"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8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875" cy="21590"/>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May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87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875" cy="20955"/>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40" w:firstLine="2"/>
        <w:spacing w:after="0" w:line="385" w:lineRule="auto"/>
        <w:tabs>
          <w:tab w:leader="none" w:pos="46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6"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8"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p>
      <w:pPr>
        <w:ind w:left="1340" w:right="5419" w:hanging="1264"/>
        <w:spacing w:after="0" w:line="519" w:lineRule="auto"/>
        <w:tabs>
          <w:tab w:leader="none" w:pos="1340" w:val="left"/>
        </w:tabs>
        <w:numPr>
          <w:ilvl w:val="0"/>
          <w:numId w:val="2"/>
        </w:numPr>
        <w:rPr>
          <w:rFonts w:ascii="Arial" w:cs="Arial" w:eastAsia="Arial" w:hAnsi="Arial"/>
          <w:sz w:val="19"/>
          <w:szCs w:val="19"/>
          <w:color w:val="auto"/>
        </w:rPr>
      </w:pPr>
      <w:r>
        <w:rPr>
          <w:rFonts w:ascii="Arial" w:cs="Arial" w:eastAsia="Arial" w:hAnsi="Arial"/>
          <w:sz w:val="19"/>
          <w:szCs w:val="19"/>
          <w:color w:val="auto"/>
        </w:rPr>
        <w:t>NAMES OF REPORTING PERSONS Wellington Management Group LLP</w:t>
      </w:r>
    </w:p>
    <w:p>
      <w:pPr>
        <w:ind w:left="1340" w:hanging="1264"/>
        <w:spacing w:after="0"/>
        <w:tabs>
          <w:tab w:leader="none" w:pos="1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w:t>
      </w:r>
    </w:p>
    <w:p>
      <w:pPr>
        <w:spacing w:after="0" w:line="233" w:lineRule="exact"/>
        <w:rPr>
          <w:rFonts w:ascii="Arial" w:cs="Arial" w:eastAsia="Arial" w:hAnsi="Arial"/>
          <w:sz w:val="22"/>
          <w:szCs w:val="22"/>
          <w:color w:val="auto"/>
        </w:rPr>
      </w:pPr>
    </w:p>
    <w:p>
      <w:pPr>
        <w:ind w:left="1640" w:hanging="304"/>
        <w:spacing w:after="0"/>
        <w:tabs>
          <w:tab w:leader="none" w:pos="164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640" w:hanging="304"/>
        <w:spacing w:after="0"/>
        <w:tabs>
          <w:tab w:leader="none" w:pos="164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188" w:lineRule="exact"/>
        <w:rPr>
          <w:rFonts w:ascii="Arial" w:cs="Arial" w:eastAsia="Arial" w:hAnsi="Arial"/>
          <w:sz w:val="22"/>
          <w:szCs w:val="22"/>
          <w:color w:val="auto"/>
        </w:rPr>
      </w:pPr>
    </w:p>
    <w:p>
      <w:pPr>
        <w:ind w:left="1340" w:hanging="1264"/>
        <w:spacing w:after="0"/>
        <w:tabs>
          <w:tab w:leader="none" w:pos="1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6" w:lineRule="exact"/>
        <w:rPr>
          <w:rFonts w:ascii="Arial" w:cs="Arial" w:eastAsia="Arial" w:hAnsi="Arial"/>
          <w:sz w:val="22"/>
          <w:szCs w:val="22"/>
          <w:color w:val="auto"/>
        </w:rPr>
      </w:pPr>
    </w:p>
    <w:p>
      <w:pPr>
        <w:ind w:left="1340" w:hanging="1264"/>
        <w:spacing w:after="0"/>
        <w:tabs>
          <w:tab w:leader="none" w:pos="1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74"/>
        </w:trPr>
        <w:tc>
          <w:tcPr>
            <w:tcW w:w="7040" w:type="dxa"/>
            <w:vAlign w:val="bottom"/>
            <w:gridSpan w:val="2"/>
          </w:tcPr>
          <w:p>
            <w:pPr>
              <w:ind w:left="1260"/>
              <w:spacing w:after="0"/>
              <w:rPr>
                <w:sz w:val="20"/>
                <w:szCs w:val="20"/>
                <w:color w:val="auto"/>
              </w:rPr>
            </w:pPr>
            <w:r>
              <w:rPr>
                <w:rFonts w:ascii="Arial" w:cs="Arial" w:eastAsia="Arial" w:hAnsi="Arial"/>
                <w:sz w:val="22"/>
                <w:szCs w:val="22"/>
                <w:color w:val="auto"/>
              </w:rPr>
              <w:t>Massachusetts</w:t>
            </w:r>
          </w:p>
        </w:tc>
        <w:tc>
          <w:tcPr>
            <w:tcW w:w="2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1680" w:type="dxa"/>
            <w:vAlign w:val="bottom"/>
          </w:tcPr>
          <w:p>
            <w:pPr>
              <w:spacing w:after="0"/>
              <w:rPr>
                <w:sz w:val="20"/>
                <w:szCs w:val="20"/>
                <w:color w:val="auto"/>
              </w:rPr>
            </w:pPr>
            <w:r>
              <w:rPr>
                <w:rFonts w:ascii="Arial" w:cs="Arial" w:eastAsia="Arial" w:hAnsi="Arial"/>
                <w:sz w:val="22"/>
                <w:szCs w:val="22"/>
                <w:color w:val="auto"/>
              </w:rPr>
              <w:t>NUMBER OF</w:t>
            </w:r>
          </w:p>
        </w:tc>
        <w:tc>
          <w:tcPr>
            <w:tcW w:w="53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5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BENEFICIALLY</w:t>
            </w:r>
          </w:p>
        </w:tc>
        <w:tc>
          <w:tcPr>
            <w:tcW w:w="53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2820" w:type="dxa"/>
            <w:vAlign w:val="bottom"/>
          </w:tcPr>
          <w:p>
            <w:pPr>
              <w:ind w:left="1960"/>
              <w:spacing w:after="0" w:line="243" w:lineRule="exact"/>
              <w:rPr>
                <w:sz w:val="20"/>
                <w:szCs w:val="20"/>
                <w:color w:val="auto"/>
              </w:rPr>
            </w:pPr>
            <w:r>
              <w:rPr>
                <w:rFonts w:ascii="Arial" w:cs="Arial" w:eastAsia="Arial" w:hAnsi="Arial"/>
                <w:sz w:val="22"/>
                <w:szCs w:val="22"/>
                <w:color w:val="auto"/>
                <w:w w:val="85"/>
              </w:rPr>
              <w:t>6,135,262</w:t>
            </w: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OWNED BY</w:t>
            </w:r>
          </w:p>
        </w:tc>
        <w:tc>
          <w:tcPr>
            <w:tcW w:w="5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5360" w:type="dxa"/>
            <w:vAlign w:val="bottom"/>
          </w:tcPr>
          <w:p>
            <w:pPr>
              <w:ind w:left="140"/>
              <w:spacing w:after="0" w:line="243" w:lineRule="exact"/>
              <w:rPr>
                <w:sz w:val="20"/>
                <w:szCs w:val="20"/>
                <w:color w:val="auto"/>
              </w:rPr>
            </w:pPr>
            <w:r>
              <w:rPr>
                <w:rFonts w:ascii="Arial" w:cs="Arial" w:eastAsia="Arial" w:hAnsi="Arial"/>
                <w:sz w:val="22"/>
                <w:szCs w:val="22"/>
                <w:color w:val="auto"/>
              </w:rPr>
              <w:t>7. SOLE DISPOSITIVE POWER</w:t>
            </w:r>
          </w:p>
        </w:tc>
        <w:tc>
          <w:tcPr>
            <w:tcW w:w="2820" w:type="dxa"/>
            <w:vAlign w:val="bottom"/>
          </w:tcPr>
          <w:p>
            <w:pPr>
              <w:ind w:left="19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REPORTING</w:t>
            </w:r>
          </w:p>
        </w:tc>
        <w:tc>
          <w:tcPr>
            <w:tcW w:w="53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1960"/>
              <w:spacing w:after="0"/>
              <w:rPr>
                <w:sz w:val="20"/>
                <w:szCs w:val="20"/>
                <w:color w:val="auto"/>
              </w:rPr>
            </w:pPr>
            <w:r>
              <w:rPr>
                <w:rFonts w:ascii="Arial" w:cs="Arial" w:eastAsia="Arial" w:hAnsi="Arial"/>
                <w:sz w:val="22"/>
                <w:szCs w:val="22"/>
                <w:color w:val="auto"/>
                <w:w w:val="85"/>
              </w:rPr>
              <w:t>7,248,889</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PERSON WITH</w:t>
            </w:r>
          </w:p>
        </w:tc>
        <w:tc>
          <w:tcPr>
            <w:tcW w:w="5360" w:type="dxa"/>
            <w:vAlign w:val="bottom"/>
            <w:vMerge w:val="continue"/>
          </w:tcPr>
          <w:p>
            <w:pPr>
              <w:spacing w:after="0"/>
              <w:rPr>
                <w:sz w:val="23"/>
                <w:szCs w:val="23"/>
                <w:color w:val="auto"/>
              </w:rPr>
            </w:pPr>
          </w:p>
        </w:tc>
        <w:tc>
          <w:tcPr>
            <w:tcW w:w="2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340" w:right="919" w:hanging="1264"/>
        <w:spacing w:after="0" w:line="448" w:lineRule="auto"/>
        <w:tabs>
          <w:tab w:leader="none" w:pos="1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7,248,889</w:t>
      </w:r>
    </w:p>
    <w:p>
      <w:pPr>
        <w:ind w:left="1340" w:right="819" w:hanging="1264"/>
        <w:spacing w:after="0" w:line="448" w:lineRule="auto"/>
        <w:tabs>
          <w:tab w:leader="none" w:pos="1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 ]</w:t>
      </w:r>
    </w:p>
    <w:p>
      <w:pPr>
        <w:ind w:left="1340" w:right="2719" w:hanging="1264"/>
        <w:spacing w:after="0" w:line="448" w:lineRule="auto"/>
        <w:tabs>
          <w:tab w:leader="none" w:pos="1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PERCENT OF CLASS REPRESENTED BY AMOUNT IN ROW (9) 10.01%</w:t>
      </w:r>
    </w:p>
    <w:p>
      <w:pPr>
        <w:ind w:left="1340" w:right="5759" w:hanging="1264"/>
        <w:spacing w:after="0" w:line="481" w:lineRule="auto"/>
        <w:tabs>
          <w:tab w:leader="none" w:pos="1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OF REPORTING PERSON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-98425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99"/>
          </w:cols>
          <w:pgMar w:left="360" w:top="604"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49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p>
      <w:pPr>
        <w:ind w:left="1340" w:right="5419" w:hanging="1264"/>
        <w:spacing w:after="0" w:line="519" w:lineRule="auto"/>
        <w:tabs>
          <w:tab w:leader="none" w:pos="1340" w:val="left"/>
        </w:tabs>
        <w:numPr>
          <w:ilvl w:val="0"/>
          <w:numId w:val="4"/>
        </w:numPr>
        <w:rPr>
          <w:rFonts w:ascii="Arial" w:cs="Arial" w:eastAsia="Arial" w:hAnsi="Arial"/>
          <w:sz w:val="19"/>
          <w:szCs w:val="19"/>
          <w:color w:val="auto"/>
        </w:rPr>
      </w:pPr>
      <w:r>
        <w:rPr>
          <w:rFonts w:ascii="Arial" w:cs="Arial" w:eastAsia="Arial" w:hAnsi="Arial"/>
          <w:sz w:val="19"/>
          <w:szCs w:val="19"/>
          <w:color w:val="auto"/>
        </w:rPr>
        <w:t>NAMES OF REPORTING PERSONS Wellington Group Holdings LLP</w:t>
      </w:r>
    </w:p>
    <w:p>
      <w:pPr>
        <w:ind w:left="1340" w:hanging="1264"/>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w:t>
      </w:r>
    </w:p>
    <w:p>
      <w:pPr>
        <w:spacing w:after="0" w:line="233" w:lineRule="exact"/>
        <w:rPr>
          <w:rFonts w:ascii="Arial" w:cs="Arial" w:eastAsia="Arial" w:hAnsi="Arial"/>
          <w:sz w:val="22"/>
          <w:szCs w:val="22"/>
          <w:color w:val="auto"/>
        </w:rPr>
      </w:pPr>
    </w:p>
    <w:p>
      <w:pPr>
        <w:ind w:left="1640" w:hanging="304"/>
        <w:spacing w:after="0"/>
        <w:tabs>
          <w:tab w:leader="none" w:pos="164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640" w:hanging="304"/>
        <w:spacing w:after="0"/>
        <w:tabs>
          <w:tab w:leader="none" w:pos="164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88" w:lineRule="exact"/>
        <w:rPr>
          <w:rFonts w:ascii="Arial" w:cs="Arial" w:eastAsia="Arial" w:hAnsi="Arial"/>
          <w:sz w:val="22"/>
          <w:szCs w:val="22"/>
          <w:color w:val="auto"/>
        </w:rPr>
      </w:pPr>
    </w:p>
    <w:p>
      <w:pPr>
        <w:ind w:left="1340" w:hanging="1264"/>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6" w:lineRule="exact"/>
        <w:rPr>
          <w:rFonts w:ascii="Arial" w:cs="Arial" w:eastAsia="Arial" w:hAnsi="Arial"/>
          <w:sz w:val="22"/>
          <w:szCs w:val="22"/>
          <w:color w:val="auto"/>
        </w:rPr>
      </w:pPr>
    </w:p>
    <w:p>
      <w:pPr>
        <w:ind w:left="1340" w:hanging="1264"/>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74"/>
        </w:trPr>
        <w:tc>
          <w:tcPr>
            <w:tcW w:w="7040" w:type="dxa"/>
            <w:vAlign w:val="bottom"/>
            <w:gridSpan w:val="2"/>
          </w:tcPr>
          <w:p>
            <w:pPr>
              <w:ind w:left="1260"/>
              <w:spacing w:after="0"/>
              <w:rPr>
                <w:sz w:val="20"/>
                <w:szCs w:val="20"/>
                <w:color w:val="auto"/>
              </w:rPr>
            </w:pPr>
            <w:r>
              <w:rPr>
                <w:rFonts w:ascii="Arial" w:cs="Arial" w:eastAsia="Arial" w:hAnsi="Arial"/>
                <w:sz w:val="22"/>
                <w:szCs w:val="22"/>
                <w:color w:val="auto"/>
              </w:rPr>
              <w:t>Delaware</w:t>
            </w:r>
          </w:p>
        </w:tc>
        <w:tc>
          <w:tcPr>
            <w:tcW w:w="2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1680" w:type="dxa"/>
            <w:vAlign w:val="bottom"/>
          </w:tcPr>
          <w:p>
            <w:pPr>
              <w:spacing w:after="0"/>
              <w:rPr>
                <w:sz w:val="20"/>
                <w:szCs w:val="20"/>
                <w:color w:val="auto"/>
              </w:rPr>
            </w:pPr>
            <w:r>
              <w:rPr>
                <w:rFonts w:ascii="Arial" w:cs="Arial" w:eastAsia="Arial" w:hAnsi="Arial"/>
                <w:sz w:val="22"/>
                <w:szCs w:val="22"/>
                <w:color w:val="auto"/>
              </w:rPr>
              <w:t>NUMBER OF</w:t>
            </w:r>
          </w:p>
        </w:tc>
        <w:tc>
          <w:tcPr>
            <w:tcW w:w="53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5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BENEFICIALLY</w:t>
            </w:r>
          </w:p>
        </w:tc>
        <w:tc>
          <w:tcPr>
            <w:tcW w:w="53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2820" w:type="dxa"/>
            <w:vAlign w:val="bottom"/>
          </w:tcPr>
          <w:p>
            <w:pPr>
              <w:ind w:left="1960"/>
              <w:spacing w:after="0" w:line="243" w:lineRule="exact"/>
              <w:rPr>
                <w:sz w:val="20"/>
                <w:szCs w:val="20"/>
                <w:color w:val="auto"/>
              </w:rPr>
            </w:pPr>
            <w:r>
              <w:rPr>
                <w:rFonts w:ascii="Arial" w:cs="Arial" w:eastAsia="Arial" w:hAnsi="Arial"/>
                <w:sz w:val="22"/>
                <w:szCs w:val="22"/>
                <w:color w:val="auto"/>
                <w:w w:val="85"/>
              </w:rPr>
              <w:t>6,135,262</w:t>
            </w: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OWNED BY</w:t>
            </w:r>
          </w:p>
        </w:tc>
        <w:tc>
          <w:tcPr>
            <w:tcW w:w="5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5360" w:type="dxa"/>
            <w:vAlign w:val="bottom"/>
          </w:tcPr>
          <w:p>
            <w:pPr>
              <w:ind w:left="140"/>
              <w:spacing w:after="0" w:line="243" w:lineRule="exact"/>
              <w:rPr>
                <w:sz w:val="20"/>
                <w:szCs w:val="20"/>
                <w:color w:val="auto"/>
              </w:rPr>
            </w:pPr>
            <w:r>
              <w:rPr>
                <w:rFonts w:ascii="Arial" w:cs="Arial" w:eastAsia="Arial" w:hAnsi="Arial"/>
                <w:sz w:val="22"/>
                <w:szCs w:val="22"/>
                <w:color w:val="auto"/>
              </w:rPr>
              <w:t>7. SOLE DISPOSITIVE POWER</w:t>
            </w:r>
          </w:p>
        </w:tc>
        <w:tc>
          <w:tcPr>
            <w:tcW w:w="2820" w:type="dxa"/>
            <w:vAlign w:val="bottom"/>
          </w:tcPr>
          <w:p>
            <w:pPr>
              <w:ind w:left="19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REPORTING</w:t>
            </w:r>
          </w:p>
        </w:tc>
        <w:tc>
          <w:tcPr>
            <w:tcW w:w="53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1960"/>
              <w:spacing w:after="0"/>
              <w:rPr>
                <w:sz w:val="20"/>
                <w:szCs w:val="20"/>
                <w:color w:val="auto"/>
              </w:rPr>
            </w:pPr>
            <w:r>
              <w:rPr>
                <w:rFonts w:ascii="Arial" w:cs="Arial" w:eastAsia="Arial" w:hAnsi="Arial"/>
                <w:sz w:val="22"/>
                <w:szCs w:val="22"/>
                <w:color w:val="auto"/>
                <w:w w:val="85"/>
              </w:rPr>
              <w:t>7,248,889</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PERSON WITH</w:t>
            </w:r>
          </w:p>
        </w:tc>
        <w:tc>
          <w:tcPr>
            <w:tcW w:w="5360" w:type="dxa"/>
            <w:vAlign w:val="bottom"/>
            <w:vMerge w:val="continue"/>
          </w:tcPr>
          <w:p>
            <w:pPr>
              <w:spacing w:after="0"/>
              <w:rPr>
                <w:sz w:val="23"/>
                <w:szCs w:val="23"/>
                <w:color w:val="auto"/>
              </w:rPr>
            </w:pPr>
          </w:p>
        </w:tc>
        <w:tc>
          <w:tcPr>
            <w:tcW w:w="2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340" w:right="919" w:hanging="1264"/>
        <w:spacing w:after="0" w:line="448" w:lineRule="auto"/>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7,248,889</w:t>
      </w:r>
    </w:p>
    <w:p>
      <w:pPr>
        <w:ind w:left="1340" w:right="819" w:hanging="1264"/>
        <w:spacing w:after="0" w:line="448" w:lineRule="auto"/>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 ]</w:t>
      </w:r>
    </w:p>
    <w:p>
      <w:pPr>
        <w:ind w:left="1340" w:right="2719" w:hanging="1264"/>
        <w:spacing w:after="0" w:line="448" w:lineRule="auto"/>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10.01%</w:t>
      </w:r>
    </w:p>
    <w:p>
      <w:pPr>
        <w:ind w:left="1340" w:right="5759" w:hanging="1264"/>
        <w:spacing w:after="0" w:line="481" w:lineRule="auto"/>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-98425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99"/>
          </w:cols>
          <w:pgMar w:left="360" w:top="604" w:right="1440"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49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p>
      <w:pPr>
        <w:ind w:left="1340" w:right="4679" w:hanging="1264"/>
        <w:spacing w:after="0" w:line="519" w:lineRule="auto"/>
        <w:tabs>
          <w:tab w:leader="none" w:pos="1340" w:val="left"/>
        </w:tabs>
        <w:numPr>
          <w:ilvl w:val="0"/>
          <w:numId w:val="6"/>
        </w:numPr>
        <w:rPr>
          <w:rFonts w:ascii="Arial" w:cs="Arial" w:eastAsia="Arial" w:hAnsi="Arial"/>
          <w:sz w:val="19"/>
          <w:szCs w:val="19"/>
          <w:color w:val="auto"/>
        </w:rPr>
      </w:pPr>
      <w:r>
        <w:rPr>
          <w:rFonts w:ascii="Arial" w:cs="Arial" w:eastAsia="Arial" w:hAnsi="Arial"/>
          <w:sz w:val="19"/>
          <w:szCs w:val="19"/>
          <w:color w:val="auto"/>
        </w:rPr>
        <w:t>NAMES OF REPORTING PERSONS Wellington Investment Advisors Holdings LLP</w:t>
      </w:r>
    </w:p>
    <w:p>
      <w:pPr>
        <w:ind w:left="1340" w:hanging="1264"/>
        <w:spacing w:after="0"/>
        <w:tabs>
          <w:tab w:leader="none" w:pos="1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CHECK THE APPROPRIATE BOX IF A MEMBER OF A GROUP</w:t>
      </w:r>
    </w:p>
    <w:p>
      <w:pPr>
        <w:spacing w:after="0" w:line="233" w:lineRule="exact"/>
        <w:rPr>
          <w:rFonts w:ascii="Arial" w:cs="Arial" w:eastAsia="Arial" w:hAnsi="Arial"/>
          <w:sz w:val="22"/>
          <w:szCs w:val="22"/>
          <w:color w:val="auto"/>
        </w:rPr>
      </w:pPr>
    </w:p>
    <w:p>
      <w:pPr>
        <w:ind w:left="1640" w:hanging="304"/>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640" w:hanging="304"/>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188" w:lineRule="exact"/>
        <w:rPr>
          <w:rFonts w:ascii="Arial" w:cs="Arial" w:eastAsia="Arial" w:hAnsi="Arial"/>
          <w:sz w:val="22"/>
          <w:szCs w:val="22"/>
          <w:color w:val="auto"/>
        </w:rPr>
      </w:pPr>
    </w:p>
    <w:p>
      <w:pPr>
        <w:ind w:left="1340" w:hanging="1264"/>
        <w:spacing w:after="0"/>
        <w:tabs>
          <w:tab w:leader="none" w:pos="1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6" w:lineRule="exact"/>
        <w:rPr>
          <w:rFonts w:ascii="Arial" w:cs="Arial" w:eastAsia="Arial" w:hAnsi="Arial"/>
          <w:sz w:val="22"/>
          <w:szCs w:val="22"/>
          <w:color w:val="auto"/>
        </w:rPr>
      </w:pPr>
    </w:p>
    <w:p>
      <w:pPr>
        <w:ind w:left="1340" w:hanging="1264"/>
        <w:spacing w:after="0"/>
        <w:tabs>
          <w:tab w:leader="none" w:pos="1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74"/>
        </w:trPr>
        <w:tc>
          <w:tcPr>
            <w:tcW w:w="7040" w:type="dxa"/>
            <w:vAlign w:val="bottom"/>
            <w:gridSpan w:val="2"/>
          </w:tcPr>
          <w:p>
            <w:pPr>
              <w:ind w:left="1260"/>
              <w:spacing w:after="0"/>
              <w:rPr>
                <w:sz w:val="20"/>
                <w:szCs w:val="20"/>
                <w:color w:val="auto"/>
              </w:rPr>
            </w:pPr>
            <w:r>
              <w:rPr>
                <w:rFonts w:ascii="Arial" w:cs="Arial" w:eastAsia="Arial" w:hAnsi="Arial"/>
                <w:sz w:val="22"/>
                <w:szCs w:val="22"/>
                <w:color w:val="auto"/>
              </w:rPr>
              <w:t>Delaware</w:t>
            </w:r>
          </w:p>
        </w:tc>
        <w:tc>
          <w:tcPr>
            <w:tcW w:w="2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1680" w:type="dxa"/>
            <w:vAlign w:val="bottom"/>
          </w:tcPr>
          <w:p>
            <w:pPr>
              <w:spacing w:after="0"/>
              <w:rPr>
                <w:sz w:val="20"/>
                <w:szCs w:val="20"/>
                <w:color w:val="auto"/>
              </w:rPr>
            </w:pPr>
            <w:r>
              <w:rPr>
                <w:rFonts w:ascii="Arial" w:cs="Arial" w:eastAsia="Arial" w:hAnsi="Arial"/>
                <w:sz w:val="22"/>
                <w:szCs w:val="22"/>
                <w:color w:val="auto"/>
              </w:rPr>
              <w:t>NUMBER OF</w:t>
            </w:r>
          </w:p>
        </w:tc>
        <w:tc>
          <w:tcPr>
            <w:tcW w:w="53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5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BENEFICIALLY</w:t>
            </w:r>
          </w:p>
        </w:tc>
        <w:tc>
          <w:tcPr>
            <w:tcW w:w="53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2820" w:type="dxa"/>
            <w:vAlign w:val="bottom"/>
          </w:tcPr>
          <w:p>
            <w:pPr>
              <w:ind w:left="1960"/>
              <w:spacing w:after="0" w:line="243" w:lineRule="exact"/>
              <w:rPr>
                <w:sz w:val="20"/>
                <w:szCs w:val="20"/>
                <w:color w:val="auto"/>
              </w:rPr>
            </w:pPr>
            <w:r>
              <w:rPr>
                <w:rFonts w:ascii="Arial" w:cs="Arial" w:eastAsia="Arial" w:hAnsi="Arial"/>
                <w:sz w:val="22"/>
                <w:szCs w:val="22"/>
                <w:color w:val="auto"/>
                <w:w w:val="85"/>
              </w:rPr>
              <w:t>6,135,262</w:t>
            </w: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OWNED BY</w:t>
            </w:r>
          </w:p>
        </w:tc>
        <w:tc>
          <w:tcPr>
            <w:tcW w:w="5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5360" w:type="dxa"/>
            <w:vAlign w:val="bottom"/>
          </w:tcPr>
          <w:p>
            <w:pPr>
              <w:ind w:left="140"/>
              <w:spacing w:after="0" w:line="243" w:lineRule="exact"/>
              <w:rPr>
                <w:sz w:val="20"/>
                <w:szCs w:val="20"/>
                <w:color w:val="auto"/>
              </w:rPr>
            </w:pPr>
            <w:r>
              <w:rPr>
                <w:rFonts w:ascii="Arial" w:cs="Arial" w:eastAsia="Arial" w:hAnsi="Arial"/>
                <w:sz w:val="22"/>
                <w:szCs w:val="22"/>
                <w:color w:val="auto"/>
              </w:rPr>
              <w:t>7. SOLE DISPOSITIVE POWER</w:t>
            </w:r>
          </w:p>
        </w:tc>
        <w:tc>
          <w:tcPr>
            <w:tcW w:w="2820" w:type="dxa"/>
            <w:vAlign w:val="bottom"/>
          </w:tcPr>
          <w:p>
            <w:pPr>
              <w:ind w:left="19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REPORTING</w:t>
            </w:r>
          </w:p>
        </w:tc>
        <w:tc>
          <w:tcPr>
            <w:tcW w:w="53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1960"/>
              <w:spacing w:after="0"/>
              <w:rPr>
                <w:sz w:val="20"/>
                <w:szCs w:val="20"/>
                <w:color w:val="auto"/>
              </w:rPr>
            </w:pPr>
            <w:r>
              <w:rPr>
                <w:rFonts w:ascii="Arial" w:cs="Arial" w:eastAsia="Arial" w:hAnsi="Arial"/>
                <w:sz w:val="22"/>
                <w:szCs w:val="22"/>
                <w:color w:val="auto"/>
                <w:w w:val="85"/>
              </w:rPr>
              <w:t>7,248,889</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PERSON WITH</w:t>
            </w:r>
          </w:p>
        </w:tc>
        <w:tc>
          <w:tcPr>
            <w:tcW w:w="5360" w:type="dxa"/>
            <w:vAlign w:val="bottom"/>
            <w:vMerge w:val="continue"/>
          </w:tcPr>
          <w:p>
            <w:pPr>
              <w:spacing w:after="0"/>
              <w:rPr>
                <w:sz w:val="23"/>
                <w:szCs w:val="23"/>
                <w:color w:val="auto"/>
              </w:rPr>
            </w:pPr>
          </w:p>
        </w:tc>
        <w:tc>
          <w:tcPr>
            <w:tcW w:w="2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340" w:right="919" w:hanging="1264"/>
        <w:spacing w:after="0" w:line="448" w:lineRule="auto"/>
        <w:tabs>
          <w:tab w:leader="none" w:pos="1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7,248,889</w:t>
      </w:r>
    </w:p>
    <w:p>
      <w:pPr>
        <w:ind w:left="1340" w:right="819" w:hanging="1264"/>
        <w:spacing w:after="0" w:line="448" w:lineRule="auto"/>
        <w:tabs>
          <w:tab w:leader="none" w:pos="1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 ]</w:t>
      </w:r>
    </w:p>
    <w:p>
      <w:pPr>
        <w:ind w:left="1340" w:right="2719" w:hanging="1264"/>
        <w:spacing w:after="0" w:line="448" w:lineRule="auto"/>
        <w:tabs>
          <w:tab w:leader="none" w:pos="1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10.01%</w:t>
      </w:r>
    </w:p>
    <w:p>
      <w:pPr>
        <w:ind w:left="1340" w:right="5759" w:hanging="1264"/>
        <w:spacing w:after="0" w:line="481" w:lineRule="auto"/>
        <w:tabs>
          <w:tab w:leader="none" w:pos="1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-98425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99"/>
          </w:cols>
          <w:pgMar w:left="360" w:top="604" w:right="1440"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49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p>
      <w:pPr>
        <w:ind w:left="1340" w:right="5299" w:hanging="1264"/>
        <w:spacing w:after="0" w:line="519" w:lineRule="auto"/>
        <w:tabs>
          <w:tab w:leader="none" w:pos="1340" w:val="left"/>
        </w:tabs>
        <w:numPr>
          <w:ilvl w:val="0"/>
          <w:numId w:val="8"/>
        </w:numPr>
        <w:rPr>
          <w:rFonts w:ascii="Arial" w:cs="Arial" w:eastAsia="Arial" w:hAnsi="Arial"/>
          <w:sz w:val="19"/>
          <w:szCs w:val="19"/>
          <w:color w:val="auto"/>
        </w:rPr>
      </w:pPr>
      <w:r>
        <w:rPr>
          <w:rFonts w:ascii="Arial" w:cs="Arial" w:eastAsia="Arial" w:hAnsi="Arial"/>
          <w:sz w:val="19"/>
          <w:szCs w:val="19"/>
          <w:color w:val="auto"/>
        </w:rPr>
        <w:t>NAMES OF REPORTING PERSONS Wellington Management Company LLP</w:t>
      </w:r>
    </w:p>
    <w:p>
      <w:pPr>
        <w:ind w:left="1340" w:hanging="1264"/>
        <w:spacing w:after="0"/>
        <w:tabs>
          <w:tab w:leader="none" w:pos="1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CHECK THE APPROPRIATE BOX IF A MEMBER OF A GROUP</w:t>
      </w:r>
    </w:p>
    <w:p>
      <w:pPr>
        <w:spacing w:after="0" w:line="233" w:lineRule="exact"/>
        <w:rPr>
          <w:rFonts w:ascii="Arial" w:cs="Arial" w:eastAsia="Arial" w:hAnsi="Arial"/>
          <w:sz w:val="22"/>
          <w:szCs w:val="22"/>
          <w:color w:val="auto"/>
        </w:rPr>
      </w:pPr>
    </w:p>
    <w:p>
      <w:pPr>
        <w:ind w:left="1640" w:hanging="304"/>
        <w:spacing w:after="0"/>
        <w:tabs>
          <w:tab w:leader="none" w:pos="164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640" w:hanging="304"/>
        <w:spacing w:after="0"/>
        <w:tabs>
          <w:tab w:leader="none" w:pos="164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188" w:lineRule="exact"/>
        <w:rPr>
          <w:rFonts w:ascii="Arial" w:cs="Arial" w:eastAsia="Arial" w:hAnsi="Arial"/>
          <w:sz w:val="22"/>
          <w:szCs w:val="22"/>
          <w:color w:val="auto"/>
        </w:rPr>
      </w:pPr>
    </w:p>
    <w:p>
      <w:pPr>
        <w:ind w:left="1340" w:hanging="1264"/>
        <w:spacing w:after="0"/>
        <w:tabs>
          <w:tab w:leader="none" w:pos="1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6" w:lineRule="exact"/>
        <w:rPr>
          <w:rFonts w:ascii="Arial" w:cs="Arial" w:eastAsia="Arial" w:hAnsi="Arial"/>
          <w:sz w:val="22"/>
          <w:szCs w:val="22"/>
          <w:color w:val="auto"/>
        </w:rPr>
      </w:pPr>
    </w:p>
    <w:p>
      <w:pPr>
        <w:ind w:left="1340" w:hanging="1264"/>
        <w:spacing w:after="0"/>
        <w:tabs>
          <w:tab w:leader="none" w:pos="1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74"/>
        </w:trPr>
        <w:tc>
          <w:tcPr>
            <w:tcW w:w="7040" w:type="dxa"/>
            <w:vAlign w:val="bottom"/>
            <w:gridSpan w:val="2"/>
          </w:tcPr>
          <w:p>
            <w:pPr>
              <w:ind w:left="1260"/>
              <w:spacing w:after="0"/>
              <w:rPr>
                <w:sz w:val="20"/>
                <w:szCs w:val="20"/>
                <w:color w:val="auto"/>
              </w:rPr>
            </w:pPr>
            <w:r>
              <w:rPr>
                <w:rFonts w:ascii="Arial" w:cs="Arial" w:eastAsia="Arial" w:hAnsi="Arial"/>
                <w:sz w:val="22"/>
                <w:szCs w:val="22"/>
                <w:color w:val="auto"/>
              </w:rPr>
              <w:t>Delaware</w:t>
            </w:r>
          </w:p>
        </w:tc>
        <w:tc>
          <w:tcPr>
            <w:tcW w:w="2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1680" w:type="dxa"/>
            <w:vAlign w:val="bottom"/>
          </w:tcPr>
          <w:p>
            <w:pPr>
              <w:spacing w:after="0"/>
              <w:rPr>
                <w:sz w:val="20"/>
                <w:szCs w:val="20"/>
                <w:color w:val="auto"/>
              </w:rPr>
            </w:pPr>
            <w:r>
              <w:rPr>
                <w:rFonts w:ascii="Arial" w:cs="Arial" w:eastAsia="Arial" w:hAnsi="Arial"/>
                <w:sz w:val="22"/>
                <w:szCs w:val="22"/>
                <w:color w:val="auto"/>
              </w:rPr>
              <w:t>NUMBER OF</w:t>
            </w:r>
          </w:p>
        </w:tc>
        <w:tc>
          <w:tcPr>
            <w:tcW w:w="53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19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5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BENEFICIALLY</w:t>
            </w:r>
          </w:p>
        </w:tc>
        <w:tc>
          <w:tcPr>
            <w:tcW w:w="53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2820" w:type="dxa"/>
            <w:vAlign w:val="bottom"/>
          </w:tcPr>
          <w:p>
            <w:pPr>
              <w:ind w:left="1960"/>
              <w:spacing w:after="0" w:line="243" w:lineRule="exact"/>
              <w:rPr>
                <w:sz w:val="20"/>
                <w:szCs w:val="20"/>
                <w:color w:val="auto"/>
              </w:rPr>
            </w:pPr>
            <w:r>
              <w:rPr>
                <w:rFonts w:ascii="Arial" w:cs="Arial" w:eastAsia="Arial" w:hAnsi="Arial"/>
                <w:sz w:val="22"/>
                <w:szCs w:val="22"/>
                <w:color w:val="auto"/>
                <w:w w:val="85"/>
              </w:rPr>
              <w:t>6,078,951</w:t>
            </w: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OWNED BY</w:t>
            </w:r>
          </w:p>
        </w:tc>
        <w:tc>
          <w:tcPr>
            <w:tcW w:w="5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5360" w:type="dxa"/>
            <w:vAlign w:val="bottom"/>
          </w:tcPr>
          <w:p>
            <w:pPr>
              <w:ind w:left="140"/>
              <w:spacing w:after="0" w:line="243" w:lineRule="exact"/>
              <w:rPr>
                <w:sz w:val="20"/>
                <w:szCs w:val="20"/>
                <w:color w:val="auto"/>
              </w:rPr>
            </w:pPr>
            <w:r>
              <w:rPr>
                <w:rFonts w:ascii="Arial" w:cs="Arial" w:eastAsia="Arial" w:hAnsi="Arial"/>
                <w:sz w:val="22"/>
                <w:szCs w:val="22"/>
                <w:color w:val="auto"/>
              </w:rPr>
              <w:t>7. SOLE DISPOSITIVE POWER</w:t>
            </w:r>
          </w:p>
        </w:tc>
        <w:tc>
          <w:tcPr>
            <w:tcW w:w="2820" w:type="dxa"/>
            <w:vAlign w:val="bottom"/>
          </w:tcPr>
          <w:p>
            <w:pPr>
              <w:ind w:left="19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rPr>
              <w:t>REPORTING</w:t>
            </w:r>
          </w:p>
        </w:tc>
        <w:tc>
          <w:tcPr>
            <w:tcW w:w="53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1960"/>
              <w:spacing w:after="0"/>
              <w:rPr>
                <w:sz w:val="20"/>
                <w:szCs w:val="20"/>
                <w:color w:val="auto"/>
              </w:rPr>
            </w:pPr>
            <w:r>
              <w:rPr>
                <w:rFonts w:ascii="Arial" w:cs="Arial" w:eastAsia="Arial" w:hAnsi="Arial"/>
                <w:sz w:val="22"/>
                <w:szCs w:val="22"/>
                <w:color w:val="auto"/>
                <w:w w:val="85"/>
              </w:rPr>
              <w:t>6,954,034</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PERSON WITH</w:t>
            </w:r>
          </w:p>
        </w:tc>
        <w:tc>
          <w:tcPr>
            <w:tcW w:w="5360" w:type="dxa"/>
            <w:vAlign w:val="bottom"/>
            <w:vMerge w:val="continue"/>
          </w:tcPr>
          <w:p>
            <w:pPr>
              <w:spacing w:after="0"/>
              <w:rPr>
                <w:sz w:val="23"/>
                <w:szCs w:val="23"/>
                <w:color w:val="auto"/>
              </w:rPr>
            </w:pPr>
          </w:p>
        </w:tc>
        <w:tc>
          <w:tcPr>
            <w:tcW w:w="2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340" w:right="919" w:hanging="1264"/>
        <w:spacing w:after="0" w:line="448" w:lineRule="auto"/>
        <w:tabs>
          <w:tab w:leader="none" w:pos="1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6,954,034</w:t>
      </w:r>
    </w:p>
    <w:p>
      <w:pPr>
        <w:ind w:left="1340" w:right="819" w:hanging="1264"/>
        <w:spacing w:after="0" w:line="448" w:lineRule="auto"/>
        <w:tabs>
          <w:tab w:leader="none" w:pos="1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 ]</w:t>
      </w:r>
    </w:p>
    <w:p>
      <w:pPr>
        <w:ind w:left="1340" w:right="2719" w:hanging="1264"/>
        <w:spacing w:after="0" w:line="448" w:lineRule="auto"/>
        <w:tabs>
          <w:tab w:leader="none" w:pos="1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PERCENT OF CLASS REPRESENTED BY AMOUNT IN ROW (9) 9.60%</w:t>
      </w:r>
    </w:p>
    <w:p>
      <w:pPr>
        <w:ind w:left="1340" w:right="5759" w:hanging="1264"/>
        <w:spacing w:after="0" w:line="481" w:lineRule="auto"/>
        <w:tabs>
          <w:tab w:leader="none" w:pos="1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-98425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99"/>
          </w:cols>
          <w:pgMar w:left="360" w:top="604" w:right="1440" w:bottom="1440" w:gutter="0" w:footer="0" w:header="0"/>
        </w:sectPr>
      </w:pPr>
    </w:p>
    <w:bookmarkStart w:id="5" w:name="page6"/>
    <w:bookmarkEnd w:id="5"/>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880" w:hanging="516"/>
        <w:spacing w:after="0"/>
        <w:tabs>
          <w:tab w:leader="none" w:pos="18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880"/>
        <w:spacing w:after="0"/>
        <w:rPr>
          <w:rFonts w:ascii="Arial" w:cs="Arial" w:eastAsia="Arial" w:hAnsi="Arial"/>
          <w:sz w:val="22"/>
          <w:szCs w:val="22"/>
          <w:b w:val="1"/>
          <w:bCs w:val="1"/>
          <w:color w:val="auto"/>
        </w:rPr>
      </w:pPr>
      <w:r>
        <w:rPr>
          <w:rFonts w:ascii="Arial" w:cs="Arial" w:eastAsia="Arial" w:hAnsi="Arial"/>
          <w:sz w:val="22"/>
          <w:szCs w:val="22"/>
          <w:color w:val="auto"/>
        </w:rPr>
        <w:t>VERACYTE, INC.</w:t>
      </w:r>
    </w:p>
    <w:p>
      <w:pPr>
        <w:spacing w:after="0" w:line="101" w:lineRule="exact"/>
        <w:rPr>
          <w:rFonts w:ascii="Arial" w:cs="Arial" w:eastAsia="Arial" w:hAnsi="Arial"/>
          <w:sz w:val="22"/>
          <w:szCs w:val="22"/>
          <w:b w:val="1"/>
          <w:bCs w:val="1"/>
          <w:color w:val="auto"/>
        </w:rPr>
      </w:pPr>
    </w:p>
    <w:p>
      <w:pPr>
        <w:ind w:left="1880" w:right="4820" w:hanging="516"/>
        <w:spacing w:after="0" w:line="241" w:lineRule="auto"/>
        <w:tabs>
          <w:tab w:leader="none" w:pos="18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6000 Shoreline Court, Suite 300</w:t>
      </w:r>
    </w:p>
    <w:p>
      <w:pPr>
        <w:spacing w:after="0" w:line="1" w:lineRule="exact"/>
        <w:rPr>
          <w:rFonts w:ascii="Arial" w:cs="Arial" w:eastAsia="Arial" w:hAnsi="Arial"/>
          <w:sz w:val="22"/>
          <w:szCs w:val="22"/>
          <w:b w:val="1"/>
          <w:bCs w:val="1"/>
          <w:color w:val="auto"/>
        </w:rPr>
      </w:pPr>
    </w:p>
    <w:p>
      <w:pPr>
        <w:ind w:left="1880"/>
        <w:spacing w:after="0"/>
        <w:rPr>
          <w:rFonts w:ascii="Arial" w:cs="Arial" w:eastAsia="Arial" w:hAnsi="Arial"/>
          <w:sz w:val="22"/>
          <w:szCs w:val="22"/>
          <w:b w:val="1"/>
          <w:bCs w:val="1"/>
          <w:color w:val="auto"/>
        </w:rPr>
      </w:pPr>
      <w:r>
        <w:rPr>
          <w:rFonts w:ascii="Arial" w:cs="Arial" w:eastAsia="Arial" w:hAnsi="Arial"/>
          <w:sz w:val="22"/>
          <w:szCs w:val="22"/>
          <w:color w:val="auto"/>
        </w:rPr>
        <w:t>South San Francisco, CA 94080</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880" w:hanging="516"/>
        <w:spacing w:after="0"/>
        <w:tabs>
          <w:tab w:leader="none" w:pos="18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880" w:right="506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2" w:lineRule="exact"/>
        <w:rPr>
          <w:rFonts w:ascii="Arial" w:cs="Arial" w:eastAsia="Arial" w:hAnsi="Arial"/>
          <w:sz w:val="22"/>
          <w:szCs w:val="22"/>
          <w:b w:val="1"/>
          <w:bCs w:val="1"/>
          <w:color w:val="auto"/>
        </w:rPr>
      </w:pPr>
    </w:p>
    <w:p>
      <w:pPr>
        <w:ind w:left="1880" w:right="3740" w:hanging="516"/>
        <w:spacing w:after="0" w:line="241" w:lineRule="auto"/>
        <w:tabs>
          <w:tab w:leader="none" w:pos="18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880" w:right="740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880" w:hanging="516"/>
        <w:spacing w:after="0"/>
        <w:tabs>
          <w:tab w:leader="none" w:pos="18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880" w:right="406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Arial" w:cs="Arial" w:eastAsia="Arial" w:hAnsi="Arial"/>
          <w:sz w:val="22"/>
          <w:szCs w:val="22"/>
          <w:b w:val="1"/>
          <w:bCs w:val="1"/>
          <w:color w:val="auto"/>
        </w:rPr>
      </w:pPr>
    </w:p>
    <w:p>
      <w:pPr>
        <w:ind w:left="1880" w:right="6740" w:hanging="516"/>
        <w:spacing w:after="0" w:line="334" w:lineRule="auto"/>
        <w:tabs>
          <w:tab w:leader="none" w:pos="188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880" w:right="7680" w:hanging="516"/>
        <w:spacing w:after="0" w:line="334" w:lineRule="auto"/>
        <w:tabs>
          <w:tab w:leader="none" w:pos="188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92337F107</w:t>
      </w:r>
    </w:p>
    <w:p>
      <w:pPr>
        <w:spacing w:after="0" w:line="13" w:lineRule="exact"/>
        <w:rPr>
          <w:sz w:val="20"/>
          <w:szCs w:val="20"/>
          <w:color w:val="auto"/>
        </w:rPr>
      </w:pPr>
    </w:p>
    <w:p>
      <w:pPr>
        <w:ind w:left="1360" w:hanging="1354"/>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880" w:hanging="516"/>
        <w:spacing w:after="0"/>
        <w:tabs>
          <w:tab w:leader="none" w:pos="18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Broker or dealer registered under Section 15 of the Act (15 U.S.C. 78o).</w:t>
      </w:r>
    </w:p>
    <w:p>
      <w:pPr>
        <w:spacing w:after="0" w:line="125" w:lineRule="exact"/>
        <w:rPr>
          <w:rFonts w:ascii="Arial" w:cs="Arial" w:eastAsia="Arial" w:hAnsi="Arial"/>
          <w:sz w:val="22"/>
          <w:szCs w:val="22"/>
          <w:color w:val="auto"/>
        </w:rPr>
      </w:pPr>
    </w:p>
    <w:p>
      <w:pPr>
        <w:ind w:left="1880" w:hanging="516"/>
        <w:spacing w:after="0"/>
        <w:tabs>
          <w:tab w:leader="none" w:pos="18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Bank as defined in Section 3(a)(6) of the Act (15 U.S.C. 78c).</w:t>
      </w:r>
    </w:p>
    <w:p>
      <w:pPr>
        <w:spacing w:after="0" w:line="125" w:lineRule="exact"/>
        <w:rPr>
          <w:rFonts w:ascii="Arial" w:cs="Arial" w:eastAsia="Arial" w:hAnsi="Arial"/>
          <w:sz w:val="22"/>
          <w:szCs w:val="22"/>
          <w:color w:val="auto"/>
        </w:rPr>
      </w:pPr>
    </w:p>
    <w:p>
      <w:pPr>
        <w:ind w:left="1880" w:hanging="516"/>
        <w:spacing w:after="0"/>
        <w:tabs>
          <w:tab w:leader="none" w:pos="18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Insurance Company as defined in Section 3(a)(19) of the Act (15 U.S.C. 78c).</w:t>
      </w:r>
    </w:p>
    <w:p>
      <w:pPr>
        <w:spacing w:after="0" w:line="125" w:lineRule="exact"/>
        <w:rPr>
          <w:rFonts w:ascii="Arial" w:cs="Arial" w:eastAsia="Arial" w:hAnsi="Arial"/>
          <w:sz w:val="22"/>
          <w:szCs w:val="22"/>
          <w:color w:val="auto"/>
        </w:rPr>
      </w:pPr>
    </w:p>
    <w:p>
      <w:pPr>
        <w:ind w:left="2480" w:right="500" w:hanging="1116"/>
        <w:spacing w:after="0" w:line="250" w:lineRule="auto"/>
        <w:tabs>
          <w:tab w:leader="none" w:pos="18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880" w:hanging="516"/>
        <w:spacing w:after="0"/>
        <w:tabs>
          <w:tab w:leader="none" w:pos="18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880" w:hanging="516"/>
        <w:spacing w:after="0"/>
        <w:tabs>
          <w:tab w:leader="none" w:pos="18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An employee benefit plan or endowment fund in accordance with Rule 240.13d-1(b)(1)(ii)(F);</w:t>
      </w:r>
    </w:p>
    <w:p>
      <w:pPr>
        <w:spacing w:after="0" w:line="125" w:lineRule="exact"/>
        <w:rPr>
          <w:rFonts w:ascii="Arial" w:cs="Arial" w:eastAsia="Arial" w:hAnsi="Arial"/>
          <w:sz w:val="22"/>
          <w:szCs w:val="22"/>
          <w:color w:val="auto"/>
        </w:rPr>
      </w:pPr>
    </w:p>
    <w:p>
      <w:pPr>
        <w:ind w:left="1880" w:hanging="516"/>
        <w:spacing w:after="0"/>
        <w:tabs>
          <w:tab w:leader="none" w:pos="18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[X]   A parent holding company or control person in accordance with Rule 240.13d-1(b)(1)(ii)(G);</w:t>
      </w:r>
    </w:p>
    <w:p>
      <w:pPr>
        <w:spacing w:after="0" w:line="136" w:lineRule="exact"/>
        <w:rPr>
          <w:rFonts w:ascii="Arial" w:cs="Arial" w:eastAsia="Arial" w:hAnsi="Arial"/>
          <w:sz w:val="21"/>
          <w:szCs w:val="21"/>
          <w:color w:val="auto"/>
        </w:rPr>
      </w:pPr>
    </w:p>
    <w:p>
      <w:pPr>
        <w:ind w:left="2480" w:right="200" w:hanging="1116"/>
        <w:spacing w:after="0" w:line="250" w:lineRule="auto"/>
        <w:tabs>
          <w:tab w:leader="none" w:pos="18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1880" w:hanging="516"/>
        <w:spacing w:after="0"/>
        <w:tabs>
          <w:tab w:leader="none" w:pos="18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A church plan that is excluded from the definition of an investment company under Section 3(c)</w:t>
      </w:r>
    </w:p>
    <w:p>
      <w:pPr>
        <w:spacing w:after="0" w:line="8" w:lineRule="exact"/>
        <w:rPr>
          <w:rFonts w:ascii="Arial" w:cs="Arial" w:eastAsia="Arial" w:hAnsi="Arial"/>
          <w:sz w:val="22"/>
          <w:szCs w:val="22"/>
          <w:color w:val="auto"/>
        </w:rPr>
      </w:pPr>
    </w:p>
    <w:p>
      <w:pPr>
        <w:ind w:left="2900" w:hanging="415"/>
        <w:spacing w:after="0"/>
        <w:tabs>
          <w:tab w:leader="none" w:pos="2900" w:val="left"/>
        </w:tabs>
        <w:numPr>
          <w:ilvl w:val="1"/>
          <w:numId w:val="12"/>
        </w:numPr>
        <w:rPr>
          <w:rFonts w:ascii="Arial" w:cs="Arial" w:eastAsia="Arial" w:hAnsi="Arial"/>
          <w:sz w:val="22"/>
          <w:szCs w:val="22"/>
          <w:color w:val="auto"/>
        </w:rPr>
      </w:pPr>
      <w:r>
        <w:rPr>
          <w:rFonts w:ascii="Arial" w:cs="Arial" w:eastAsia="Arial" w:hAnsi="Arial"/>
          <w:sz w:val="22"/>
          <w:szCs w:val="22"/>
          <w:color w:val="auto"/>
        </w:rPr>
        <w:t>of the Investment Company Act of 1940 (15 U.S.C. 80a-3);</w:t>
      </w:r>
    </w:p>
    <w:p>
      <w:pPr>
        <w:spacing w:after="0" w:line="107" w:lineRule="exact"/>
        <w:rPr>
          <w:rFonts w:ascii="Arial" w:cs="Arial" w:eastAsia="Arial" w:hAnsi="Arial"/>
          <w:sz w:val="22"/>
          <w:szCs w:val="22"/>
          <w:color w:val="auto"/>
        </w:rPr>
      </w:pPr>
    </w:p>
    <w:p>
      <w:pPr>
        <w:ind w:left="1880" w:hanging="516"/>
        <w:spacing w:after="0"/>
        <w:tabs>
          <w:tab w:leader="none" w:pos="18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Group, in accordance with Rule 240.13d-1(b)(1)(ii)(J).</w:t>
      </w:r>
    </w:p>
    <w:p>
      <w:pPr>
        <w:spacing w:after="0" w:line="125"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Group LLP - HC</w:t>
      </w:r>
    </w:p>
    <w:p>
      <w:pPr>
        <w:ind w:left="1360"/>
        <w:spacing w:after="0" w:line="238" w:lineRule="auto"/>
        <w:rPr>
          <w:sz w:val="20"/>
          <w:szCs w:val="20"/>
          <w:color w:val="auto"/>
        </w:rPr>
      </w:pPr>
      <w:r>
        <w:rPr>
          <w:rFonts w:ascii="Arial" w:cs="Arial" w:eastAsia="Arial" w:hAnsi="Arial"/>
          <w:sz w:val="22"/>
          <w:szCs w:val="22"/>
          <w:color w:val="auto"/>
        </w:rPr>
        <w:t>Wellington Group Holdings LLP - HC</w:t>
      </w:r>
    </w:p>
    <w:p>
      <w:pPr>
        <w:ind w:left="136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880" w:hanging="516"/>
        <w:spacing w:after="0"/>
        <w:tabs>
          <w:tab w:leader="none" w:pos="18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8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880" w:hanging="516"/>
        <w:spacing w:after="0"/>
        <w:tabs>
          <w:tab w:leader="none" w:pos="18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88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ectPr>
          <w:pgSz w:w="11900" w:h="16907" w:orient="portrait"/>
          <w:cols w:equalWidth="0" w:num="1">
            <w:col w:w="11020"/>
          </w:cols>
          <w:pgMar w:left="400" w:top="409" w:right="479" w:bottom="0" w:gutter="0" w:footer="0" w:header="0"/>
        </w:sectPr>
      </w:pPr>
    </w:p>
    <w:bookmarkStart w:id="6" w:name="page7"/>
    <w:bookmarkEnd w:id="6"/>
    <w:p>
      <w:pPr>
        <w:ind w:left="1880" w:hanging="516"/>
        <w:spacing w:after="0"/>
        <w:tabs>
          <w:tab w:leader="none" w:pos="18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80" w:hanging="595"/>
        <w:spacing w:after="0"/>
        <w:tabs>
          <w:tab w:leader="none" w:pos="248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6" w:lineRule="exact"/>
        <w:rPr>
          <w:rFonts w:ascii="Arial" w:cs="Arial" w:eastAsia="Arial" w:hAnsi="Arial"/>
          <w:sz w:val="22"/>
          <w:szCs w:val="22"/>
          <w:color w:val="auto"/>
        </w:rPr>
      </w:pPr>
    </w:p>
    <w:p>
      <w:pPr>
        <w:ind w:left="2480" w:hanging="595"/>
        <w:spacing w:after="0"/>
        <w:tabs>
          <w:tab w:leader="none" w:pos="2480" w:val="left"/>
        </w:tabs>
        <w:numPr>
          <w:ilvl w:val="1"/>
          <w:numId w:val="14"/>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46" w:lineRule="exact"/>
        <w:rPr>
          <w:rFonts w:ascii="Arial" w:cs="Arial" w:eastAsia="Arial" w:hAnsi="Arial"/>
          <w:sz w:val="22"/>
          <w:szCs w:val="22"/>
          <w:color w:val="auto"/>
        </w:rPr>
      </w:pPr>
    </w:p>
    <w:p>
      <w:pPr>
        <w:ind w:left="2480" w:hanging="595"/>
        <w:spacing w:after="0" w:line="183" w:lineRule="auto"/>
        <w:tabs>
          <w:tab w:leader="none" w:pos="2480" w:val="left"/>
        </w:tabs>
        <w:numPr>
          <w:ilvl w:val="1"/>
          <w:numId w:val="14"/>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80" w:right="800" w:hanging="595"/>
        <w:spacing w:after="0" w:line="183" w:lineRule="auto"/>
        <w:tabs>
          <w:tab w:leader="none" w:pos="2480" w:val="left"/>
        </w:tabs>
        <w:numPr>
          <w:ilvl w:val="1"/>
          <w:numId w:val="14"/>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See the responses to Item 6 on the attached cover pages.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838" w:orient="portrait"/>
          <w:cols w:equalWidth="0" w:num="2">
            <w:col w:w="6680" w:space="140"/>
            <w:col w:w="4260"/>
          </w:cols>
          <w:pgMar w:left="400" w:top="253" w:right="419" w:bottom="1440" w:gutter="0" w:footer="0" w:header="0"/>
        </w:sectPr>
      </w:pPr>
    </w:p>
    <w:p>
      <w:pPr>
        <w:spacing w:after="0"/>
        <w:tabs>
          <w:tab w:leader="none" w:pos="13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60" w:right="220"/>
        <w:spacing w:after="0" w:line="328"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 ]</w:t>
      </w:r>
    </w:p>
    <w:p>
      <w:pPr>
        <w:spacing w:after="0" w:line="18"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1360" w:right="200"/>
        <w:spacing w:after="0" w:line="236" w:lineRule="auto"/>
        <w:rPr>
          <w:sz w:val="20"/>
          <w:szCs w:val="20"/>
          <w:color w:val="auto"/>
        </w:rPr>
      </w:pPr>
      <w:r>
        <w:rPr>
          <w:rFonts w:ascii="Arial" w:cs="Arial" w:eastAsia="Arial" w:hAnsi="Arial"/>
          <w:sz w:val="22"/>
          <w:szCs w:val="22"/>
          <w:color w:val="auto"/>
        </w:rPr>
        <w:t>The securities as to which this Schedule is filed are owned of record by clients of one or more investment advisers identified in Exhibit A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14"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1360" w:hanging="1354"/>
        <w:spacing w:after="0" w:line="256" w:lineRule="auto"/>
        <w:tabs>
          <w:tab w:leader="none" w:pos="134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330"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See attached Exhibit A.</w:t>
      </w:r>
    </w:p>
    <w:p>
      <w:pPr>
        <w:sectPr>
          <w:pgSz w:w="11900" w:h="16838" w:orient="portrait"/>
          <w:cols w:equalWidth="0" w:num="1">
            <w:col w:w="11080"/>
          </w:cols>
          <w:pgMar w:left="400" w:top="253" w:right="419" w:bottom="1440" w:gutter="0" w:footer="0" w:header="0"/>
          <w:type w:val="continuous"/>
        </w:sectPr>
      </w:pPr>
    </w:p>
    <w:bookmarkStart w:id="7" w:name="page8"/>
    <w:bookmarkEnd w:id="7"/>
    <w:p>
      <w:pPr>
        <w:spacing w:after="0"/>
        <w:tabs>
          <w:tab w:leader="none" w:pos="134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jc w:val="center"/>
        <w:ind w:right="686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ind w:left="136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5"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00" w:right="108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Date: June 12, 2023</w:t>
      </w:r>
    </w:p>
    <w:p>
      <w:pPr>
        <w:spacing w:after="0" w:line="34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Date: June 12, 2023</w:t>
      </w:r>
    </w:p>
    <w:p>
      <w:pPr>
        <w:spacing w:after="0" w:line="34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Wellington Investment Advisors Holdings LLP</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Date: June 12, 2023</w:t>
      </w:r>
    </w:p>
    <w:p>
      <w:pPr>
        <w:spacing w:after="0" w:line="34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Date: June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356870</wp:posOffset>
            </wp:positionV>
            <wp:extent cx="57308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308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ind w:left="1100" w:right="1080"/>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Wellington Group Holdings LLP – HC</w:t>
      </w:r>
    </w:p>
    <w:p>
      <w:pPr>
        <w:spacing w:after="0" w:line="44"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Wellington Investment Advisors LLP – HC</w:t>
      </w:r>
    </w:p>
    <w:p>
      <w:pPr>
        <w:spacing w:after="0" w:line="44"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Wellington Management Global Holdings, Ltd. - HC</w:t>
      </w:r>
    </w:p>
    <w:p>
      <w:pPr>
        <w:spacing w:after="0" w:line="287"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Wellington Management Canada LLC – IA</w:t>
      </w:r>
    </w:p>
    <w:p>
      <w:pPr>
        <w:sectPr>
          <w:pgSz w:w="11900" w:h="16838" w:orient="portrait"/>
          <w:cols w:equalWidth="0" w:num="1">
            <w:col w:w="10940"/>
          </w:cols>
          <w:pgMar w:left="400" w:top="166" w:right="559" w:bottom="0" w:gutter="0" w:footer="0" w:header="0"/>
        </w:sectPr>
      </w:pPr>
    </w:p>
    <w:bookmarkStart w:id="8" w:name="page9"/>
    <w:bookmarkEnd w:id="8"/>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3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30875" cy="209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19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VERACYTE,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Date: June 12, 2023</w:t>
      </w:r>
    </w:p>
    <w:p>
      <w:pPr>
        <w:spacing w:after="0" w:line="34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Date: June 12, 2023</w:t>
      </w:r>
    </w:p>
    <w:p>
      <w:pPr>
        <w:spacing w:after="0" w:line="34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 Wellington Investment Advisors Holdings LLP</w:t>
      </w:r>
    </w:p>
    <w:p>
      <w:pPr>
        <w:spacing w:after="0" w:line="4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Date: June 12, 2023</w:t>
      </w:r>
    </w:p>
    <w:p>
      <w:pPr>
        <w:spacing w:after="0" w:line="34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Date: June 12, 2023</w:t>
      </w:r>
    </w:p>
    <w:sectPr>
      <w:pgSz w:w="11900" w:h="16838" w:orient="portrait"/>
      <w:cols w:equalWidth="0" w:num="1">
        <w:col w:w="9019"/>
      </w:cols>
      <w:pgMar w:left="1440" w:top="132" w:right="1440" w:bottom="5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2]"/>
      <w:numFmt w:val="upperLetter"/>
      <w:start w:val="24"/>
    </w:lvl>
  </w:abstractNum>
  <w:abstractNum w:abstractNumId="1">
    <w:nsid w:val="7545E146"/>
    <w:multiLevelType w:val="hybridMultilevel"/>
    <w:lvl w:ilvl="0">
      <w:lvlJc w:val="left"/>
      <w:lvlText w:val="%1."/>
      <w:numFmt w:val="decimal"/>
      <w:start w:val="1"/>
    </w:lvl>
    <w:lvl w:ilvl="1">
      <w:lvlJc w:val="left"/>
      <w:lvlText w:val="(%2)"/>
      <w:numFmt w:val="lowerLetter"/>
      <w:start w:val="1"/>
    </w:lvl>
  </w:abstractNum>
  <w:abstractNum w:abstractNumId="2">
    <w:nsid w:val="515F007C"/>
    <w:multiLevelType w:val="hybridMultilevel"/>
    <w:lvl w:ilvl="0">
      <w:lvlJc w:val="left"/>
      <w:lvlText w:val="%1."/>
      <w:numFmt w:val="decimal"/>
      <w:start w:val="9"/>
    </w:lvl>
  </w:abstractNum>
  <w:abstractNum w:abstractNumId="3">
    <w:nsid w:val="5BD062C2"/>
    <w:multiLevelType w:val="hybridMultilevel"/>
    <w:lvl w:ilvl="0">
      <w:lvlJc w:val="left"/>
      <w:lvlText w:val="%1."/>
      <w:numFmt w:val="decimal"/>
      <w:start w:val="1"/>
    </w:lvl>
    <w:lvl w:ilvl="1">
      <w:lvlJc w:val="left"/>
      <w:lvlText w:val="(%2)"/>
      <w:numFmt w:val="lowerLetter"/>
      <w:start w:val="1"/>
    </w:lvl>
  </w:abstractNum>
  <w:abstractNum w:abstractNumId="4">
    <w:nsid w:val="12200854"/>
    <w:multiLevelType w:val="hybridMultilevel"/>
    <w:lvl w:ilvl="0">
      <w:lvlJc w:val="left"/>
      <w:lvlText w:val="%1."/>
      <w:numFmt w:val="decimal"/>
      <w:start w:val="9"/>
    </w:lvl>
  </w:abstractNum>
  <w:abstractNum w:abstractNumId="5">
    <w:nsid w:val="4DB127F8"/>
    <w:multiLevelType w:val="hybridMultilevel"/>
    <w:lvl w:ilvl="0">
      <w:lvlJc w:val="left"/>
      <w:lvlText w:val="%1."/>
      <w:numFmt w:val="decimal"/>
      <w:start w:val="1"/>
    </w:lvl>
    <w:lvl w:ilvl="1">
      <w:lvlJc w:val="left"/>
      <w:lvlText w:val="(%2)"/>
      <w:numFmt w:val="lowerLetter"/>
      <w:start w:val="1"/>
    </w:lvl>
  </w:abstractNum>
  <w:abstractNum w:abstractNumId="6">
    <w:nsid w:val="216231B"/>
    <w:multiLevelType w:val="hybridMultilevel"/>
    <w:lvl w:ilvl="0">
      <w:lvlJc w:val="left"/>
      <w:lvlText w:val="%1."/>
      <w:numFmt w:val="decimal"/>
      <w:start w:val="9"/>
    </w:lvl>
  </w:abstractNum>
  <w:abstractNum w:abstractNumId="7">
    <w:nsid w:val="1F16E9E8"/>
    <w:multiLevelType w:val="hybridMultilevel"/>
    <w:lvl w:ilvl="0">
      <w:lvlJc w:val="left"/>
      <w:lvlText w:val="%1."/>
      <w:numFmt w:val="decimal"/>
      <w:start w:val="1"/>
    </w:lvl>
    <w:lvl w:ilvl="1">
      <w:lvlJc w:val="left"/>
      <w:lvlText w:val="(%2)"/>
      <w:numFmt w:val="lowerLetter"/>
      <w:start w:val="1"/>
    </w:lvl>
  </w:abstractNum>
  <w:abstractNum w:abstractNumId="8">
    <w:nsid w:val="1190CDE7"/>
    <w:multiLevelType w:val="hybridMultilevel"/>
    <w:lvl w:ilvl="0">
      <w:lvlJc w:val="left"/>
      <w:lvlText w:val="%1."/>
      <w:numFmt w:val="decimal"/>
      <w:start w:val="9"/>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lvl w:ilvl="1">
      <w:lvlJc w:val="left"/>
      <w:lvlText w:val="(%2)"/>
      <w:numFmt w:val="decimal"/>
      <w:start w:val="14"/>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2023-06-09T09:17:10Z</dcterms:created>
  <dcterms:modified xsi:type="dcterms:W3CDTF">2023-06-09T09:17:10Z</dcterms:modified>
</cp:coreProperties>
</file>