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67,277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4"/>
          </w:tcPr>
          <w:p>
            <w:pPr>
              <w:jc w:val="center"/>
              <w:ind w:left="55"/>
              <w:spacing w:after="0"/>
              <w:rPr>
                <w:sz w:val="20"/>
                <w:szCs w:val="20"/>
                <w:color w:val="auto"/>
              </w:rPr>
            </w:pPr>
            <w:r>
              <w:rPr>
                <w:rFonts w:ascii="Times New Roman" w:cs="Times New Roman" w:eastAsia="Times New Roman" w:hAnsi="Times New Roman"/>
                <w:sz w:val="17"/>
                <w:szCs w:val="17"/>
                <w:color w:val="0000FF"/>
                <w:w w:val="96"/>
              </w:rPr>
              <w:t>375,329</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34,273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341,056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20,324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34.76</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320,732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27, 2025, upon the certification by the Board of Directors of the Issuer of the achievement of the performance goals set forth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707 shares of common stock purchased on January 31, 2025 pursuant to the Veracyte, Inc.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1,486, 1,795, 2,478 and 14,565 shares of common stock to satisfy the reporting person's tax withholding obligations in connection with the vesting of 2,925, 3,533, 4,878 and 28,681 Restricted Stock Units granted on June 1, 2021, March 3,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2025-03-03T16:12:02Z</dcterms:created>
  <dcterms:modified xsi:type="dcterms:W3CDTF">2025-03-03T16:12:02Z</dcterms:modified>
</cp:coreProperties>
</file>