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August 4, 2023</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VERACYTE,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71" w:type="dxa"/>
        <w:jc w:val="left"/>
        <w:tblInd w:w="0" w:type="dxa"/>
        <w:tblLayout w:type="fixed"/>
        <w:tblCellMar>
          <w:top w:w="28" w:type="dxa"/>
          <w:left w:w="28" w:type="dxa"/>
          <w:bottom w:w="28" w:type="dxa"/>
          <w:right w:w="28" w:type="dxa"/>
        </w:tblCellMar>
      </w:tblPr>
      <w:tblGrid>
        <w:gridCol w:w="911"/>
        <w:gridCol w:w="800"/>
        <w:gridCol w:w="808"/>
        <w:gridCol w:w="109"/>
        <w:gridCol w:w="109"/>
        <w:gridCol w:w="109"/>
        <w:gridCol w:w="742"/>
        <w:gridCol w:w="742"/>
        <w:gridCol w:w="750"/>
        <w:gridCol w:w="109"/>
        <w:gridCol w:w="109"/>
        <w:gridCol w:w="109"/>
        <w:gridCol w:w="749"/>
        <w:gridCol w:w="749"/>
        <w:gridCol w:w="1066"/>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001-36156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20-5455398</w:t>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w:t>
            </w:r>
          </w:p>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bl>
    <w:tbl>
      <w:tblPr>
        <w:tblW w:w="7017" w:type="dxa"/>
        <w:jc w:val="left"/>
        <w:tblInd w:w="0" w:type="dxa"/>
        <w:tblLayout w:type="fixed"/>
        <w:tblCellMar>
          <w:top w:w="28" w:type="dxa"/>
          <w:left w:w="28" w:type="dxa"/>
          <w:bottom w:w="28" w:type="dxa"/>
          <w:right w:w="28" w:type="dxa"/>
        </w:tblCellMar>
      </w:tblPr>
      <w:tblGrid>
        <w:gridCol w:w="2024"/>
        <w:gridCol w:w="1780"/>
        <w:gridCol w:w="1791"/>
        <w:gridCol w:w="109"/>
        <w:gridCol w:w="109"/>
        <w:gridCol w:w="109"/>
        <w:gridCol w:w="320"/>
        <w:gridCol w:w="320"/>
        <w:gridCol w:w="455"/>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6000 Shoreline Court, Suite 300, 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(650) 243-6300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494"/>
        <w:gridCol w:w="1312"/>
        <w:gridCol w:w="1312"/>
        <w:gridCol w:w="2085"/>
        <w:gridCol w:w="1646"/>
        <w:gridCol w:w="235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893" w:type="dxa"/>
        <w:jc w:val="left"/>
        <w:tblInd w:w="0" w:type="dxa"/>
        <w:tblLayout w:type="fixed"/>
        <w:tblCellMar>
          <w:top w:w="28" w:type="dxa"/>
          <w:left w:w="28" w:type="dxa"/>
          <w:bottom w:w="28" w:type="dxa"/>
          <w:right w:w="28" w:type="dxa"/>
        </w:tblCellMar>
      </w:tblPr>
      <w:tblGrid>
        <w:gridCol w:w="1303"/>
        <w:gridCol w:w="1142"/>
        <w:gridCol w:w="1155"/>
        <w:gridCol w:w="109"/>
        <w:gridCol w:w="109"/>
        <w:gridCol w:w="109"/>
        <w:gridCol w:w="584"/>
        <w:gridCol w:w="584"/>
        <w:gridCol w:w="586"/>
        <w:gridCol w:w="109"/>
        <w:gridCol w:w="109"/>
        <w:gridCol w:w="109"/>
        <w:gridCol w:w="1137"/>
        <w:gridCol w:w="1137"/>
        <w:gridCol w:w="1611"/>
      </w:tblGrid>
      <w:tr>
        <w:trPr/>
        <w:tc>
          <w:tcPr>
            <w:tcW w:w="1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300"/>
        <w:gridCol w:w="2848"/>
        <w:gridCol w:w="4057"/>
      </w:tblGrid>
      <w:tr>
        <w:trPr/>
        <w:tc>
          <w:tcPr>
            <w:tcW w:w="330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or Rule 12b-2 of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8, 2023, Veracyte, Inc. (the “Company”) issued a press release announcing its financial results for the quarter ended June 30, 2023. The full text of the press release is furnished as Exhibit 99.1 to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2023, the Company and Tina S. Nova, Ph.D. agreed that Dr. Nova will resign from her position as General Manager, Urological Cancers of the Company effective as of September 3, 2023, and transition into an advisor role with the Company effective as of September 4, 2023 (the “Transition Date.”).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this transition, Dr. Nova entered into an advisor agreement (the “Advisor Agreement”) with the Company, effective as of the Transition Date, which provides that (i) for a period of twelve (12) months, Dr. Nova will receive $10,000 per month, subject to adjustment by the Company’s Board of Directors (the “Board”) or the Compensation Committee of the Board (the “Committee”) after six (6) months of service; (ii) Dr. Nova will be eligible to receive an annual discretionary bonus for fiscal year 2023, the performance target of which will be determined by the Committee in accordance with standard practices; and (iii) Dr. Nova’s existing equity awards (the “Equity Awards”) will continue to vest (or remain eligible to be achieved and vest, as applicable) pursuant to the terms and conditions of the respective award agreements and the Company’s 2013 Stock Incentive Plan, as amended, or any other applicable Company equity incentive plan, subject to her continued service as an advisor to the Company. Pursuant to the Advisor Agreement, Dr. Nova will not be entitled to receive any additional equity awards from the Company and, as of the final day of her service as an advisor to the Company, any portion of her Equity Awards that have not then vested by their terms shall automatically terminate and be forfeited.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 Nova’s Change of Control and Severance Agreement with the Company, dated April 6, 2022, will terminate effective as of the Transition Date.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Advisor Agreement does not purport to be complete and is subject to, and qualified in its entirety by, the Advisor Agreement, which will be filed as an exhibit to the Company’s Quarterly Report on Form 10-Q for the quarter ending September 30, 2023.</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4"/>
        <w:gridCol w:w="1944"/>
        <w:gridCol w:w="275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3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cyt-080820238xkearningsre.htm">
              <w:r>
                <w:rPr>
                  <w:rStyle w:val="InternetLink"/>
                  <w:rFonts w:ascii="Times New Roman;sans-serif" w:hAnsi="Times New Roman;sans-serif"/>
                  <w:b w:val="false"/>
                  <w:color w:val="000080"/>
                  <w:sz w:val="20"/>
                  <w:u w:val="single"/>
                </w:rPr>
                <w:t xml:space="preserve">Press release issued by Veracyte, Inc. dated </w:t>
              </w:r>
            </w:hyperlink>
            <w:hyperlink w:anchor="vcyt-080820238xkearningsre.htm">
              <w:r>
                <w:rPr>
                  <w:rStyle w:val="InternetLink"/>
                  <w:rFonts w:ascii="Times New Roman;sans-serif" w:hAnsi="Times New Roman;sans-serif"/>
                  <w:b w:val="false"/>
                  <w:color w:val="000080"/>
                  <w:sz w:val="20"/>
                  <w:u w:val="single"/>
                </w:rPr>
                <w:t>A</w:t>
              </w:r>
            </w:hyperlink>
            <w:hyperlink w:anchor="vcyt-080820238xkearningsre.htm">
              <w:r>
                <w:rPr>
                  <w:rStyle w:val="InternetLink"/>
                  <w:rFonts w:ascii="Times New Roman;sans-serif" w:hAnsi="Times New Roman;sans-serif"/>
                  <w:b w:val="false"/>
                  <w:color w:val="000080"/>
                  <w:sz w:val="20"/>
                  <w:u w:val="single"/>
                </w:rPr>
                <w:t>ugust</w:t>
              </w:r>
            </w:hyperlink>
            <w:hyperlink w:anchor="vcyt-080820238xkearningsre.htm">
              <w:r>
                <w:rPr>
                  <w:rStyle w:val="InternetLink"/>
                  <w:rFonts w:ascii="Times New Roman;sans-serif" w:hAnsi="Times New Roman;sans-serif"/>
                  <w:b w:val="false"/>
                  <w:color w:val="000080"/>
                  <w:sz w:val="20"/>
                  <w:u w:val="single"/>
                </w:rPr>
                <w:t xml:space="preserve"> </w:t>
              </w:r>
            </w:hyperlink>
            <w:hyperlink w:anchor="vcyt-080820238xkearningsre.htm">
              <w:r>
                <w:rPr>
                  <w:rStyle w:val="InternetLink"/>
                  <w:rFonts w:ascii="Times New Roman;sans-serif" w:hAnsi="Times New Roman;sans-serif"/>
                  <w:b w:val="false"/>
                  <w:color w:val="000080"/>
                  <w:sz w:val="20"/>
                  <w:u w:val="single"/>
                </w:rPr>
                <w:t>8</w:t>
              </w:r>
            </w:hyperlink>
            <w:hyperlink w:anchor="vcyt-080820238xkearningsre.htm">
              <w:r>
                <w:rPr>
                  <w:rStyle w:val="InternetLink"/>
                  <w:rFonts w:ascii="Times New Roman;sans-serif" w:hAnsi="Times New Roman;sans-serif"/>
                  <w:b w:val="false"/>
                  <w:color w:val="000080"/>
                  <w:sz w:val="20"/>
                  <w:u w:val="single"/>
                </w:rPr>
                <w:t>, 2023</w:t>
              </w:r>
            </w:hyperlink>
            <w:r>
              <w:rPr>
                <w:rFonts w:ascii="Times New Roman;sans-serif" w:hAnsi="Times New Roman;sans-serif"/>
                <w:b w:val="false"/>
                <w:color w:val="000000"/>
                <w:sz w:val="20"/>
              </w:rPr>
              <w:t>.</w:t>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266" w:type="dxa"/>
        <w:jc w:val="left"/>
        <w:tblInd w:w="0" w:type="dxa"/>
        <w:tblLayout w:type="fixed"/>
        <w:tblCellMar>
          <w:top w:w="28" w:type="dxa"/>
          <w:left w:w="28" w:type="dxa"/>
          <w:bottom w:w="28" w:type="dxa"/>
          <w:right w:w="28" w:type="dxa"/>
        </w:tblCellMar>
      </w:tblPr>
      <w:tblGrid>
        <w:gridCol w:w="260"/>
        <w:gridCol w:w="229"/>
        <w:gridCol w:w="231"/>
        <w:gridCol w:w="449"/>
        <w:gridCol w:w="449"/>
        <w:gridCol w:w="451"/>
        <w:gridCol w:w="266"/>
        <w:gridCol w:w="266"/>
        <w:gridCol w:w="266"/>
        <w:gridCol w:w="699"/>
        <w:gridCol w:w="699"/>
        <w:gridCol w:w="100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VERACYTE, INC.</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99.1</w:t>
      </w:r>
    </w:p>
    <w:p>
      <w:pPr>
        <w:pStyle w:val="TextBody"/>
        <w:bidi w:val="0"/>
        <w:spacing w:before="0" w:after="0"/>
        <w:jc w:val="center"/>
        <w:rPr/>
      </w:pPr>
      <w:r>
        <w:rPr/>
      </w:r>
    </w:p>
    <w:p>
      <w:pPr>
        <w:pStyle w:val="TextBody"/>
        <w:bidi w:val="0"/>
        <w:spacing w:before="0" w:after="0"/>
        <w:jc w:val="center"/>
        <w:rPr/>
      </w:pPr>
      <w:r>
        <w:rPr/>
        <w:drawing>
          <wp:inline distT="0" distB="0" distL="0" distR="0">
            <wp:extent cx="24765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76500" cy="542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Veracyte Announces Second Quarter 2023 Financial Results</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 xml:space="preserve">Grew Total Revenue to $90.3 million, an Increase of 24% </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Conference Call and Webcast Today at 4:30 p.m. ET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SOUTH SAN FRANCISCO, Calif., August 8, 2023 --- Veracyte, Inc. (Nasdaq: VCYT) today announced financial results for the second quarter ended June 30, 2023.</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We delivered outstanding second quarter results, with revenue and test volume that exceeded our expectations. We also generated a record $17 million in cash from operations this quarter, driven by our exceptional top-line performance and strong cash collections,” said Marc Stapley, Veracyte’s chief executive officer. “The compelling clinical data we shared this quarter demonstrates our focus on producing further evidence that our tests are helping to better guide patient care at pivotal moments in the race to diagnose and treat cancer.”</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 xml:space="preserve">Key Business Highlights </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second quarter total revenue by 24% to $90.3 million, compared to the second quarter of 2022.</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Grew total test volume to 31,809, an increase of 28% compared to the second quarter of 2022.</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Presented 12 abstracts for our diagnostic tests and biopharmaceutical offerings at major medical conferences. Study findings demonstrate our tests’ positive real-world impact on patient care, and also advance the scientific understanding of a number of diseases that we and our biopharmaceutical customers address. </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Published real-world Decipher Prostate Genomic Classifier findings in </w:t>
      </w:r>
      <w:r>
        <w:rPr>
          <w:rFonts w:ascii="Arial;sans-serif" w:hAnsi="Arial;sans-serif"/>
          <w:b w:val="false"/>
          <w:i/>
          <w:color w:val="000000"/>
          <w:sz w:val="20"/>
        </w:rPr>
        <w:t>JNCI Cancer Spectrum</w:t>
      </w:r>
      <w:r>
        <w:rPr>
          <w:color w:val="000000"/>
        </w:rPr>
        <w:t xml:space="preserve"> </w:t>
      </w:r>
      <w:r>
        <w:rPr>
          <w:rFonts w:ascii="Arial;sans-serif" w:hAnsi="Arial;sans-serif"/>
          <w:b w:val="false"/>
          <w:color w:val="000000"/>
          <w:sz w:val="20"/>
        </w:rPr>
        <w:t>from a population-based study of the National Cancer Institute’s SEER program database. The findings reinforce the ability of our Decipher Prostate Genomic Classifier to help guide personalized treatment approaches for men with prostate cancer.</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Generated approximately $17 million of cash from operating activities, ending the second quarter with cash, cash equivalents and short-term investments of $191 million, compared to $178 million at the end of the first quarter.</w:t>
      </w:r>
    </w:p>
    <w:p>
      <w:pPr>
        <w:pStyle w:val="TextBody"/>
        <w:bidi w:val="0"/>
        <w:spacing w:before="0" w:after="0"/>
        <w:jc w:val="left"/>
        <w:rPr/>
      </w:pPr>
      <w:r>
        <w:rPr/>
      </w:r>
    </w:p>
    <w:p>
      <w:pPr>
        <w:pStyle w:val="TextBody"/>
        <w:bidi w:val="0"/>
        <w:spacing w:lineRule="auto" w:line="276" w:before="0" w:after="60"/>
        <w:jc w:val="left"/>
        <w:rPr>
          <w:rFonts w:ascii="Arial;sans-serif" w:hAnsi="Arial;sans-serif"/>
          <w:b/>
          <w:color w:val="000000"/>
          <w:sz w:val="20"/>
        </w:rPr>
      </w:pPr>
      <w:r>
        <w:rPr>
          <w:rFonts w:ascii="Arial;sans-serif" w:hAnsi="Arial;sans-serif"/>
          <w:b/>
          <w:color w:val="000000"/>
          <w:sz w:val="20"/>
        </w:rPr>
        <w:t>Second Quarter 2023 Financial Results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Total revenue for the second quarter of 2023 was $90.3 million, an increase of 24% compared to $72.9 million reported in the second quarter of 2022. Testing revenue was $81.7 million, an increase of 37% compared to $59.7 million in the second quarter of 2022 driven primarily by the strong performance of our Decipher Prostate and Afirma tests. Product revenue was $4.0 million, an increase of 29% compared to $3.1 million in the second quarter of 2022. Biopharmaceutical and other revenue was $4.6 million, a decrease of 55% compared to $10.0 million in the second quarter of 2022. </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Total gross margin for the second quarter of 2023, including the amortization of acquired intangible assets, was 62%, compared to 59% in the second quarter of 2022. Non-GAAP gross margin, excluding the amortization of acquired intangible assets and other acquisition related expenses was 67%, compared to 66% in the second quarter of 2022.</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Operating expenses, excluding cost of revenue, were $63.9 million, an increase of 19% compared to the second quarter of 2022. Non-GAAP operating expenses, excluding cost of revenue, amortization of acquired intangible assets, other acquisition related expenses and other restructuring costs, were $59.3 million compared to $49.0 million in the second quarter of 2022.</w:t>
      </w:r>
    </w:p>
    <w:p>
      <w:pPr>
        <w:pStyle w:val="TextBody"/>
        <w:bidi w:val="0"/>
        <w:spacing w:before="0" w:after="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loss for the second quarter of 2023 was $8.4 million, an improvement of 12% compared to the second quarter of 2022. Basic and diluted net loss per common share was $0.12, an improvement of 8% compared to the second quarter of 2022. Net cash provided by operating activities in the first six months of 2023 was $14.5 million, an improvement of $23.7 million compared to the same period in 2022.</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 reconciliation of GAAP to non-GAAP financial measures has been provided in the tables included in this press release. An explanation of these measures is also included below under the heading "Note Regarding Use of Non-GAAP Financial Measures."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2023 Financial Outlook</w:t>
      </w:r>
    </w:p>
    <w:p>
      <w:pPr>
        <w:pStyle w:val="TextBody"/>
        <w:bidi w:val="0"/>
        <w:spacing w:lineRule="auto" w:line="268" w:before="0" w:after="0"/>
        <w:jc w:val="left"/>
        <w:rPr>
          <w:rFonts w:ascii="Arial;sans-serif" w:hAnsi="Arial;sans-serif"/>
          <w:b w:val="false"/>
          <w:color w:val="222222"/>
          <w:sz w:val="20"/>
        </w:rPr>
      </w:pPr>
      <w:r>
        <w:rPr>
          <w:rFonts w:ascii="Arial;sans-serif" w:hAnsi="Arial;sans-serif"/>
          <w:b w:val="false"/>
          <w:color w:val="222222"/>
          <w:sz w:val="20"/>
        </w:rPr>
        <w:t xml:space="preserve">The company is raising full-year 2023 total revenue guidance to $342 million to $350 million, representing year-over-year growth of 15% to 18%, and an improvement compared to prior guidance of $330 million to $340 million.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Conference Call and Webcast Details</w:t>
      </w:r>
    </w:p>
    <w:p>
      <w:pPr>
        <w:pStyle w:val="TextBody"/>
        <w:bidi w:val="0"/>
        <w:spacing w:lineRule="auto" w:line="268" w:before="0" w:after="0"/>
        <w:jc w:val="left"/>
        <w:rPr/>
      </w:pPr>
      <w:r>
        <w:rPr>
          <w:rFonts w:ascii="Arial;sans-serif" w:hAnsi="Arial;sans-serif"/>
          <w:b w:val="false"/>
          <w:color w:val="000000"/>
          <w:sz w:val="20"/>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sans-serif" w:hAnsi="Arial;sans-serif"/>
          <w:b w:val="false"/>
          <w:color w:val="0000FF"/>
          <w:sz w:val="20"/>
        </w:rPr>
        <w:t>https://edge.media-server.com/mmc/p/iwy5xkbf</w:t>
      </w:r>
      <w:r>
        <w:rPr>
          <w:rFonts w:ascii="Arial;sans-serif" w:hAnsi="Arial;sans-serif"/>
          <w:b w:val="false"/>
          <w:color w:val="000000"/>
          <w:sz w:val="20"/>
        </w:rPr>
        <w:t xml:space="preserve">. The webcast should be accessed 10 minutes prior to the conference call start time. A replay of the webcast will be available for one year following the conclusion of the live broadcast and will be accessible on the company’s website at </w:t>
      </w:r>
      <w:r>
        <w:rPr>
          <w:rFonts w:ascii="Arial;sans-serif" w:hAnsi="Arial;sans-serif"/>
          <w:b w:val="false"/>
          <w:color w:val="0000FF"/>
          <w:sz w:val="20"/>
        </w:rPr>
        <w:t>https://investor.veracyte.com/events-presentations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20"/>
        </w:rPr>
        <w:t xml:space="preserve">The conference call dial-in can be accessed by registering at the following link: </w:t>
      </w:r>
      <w:r>
        <w:rPr>
          <w:rFonts w:ascii="Arial;sans-serif" w:hAnsi="Arial;sans-serif"/>
          <w:b w:val="false"/>
          <w:color w:val="0000FF"/>
          <w:sz w:val="20"/>
        </w:rPr>
        <w:t>https://register.vevent.com/register/BI62f03c15042b4d5dadeed4e37ed31fd8</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Veracyte</w:t>
      </w:r>
    </w:p>
    <w:p>
      <w:pPr>
        <w:pStyle w:val="TextBody"/>
        <w:bidi w:val="0"/>
        <w:spacing w:lineRule="auto" w:line="276" w:before="0" w:after="0"/>
        <w:jc w:val="left"/>
        <w:rPr>
          <w:rFonts w:ascii="Arial;sans-serif" w:hAnsi="Arial;sans-serif"/>
          <w:b w:val="false"/>
          <w:color w:val="222222"/>
          <w:sz w:val="20"/>
        </w:rPr>
      </w:pPr>
      <w:r>
        <w:rPr>
          <w:rFonts w:ascii="Arial;sans-serif" w:hAnsi="Arial;sans-serif"/>
          <w:b w:val="false"/>
          <w:color w:val="222222"/>
          <w:sz w:val="20"/>
        </w:rPr>
        <w:t xml:space="preserve">Veracyte (Nasdaq: VCYT) is a global diagnostics company whose vision is to transform cancer care for patients all over the world. We empower clinicians with the high-value insights they need to guide and assure patients at pivotal moments in the race to diagnose and treat cancer. Our high-performing tests enable clinicians to make more confident diagnostic, prognostic and treatment decisions for some of the most challenging diseases such as thyroid, prostate, breast, bladder and lung cancers, as well as interstitial lung diseases. We help patients avoid unnecessary procedures and speed time to diagnosis and appropriate treatment. In addition to making our tests available in the U.S. through our central laboratories, we also aim to deliver our tests to patients worldwide through a distributed model to laboratories that can perform them locally. For more information, please visit www.veracyte.com and follow the company on Twitter (@veracyte).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Cautionary Note Regarding Forward-Looking Statements </w:t>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including, but not limited to, our statements related to our expected total revenue and other financial and operating results for 2023 and our plans, objectives, expectations (financial and otherwise) or intentions with respect to our tests and products, including our biopharma atlas, for use in diagnosing and treating diseases, and our commercial organization. 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to demonstrate the validity and utility of our genomic tests and biopharma offerings; to continue to integrate and expand the HalioDx and Decipher businesses and execute on our business plans; to continue to scale our global operations and enhance our internal control environment; the impact of the war in Ukraine on European economies and energy supply, as well as our facilities in France; the impact of the COVID-19 pandemic and its variants on our business and general economic conditions; the impact of foreign currency fluctuations, increasing interest rates, inflation, and turmoil in the global banking and finance system; and the performance and utility of our tests in the clinical environment. Additional factors that may impact these forward-looking statements can be found under the caption “Risk Factors” in our Annual Report on Form 10-K filed on March 1, 2023, and our Quarterly Report on Form 10-Q for the three months ended June 30, 2023 to be filed with the Securities and Exchange Commission. Copies of these documents, when available, may be found in the Investors section of our website at www.investor.veracyte.com.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shd w:fill="FFFFFF" w:val="clear"/>
        </w:rPr>
        <w:t>Veracyte, the Veracyte logo, Decipher, Afirma, Percepta, Envisia, Prosigna, Lymphmark, TMExplore, Brightplex, Immunosign, “Know by Design” and “More about You”</w:t>
      </w:r>
      <w:r>
        <w:rPr>
          <w:color w:val="000000"/>
        </w:rPr>
        <w:t xml:space="preserve"> </w:t>
      </w:r>
      <w:r>
        <w:rPr>
          <w:rFonts w:ascii="Arial;sans-serif" w:hAnsi="Arial;sans-serif"/>
          <w:b w:val="false"/>
          <w:color w:val="000000"/>
          <w:sz w:val="20"/>
          <w:shd w:fill="FFFFFF" w:val="clear"/>
        </w:rPr>
        <w:t>are registered trademarks of Veracyte, Inc. and its subsidiaries in the U.S. and selected countries. Immunoscore IC® is a trademark of Veracyte SAS registered in France. Immunoscore is a registered trademark of Inserm used by Veracyte under license. nCounter is the registered trademark of NanoString Technologies used by Veracyte under license.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Note Regarding Use of Non-GAAP Financial Measures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to the financial measures prepared in accordance with generally accepted accounting principles (GAAP), this press release and the accompanying tables contain, and reference certain non‐GAAP results including non-GAAP gross margin, non-GAAP operating expenses, and non-GAAP loss from operations. These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use non-GAAP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measures we present may be different from those used by other companies.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exclude amortization of acquired intangible assets, acquisition-related expenses relating to our acquisitions of Decipher Biosciences and HalioDx and certain costs related to restructuring from certain of our non-GAAP measures. Management has excluded the effects of these items in non-GAAP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as well as its supplemental non‐GAAP information and the reconciliation between these presentations, to more fully understand its business.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Reconciliations between our GAAP results and non‐GAAP financial measures are presented in the tables of this release.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19"/>
        <w:gridCol w:w="1331"/>
        <w:gridCol w:w="1344"/>
        <w:gridCol w:w="246"/>
        <w:gridCol w:w="880"/>
        <w:gridCol w:w="114"/>
        <w:gridCol w:w="114"/>
        <w:gridCol w:w="114"/>
        <w:gridCol w:w="114"/>
        <w:gridCol w:w="246"/>
        <w:gridCol w:w="880"/>
        <w:gridCol w:w="114"/>
        <w:gridCol w:w="110"/>
        <w:gridCol w:w="110"/>
        <w:gridCol w:w="110"/>
        <w:gridCol w:w="222"/>
        <w:gridCol w:w="904"/>
        <w:gridCol w:w="110"/>
        <w:gridCol w:w="110"/>
        <w:gridCol w:w="110"/>
        <w:gridCol w:w="110"/>
        <w:gridCol w:w="222"/>
        <w:gridCol w:w="904"/>
        <w:gridCol w:w="167"/>
      </w:tblGrid>
      <w:tr>
        <w:trPr/>
        <w:tc>
          <w:tcPr>
            <w:tcW w:w="151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amounts)</w:t>
            </w:r>
          </w:p>
        </w:tc>
      </w:tr>
      <w:tr>
        <w:trPr/>
        <w:tc>
          <w:tcPr>
            <w:tcW w:w="4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4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Testing revenue</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59,718 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115,698 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Biopharmaceutical and other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90,322 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72,864 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172,744 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140,647 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(1):</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testing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18,584 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42,981 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36,107 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biopharmaceutical and other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25,756 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51,886 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47,755 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25,047 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19,798 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47,510 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40,710 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98,373 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83,597 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191,293 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166,628 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(8,051)</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(10,733)</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(18,549)</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(25,981)</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(loss), net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(8,277)</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(9,647)</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(16,368)</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(24,111)</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(8,402)</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(9,532)</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(16,493)</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(23,993)</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common share, basic and diluted</w:t>
            </w:r>
          </w:p>
        </w:tc>
        <w:tc>
          <w:tcPr>
            <w:tcW w:w="2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1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w:t>
            </w:r>
          </w:p>
        </w:tc>
        <w:tc>
          <w:tcPr>
            <w:tcW w:w="11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w:t>
            </w:r>
          </w:p>
        </w:tc>
        <w:tc>
          <w:tcPr>
            <w:tcW w:w="11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(0.34)</w:t>
            </w:r>
          </w:p>
        </w:tc>
        <w:tc>
          <w:tcPr>
            <w:tcW w:w="16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to compute net loss per common share, basic and diluted</w:t>
            </w:r>
          </w:p>
        </w:tc>
        <w:tc>
          <w:tcPr>
            <w:tcW w:w="112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72,478,662 </w:t>
            </w:r>
          </w:p>
        </w:tc>
        <w:tc>
          <w:tcPr>
            <w:tcW w:w="11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71,476,966 </w:t>
            </w:r>
          </w:p>
        </w:tc>
        <w:tc>
          <w:tcPr>
            <w:tcW w:w="11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72,327,897 </w:t>
            </w:r>
          </w:p>
        </w:tc>
        <w:tc>
          <w:tcPr>
            <w:tcW w:w="11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71,354,002 </w:t>
            </w:r>
          </w:p>
        </w:tc>
        <w:tc>
          <w:tcPr>
            <w:tcW w:w="16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Cost of revenue, research and development, sales and marketing and general and administrative expenses include the following stock-based compensation related expenses:</w:t>
      </w:r>
    </w:p>
    <w:p>
      <w:pPr>
        <w:pStyle w:val="TextBody"/>
        <w:bidi w:val="0"/>
        <w:spacing w:before="0" w:after="0"/>
        <w:jc w:val="left"/>
        <w:rPr/>
      </w:pPr>
      <w:r>
        <w:rPr/>
      </w:r>
    </w:p>
    <w:tbl>
      <w:tblPr>
        <w:tblW w:w="9364" w:type="dxa"/>
        <w:jc w:val="center"/>
        <w:tblInd w:w="0" w:type="dxa"/>
        <w:tblLayout w:type="fixed"/>
        <w:tblCellMar>
          <w:top w:w="28" w:type="dxa"/>
          <w:left w:w="28" w:type="dxa"/>
          <w:bottom w:w="28" w:type="dxa"/>
          <w:right w:w="28" w:type="dxa"/>
        </w:tblCellMar>
      </w:tblPr>
      <w:tblGrid>
        <w:gridCol w:w="1359"/>
        <w:gridCol w:w="1193"/>
        <w:gridCol w:w="1198"/>
        <w:gridCol w:w="243"/>
        <w:gridCol w:w="867"/>
        <w:gridCol w:w="125"/>
        <w:gridCol w:w="125"/>
        <w:gridCol w:w="125"/>
        <w:gridCol w:w="125"/>
        <w:gridCol w:w="243"/>
        <w:gridCol w:w="746"/>
        <w:gridCol w:w="125"/>
        <w:gridCol w:w="109"/>
        <w:gridCol w:w="109"/>
        <w:gridCol w:w="109"/>
        <w:gridCol w:w="215"/>
        <w:gridCol w:w="766"/>
        <w:gridCol w:w="111"/>
        <w:gridCol w:w="111"/>
        <w:gridCol w:w="111"/>
        <w:gridCol w:w="111"/>
        <w:gridCol w:w="215"/>
        <w:gridCol w:w="766"/>
        <w:gridCol w:w="157"/>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Cost of revenue </w:t>
            </w:r>
          </w:p>
        </w:tc>
        <w:tc>
          <w:tcPr>
            <w:tcW w:w="24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2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2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11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657 </w:t>
            </w:r>
          </w:p>
        </w:tc>
        <w:tc>
          <w:tcPr>
            <w:tcW w:w="15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10,449 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6,125 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18,550 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12,980 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57"/>
        <w:gridCol w:w="1193"/>
        <w:gridCol w:w="1202"/>
        <w:gridCol w:w="250"/>
        <w:gridCol w:w="836"/>
        <w:gridCol w:w="128"/>
        <w:gridCol w:w="128"/>
        <w:gridCol w:w="128"/>
        <w:gridCol w:w="128"/>
        <w:gridCol w:w="250"/>
        <w:gridCol w:w="961"/>
        <w:gridCol w:w="128"/>
        <w:gridCol w:w="128"/>
        <w:gridCol w:w="128"/>
        <w:gridCol w:w="128"/>
        <w:gridCol w:w="250"/>
        <w:gridCol w:w="961"/>
        <w:gridCol w:w="128"/>
        <w:gridCol w:w="128"/>
        <w:gridCol w:w="128"/>
        <w:gridCol w:w="128"/>
        <w:gridCol w:w="250"/>
        <w:gridCol w:w="961"/>
        <w:gridCol w:w="198"/>
      </w:tblGrid>
      <w:tr>
        <w:trPr/>
        <w:tc>
          <w:tcPr>
            <w:tcW w:w="13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 OF COMPREHENSIVE LOSS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3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3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3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(8,402)</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(9,532)</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(16,493)</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(23,993)</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currency translation adjustments</w:t>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(17,369)</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(22,967)</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comprehensive loss</w:t>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(9,319)</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(26,901)</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(12,930)</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(46,960)</w:t>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96"/>
        <w:gridCol w:w="1476"/>
        <w:gridCol w:w="1429"/>
        <w:gridCol w:w="346"/>
        <w:gridCol w:w="1679"/>
        <w:gridCol w:w="179"/>
        <w:gridCol w:w="179"/>
        <w:gridCol w:w="179"/>
        <w:gridCol w:w="179"/>
        <w:gridCol w:w="346"/>
        <w:gridCol w:w="1679"/>
        <w:gridCol w:w="179"/>
        <w:gridCol w:w="159"/>
      </w:tblGrid>
      <w:tr>
        <w:trPr/>
        <w:tc>
          <w:tcPr>
            <w:tcW w:w="219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BALANCE SHEETS</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(See Note 1)</w:t>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191,142 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154,247 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24,605 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42,365 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44,021 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 and inventory</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0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259,480 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248,636 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operating leases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164,744 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174,866 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698,920 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695,891 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1,161,114 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1,156,422 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Stockholders’ Equity</w:t>
            </w:r>
          </w:p>
        </w:tc>
        <w:tc>
          <w:tcPr>
            <w:tcW w:w="2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34,427 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37,774 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deferred revenue</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acquisition-related contingent consideration</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other liabilities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20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58,151 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62,614 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contingent consideration, net of current portion</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liabilities</w:t>
            </w:r>
          </w:p>
        </w:tc>
        <w:tc>
          <w:tcPr>
            <w:tcW w:w="20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78,396 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81,222 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1,082,718 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1,075,200 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1,161,114 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1,156,422 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 The condensed consolidated balance sheet at December 31, 2022 has been derived from the audited financial statements at that date included in the Company's Form 10-K filed with the Securities and Exchange Commission dated March 1, 2023.</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91"/>
        <w:gridCol w:w="1729"/>
        <w:gridCol w:w="1734"/>
        <w:gridCol w:w="333"/>
        <w:gridCol w:w="1352"/>
        <w:gridCol w:w="171"/>
        <w:gridCol w:w="171"/>
        <w:gridCol w:w="171"/>
        <w:gridCol w:w="171"/>
        <w:gridCol w:w="333"/>
        <w:gridCol w:w="1352"/>
        <w:gridCol w:w="497"/>
      </w:tblGrid>
      <w:tr>
        <w:trPr/>
        <w:tc>
          <w:tcPr>
            <w:tcW w:w="2191"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(23,993)</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provided by (used in) operating activities:</w:t>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13,048 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property, plant and equipment</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18,366 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12,584 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on end-of-term debt obligation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1,638 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Revaluation of acquisition-related contingent consideration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currency on operations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3,318 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(2,936)</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 and inventory</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(3,654)</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(1,830)</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(1,680)</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 and deferred revenue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(5,298)</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14,499 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(9,235)</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short-term investments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(19,700)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(8,972)</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short-term investments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39,773 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maturity of short-term investments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(4,662)</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(4,963)</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20,411 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(11,760)</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long-term debt</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taxes on vested restricted stock units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(1,865)</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options and employee stock purchases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3,877 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2,082 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1,915 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Increase (decrease) in cash, cash equivalents and restricted cash</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36,992 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(19,080)</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 of foreign currency on cash, cash equivalents and restricted cash</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increase (decrease) in cash, cash equivalents and restricted cash</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37,035 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(19,750)</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beginning of period</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154,996 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173,946 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end of period</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192,031 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154,196 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947" w:type="dxa"/>
        <w:jc w:val="left"/>
        <w:tblInd w:w="0" w:type="dxa"/>
        <w:tblLayout w:type="fixed"/>
        <w:tblCellMar>
          <w:top w:w="28" w:type="dxa"/>
          <w:left w:w="28" w:type="dxa"/>
          <w:bottom w:w="28" w:type="dxa"/>
          <w:right w:w="28" w:type="dxa"/>
        </w:tblCellMar>
      </w:tblPr>
      <w:tblGrid>
        <w:gridCol w:w="1574"/>
        <w:gridCol w:w="1385"/>
        <w:gridCol w:w="1391"/>
        <w:gridCol w:w="356"/>
        <w:gridCol w:w="1445"/>
        <w:gridCol w:w="184"/>
        <w:gridCol w:w="184"/>
        <w:gridCol w:w="184"/>
        <w:gridCol w:w="184"/>
        <w:gridCol w:w="356"/>
        <w:gridCol w:w="1445"/>
        <w:gridCol w:w="259"/>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CASH, CASH EQUIVALENTS AND RESTRICTED CASH</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191,142 </w:t>
            </w:r>
          </w:p>
        </w:tc>
        <w:tc>
          <w:tcPr>
            <w:tcW w:w="18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154,247 </w:t>
            </w:r>
          </w:p>
        </w:tc>
        <w:tc>
          <w:tcPr>
            <w:tcW w:w="25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192,031 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154,996 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94"/>
        <w:gridCol w:w="763"/>
        <w:gridCol w:w="405"/>
        <w:gridCol w:w="245"/>
        <w:gridCol w:w="868"/>
        <w:gridCol w:w="314"/>
        <w:gridCol w:w="119"/>
        <w:gridCol w:w="119"/>
        <w:gridCol w:w="119"/>
        <w:gridCol w:w="333"/>
        <w:gridCol w:w="863"/>
        <w:gridCol w:w="141"/>
        <w:gridCol w:w="119"/>
        <w:gridCol w:w="119"/>
        <w:gridCol w:w="119"/>
        <w:gridCol w:w="348"/>
        <w:gridCol w:w="1019"/>
        <w:gridCol w:w="163"/>
        <w:gridCol w:w="115"/>
        <w:gridCol w:w="115"/>
        <w:gridCol w:w="115"/>
        <w:gridCol w:w="223"/>
        <w:gridCol w:w="652"/>
        <w:gridCol w:w="115"/>
        <w:gridCol w:w="115"/>
        <w:gridCol w:w="115"/>
        <w:gridCol w:w="115"/>
        <w:gridCol w:w="244"/>
        <w:gridCol w:w="834"/>
        <w:gridCol w:w="377"/>
      </w:tblGrid>
      <w:tr>
        <w:trPr/>
        <w:tc>
          <w:tcPr>
            <w:tcW w:w="89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707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U.S. GAAP to Non-GAAP Financial Measures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(Unaudited)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Identified Expenses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w:t>
            </w:r>
          </w:p>
        </w:tc>
        <w:tc>
          <w:tcPr>
            <w:tcW w:w="3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Acquisition Related Expenses (1)</w:t>
            </w:r>
          </w:p>
        </w:tc>
        <w:tc>
          <w:tcPr>
            <w:tcW w:w="35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Intangible Assets Amortization Expense</w:t>
            </w:r>
          </w:p>
        </w:tc>
        <w:tc>
          <w:tcPr>
            <w:tcW w:w="3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 (4)</w:t>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Non-GAAP Measure</w:t>
            </w:r>
          </w:p>
        </w:tc>
      </w:tr>
      <w:tr>
        <w:trPr/>
        <w:tc>
          <w:tcPr>
            <w:tcW w:w="34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 Months Ended June 30, 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90,322 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90,322 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testing revenue</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23,333 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23,333 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product revenue</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biopharmaceutical and other revenue</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4,015 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 amortization (2)</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4,814 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 $</w:t>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55,820 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4,814 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60,659 </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 %</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12,524 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25,756 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24,867 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25,047 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21,890 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 amortization</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 excluding cost of revenue (3)</w:t>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63,871 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2,626 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59,281 </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(8,051)</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2,651 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1,378 </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 Months Ended June 30, 2022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72,864 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72,864 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testing revenue</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18,584 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18,533 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product revenue</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biopharmaceutical and other revenue</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4,800 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4,735 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 amortization (2)</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 $</w:t>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42,965 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47,950 </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 %</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37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9,084 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23,143 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19,798 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16,765 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 amortization</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 excluding cost of revenue (3)</w:t>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53,698 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48,992 </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(10,733)</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5,391 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1. Includes transaction related expenses as well as post-combination compensation expenses. For each of the three months ended June 30, 2022, and June 30, 2023, adjustments consist primarily of post-combination compensation expenses associated with the acquisition of HalioDx.</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2. Includes only amortization of intangible assets identified as developed technology assets through purchase accounting transactions, which otherwise would have been allocated to cost of revenue.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3. Includes only amortization of intangible assets, which otherwise would have been allocated to research and development, selling and marketing or general and administrative expense and excludes the cost of revenue ($29.7 million and $25.0 million) and the amortization of intangible assets which would have been allocated to the cost of revenue ($4.8 million and $4.9 million) for the three months ended June 30, 2023 and for the three months ended June 30, 2022 respectively.</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 For the three months ended June 30, 2022, $3.3 million expense included related to the impairment charge associated with certain developed technology intangible assets. For the three months ended June 30, 2023, includes $1.4 million related to the departure of the former executive chair.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79"/>
        <w:gridCol w:w="750"/>
        <w:gridCol w:w="394"/>
        <w:gridCol w:w="237"/>
        <w:gridCol w:w="930"/>
        <w:gridCol w:w="305"/>
        <w:gridCol w:w="117"/>
        <w:gridCol w:w="117"/>
        <w:gridCol w:w="117"/>
        <w:gridCol w:w="320"/>
        <w:gridCol w:w="854"/>
        <w:gridCol w:w="138"/>
        <w:gridCol w:w="117"/>
        <w:gridCol w:w="117"/>
        <w:gridCol w:w="117"/>
        <w:gridCol w:w="325"/>
        <w:gridCol w:w="1034"/>
        <w:gridCol w:w="141"/>
        <w:gridCol w:w="114"/>
        <w:gridCol w:w="114"/>
        <w:gridCol w:w="114"/>
        <w:gridCol w:w="221"/>
        <w:gridCol w:w="646"/>
        <w:gridCol w:w="114"/>
        <w:gridCol w:w="114"/>
        <w:gridCol w:w="114"/>
        <w:gridCol w:w="114"/>
        <w:gridCol w:w="237"/>
        <w:gridCol w:w="929"/>
        <w:gridCol w:w="365"/>
      </w:tblGrid>
      <w:tr>
        <w:trPr/>
        <w:tc>
          <w:tcPr>
            <w:tcW w:w="87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700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U.S. GAAP to Non-GAAP Financial Measures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(Unaudited)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Identified Expenses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GAAP</w:t>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Acquisition Related Expenses (1)</w:t>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Intangible Assets Amortization Expense</w:t>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 (4)</w:t>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Non-GAAP Measure</w:t>
            </w:r>
          </w:p>
        </w:tc>
      </w:tr>
      <w:tr>
        <w:trPr/>
        <w:tc>
          <w:tcPr>
            <w:tcW w:w="3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Six Months Ended June 30, 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172,744 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172,744 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testing revenue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42,981 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42,898 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product revenue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4,477 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4,477 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biopharmaceutical and other revenue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8,459 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8,391 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 amortization (2)</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9,618 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 $</w:t>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107,209 </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9,618 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116,978 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 %</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3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25,310 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25,269 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51,886 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50,107 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47,510 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41,973 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 amortization</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 excluding cost of revenue (3)</w:t>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125,758 </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4,576 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117,349 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(18,549)</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4,727 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10,670 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Six Months Ended June 30, 2022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140,647 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140,647 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testing revenue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36,107 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36,003 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product revenue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3,221 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3,221 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biopharmaceutical and other revenue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9,415 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9,217 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 amortization (2)</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9,823 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 $</w:t>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82,081 </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9,823 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92,206 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 %</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3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18,543 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17,608 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47,755 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45,681 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40,710 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34,787 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 amortization</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 excluding cost of revenue (3)</w:t>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108,062 </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5,614 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98,076 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(25,981)</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5,916 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10,877 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(5,870)</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8"/>
              </w:rPr>
            </w:pPr>
            <w:r>
              <w:rPr>
                <w:rFonts w:ascii="Arial;sans-serif" w:hAnsi="Arial;sans-serif"/>
                <w:b w:val="false"/>
                <w:color w:val="000000"/>
                <w:sz w:val="18"/>
              </w:rPr>
              <w:t>1. Includes transaction related expenses as well as post-combination compensation expenses, adjustments consist primarily of post-combination compensation expenses associated with the acquisition of HalioDx.</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2. Includes only amortization of intangible assets identified as developed technology assets through purchase accounting transactions, which otherwise would have been allocated to cost of revenue.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3. Includes only amortization of intangible assets, which otherwise would have been allocated to research and development, selling and marketing or general and administrative expense and excludes the cost of revenue ($55.9 and $48.7 million) and the amortization of intangible assets which would have been allocated to the cost of revenue ($9.6 and $9.8 million) for the first six months of 2023 and 2022 respectively.</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 2022 includes $3.3 million expense related to the impairment charge associated with certain developed technology intangible assets; 2023 includes $1.4 million related to the departure of the former executive chair and $1.3 million related to restructuring costs.</w:t>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Shayla Gorman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Director, Investor Relations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619-393-1545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investors@veracyte.com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Tracy Morris</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Vice President of Global Corporate Communications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650-380-4413</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tracy.morris@veracyte.com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4227</Words>
  <Characters>24136</Characters>
  <CharactersWithSpaces>27975</CharactersWithSpaces>
  <Paragraphs>922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