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Stapley Marc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10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09/02/2025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8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33"/>
        </w:trPr>
        <w:tc>
          <w:tcPr>
            <w:tcW w:w="40" w:type="dxa"/>
            <w:vAlign w:val="bottom"/>
          </w:tcPr>
          <w:p>
            <w:pPr>
              <w:spacing w:after="0"/>
              <w:rPr>
                <w:sz w:val="2"/>
                <w:szCs w:val="2"/>
                <w:color w:val="auto"/>
              </w:rPr>
            </w:pPr>
          </w:p>
        </w:tc>
        <w:tc>
          <w:tcPr>
            <w:tcW w:w="36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09/02/2025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7,914</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30.11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341,852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to satisfy the Reporting Person's tax withholding obligations in connection with the vesting of certain restricted stock units on September 2, 2025 and does not represent a sale.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529 shares of common stock purchased on July 31, 2025 pursuant to the Veracyte, Inc. Employee Stock Purchase Plan.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09/04/2025</w:t>
            </w: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39796"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2025-09-04T16:21:02Z</dcterms:created>
  <dcterms:modified xsi:type="dcterms:W3CDTF">2025-09-04T16:21:02Z</dcterms:modified>
</cp:coreProperties>
</file>