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ind w:righ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32"/>
          <w:szCs w:val="32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157480</wp:posOffset>
            </wp:positionH>
            <wp:positionV relativeFrom="page">
              <wp:posOffset>157480</wp:posOffset>
            </wp:positionV>
            <wp:extent cx="7246620" cy="342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46620" cy="342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157480</wp:posOffset>
            </wp:positionH>
            <wp:positionV relativeFrom="page">
              <wp:posOffset>226060</wp:posOffset>
            </wp:positionV>
            <wp:extent cx="7246620" cy="88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4662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UNITED STATES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jc w:val="center"/>
        <w:ind w:righ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32"/>
          <w:szCs w:val="32"/>
          <w:b w:val="1"/>
          <w:bCs w:val="1"/>
          <w:color w:val="auto"/>
        </w:rPr>
        <w:t>SECURITIES AND EXCHANGE COMMISSION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jc w:val="center"/>
        <w:ind w:righ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Washington, D.C. 20549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2715260</wp:posOffset>
            </wp:positionH>
            <wp:positionV relativeFrom="paragraph">
              <wp:posOffset>210820</wp:posOffset>
            </wp:positionV>
            <wp:extent cx="1826895" cy="88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689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8" w:lineRule="exact"/>
        <w:rPr>
          <w:sz w:val="24"/>
          <w:szCs w:val="24"/>
          <w:color w:val="auto"/>
        </w:rPr>
      </w:pPr>
    </w:p>
    <w:p>
      <w:pPr>
        <w:jc w:val="center"/>
        <w:ind w:righ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32"/>
          <w:szCs w:val="32"/>
          <w:b w:val="1"/>
          <w:bCs w:val="1"/>
          <w:color w:val="auto"/>
        </w:rPr>
        <w:t>FORM 8-K</w:t>
      </w:r>
    </w:p>
    <w:p>
      <w:pPr>
        <w:spacing w:after="0" w:line="226" w:lineRule="exact"/>
        <w:rPr>
          <w:sz w:val="24"/>
          <w:szCs w:val="24"/>
          <w:color w:val="auto"/>
        </w:rPr>
      </w:pPr>
    </w:p>
    <w:p>
      <w:pPr>
        <w:jc w:val="center"/>
        <w:ind w:righ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CURRENT REPORT</w:t>
      </w:r>
    </w:p>
    <w:p>
      <w:pPr>
        <w:spacing w:after="0" w:line="14" w:lineRule="exact"/>
        <w:rPr>
          <w:sz w:val="24"/>
          <w:szCs w:val="24"/>
          <w:color w:val="auto"/>
        </w:rPr>
      </w:pPr>
    </w:p>
    <w:p>
      <w:pPr>
        <w:jc w:val="center"/>
        <w:ind w:righ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b w:val="1"/>
          <w:bCs w:val="1"/>
          <w:color w:val="auto"/>
        </w:rPr>
        <w:t>Pursuant to Section 13 or 15(d) of the Securities Exchange Act of 1934</w:t>
      </w:r>
    </w:p>
    <w:p>
      <w:pPr>
        <w:spacing w:after="0" w:line="226" w:lineRule="exact"/>
        <w:rPr>
          <w:sz w:val="24"/>
          <w:szCs w:val="24"/>
          <w:color w:val="auto"/>
        </w:rPr>
      </w:pPr>
    </w:p>
    <w:p>
      <w:pPr>
        <w:jc w:val="center"/>
        <w:ind w:righ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 xml:space="preserve">Date of Report (Date of earliest event reported): </w:t>
      </w: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May 18, 2015</w:t>
      </w:r>
    </w:p>
    <w:p>
      <w:pPr>
        <w:spacing w:after="0" w:line="202" w:lineRule="exact"/>
        <w:rPr>
          <w:sz w:val="24"/>
          <w:szCs w:val="24"/>
          <w:color w:val="auto"/>
        </w:rPr>
      </w:pPr>
    </w:p>
    <w:p>
      <w:pPr>
        <w:jc w:val="center"/>
        <w:ind w:righ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32"/>
          <w:szCs w:val="32"/>
          <w:b w:val="1"/>
          <w:bCs w:val="1"/>
          <w:color w:val="auto"/>
        </w:rPr>
        <w:t>VERACYTE, INC.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jc w:val="center"/>
        <w:ind w:righ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(Exact name of registrant as specified in its charter)</w:t>
      </w:r>
    </w:p>
    <w:p>
      <w:pPr>
        <w:sectPr>
          <w:pgSz w:w="11900" w:h="16838" w:orient="portrait"/>
          <w:cols w:equalWidth="0" w:num="1">
            <w:col w:w="11460"/>
          </w:cols>
          <w:pgMar w:left="240" w:top="544" w:right="199" w:bottom="0" w:gutter="0" w:footer="0" w:header="0"/>
        </w:sectPr>
      </w:pPr>
    </w:p>
    <w:p>
      <w:pPr>
        <w:spacing w:after="0" w:line="205" w:lineRule="exact"/>
        <w:rPr>
          <w:sz w:val="24"/>
          <w:szCs w:val="24"/>
          <w:color w:val="auto"/>
        </w:rPr>
      </w:pP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Delaware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>(State or other jurisdiction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12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of incorporation)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85" w:lineRule="exact"/>
        <w:rPr>
          <w:sz w:val="24"/>
          <w:szCs w:val="24"/>
          <w:color w:val="auto"/>
        </w:rPr>
      </w:pPr>
    </w:p>
    <w:p>
      <w:pPr>
        <w:jc w:val="center"/>
        <w:ind w:right="1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001-36156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center"/>
        <w:ind w:right="1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>(Commission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jc w:val="center"/>
        <w:ind w:right="1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>File Number)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85" w:lineRule="exact"/>
        <w:rPr>
          <w:sz w:val="24"/>
          <w:szCs w:val="24"/>
          <w:color w:val="auto"/>
        </w:rPr>
      </w:pPr>
    </w:p>
    <w:p>
      <w:pPr>
        <w:jc w:val="center"/>
        <w:ind w:right="12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20-5455398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center"/>
        <w:ind w:right="12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(IRS Employer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jc w:val="center"/>
        <w:ind w:right="12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auto"/>
        </w:rPr>
        <w:t>Identification No.)</w:t>
      </w:r>
    </w:p>
    <w:p>
      <w:pPr>
        <w:spacing w:after="0" w:line="21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520" w:space="720"/>
            <w:col w:w="2960" w:space="720"/>
            <w:col w:w="2540"/>
          </w:cols>
          <w:pgMar w:left="240" w:top="544" w:right="199" w:bottom="0" w:gutter="0" w:footer="0" w:header="0"/>
          <w:type w:val="continuous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jc w:val="center"/>
        <w:ind w:right="1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7000 Shoreline Court, Suite 250, South San Francisco, California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center"/>
        <w:ind w:right="1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(Address of principal executive offices)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jc w:val="center"/>
        <w:ind w:right="2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94080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center"/>
        <w:ind w:right="2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>(Zip Code)</w:t>
      </w:r>
    </w:p>
    <w:p>
      <w:pPr>
        <w:spacing w:after="0" w:line="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7840" w:space="720"/>
            <w:col w:w="2900"/>
          </w:cols>
          <w:pgMar w:left="240" w:top="544" w:right="199" w:bottom="0" w:gutter="0" w:footer="0" w:header="0"/>
          <w:type w:val="continuous"/>
        </w:sect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3" w:lineRule="exact"/>
        <w:rPr>
          <w:sz w:val="24"/>
          <w:szCs w:val="24"/>
          <w:color w:val="auto"/>
        </w:rPr>
      </w:pPr>
    </w:p>
    <w:p>
      <w:pPr>
        <w:ind w:right="160"/>
        <w:spacing w:after="0" w:line="27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Check the appropriate box below if the Form 8-K filing is intended to simultaneously satisfy the filing obligation of the registrant under any of the following provisions:</w:t>
      </w:r>
    </w:p>
    <w:p>
      <w:pPr>
        <w:spacing w:after="0" w:line="170" w:lineRule="exact"/>
        <w:rPr>
          <w:sz w:val="24"/>
          <w:szCs w:val="24"/>
          <w:color w:val="auto"/>
        </w:rPr>
      </w:pPr>
    </w:p>
    <w:p>
      <w:pPr>
        <w:ind w:left="260" w:hanging="252"/>
        <w:spacing w:after="0"/>
        <w:tabs>
          <w:tab w:leader="none" w:pos="260" w:val="left"/>
        </w:tabs>
        <w:numPr>
          <w:ilvl w:val="0"/>
          <w:numId w:val="1"/>
        </w:numPr>
        <w:rPr>
          <w:rFonts w:ascii="Arial" w:cs="Arial" w:eastAsia="Arial" w:hAnsi="Arial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Written communications pursuant to Rule 425 under the Securities Act (17 CFR 230.425)</w:t>
      </w:r>
    </w:p>
    <w:p>
      <w:pPr>
        <w:spacing w:after="0" w:line="225" w:lineRule="exact"/>
        <w:rPr>
          <w:rFonts w:ascii="Arial" w:cs="Arial" w:eastAsia="Arial" w:hAnsi="Arial"/>
          <w:sz w:val="18"/>
          <w:szCs w:val="18"/>
          <w:color w:val="auto"/>
        </w:rPr>
      </w:pPr>
    </w:p>
    <w:p>
      <w:pPr>
        <w:ind w:left="260" w:hanging="252"/>
        <w:spacing w:after="0"/>
        <w:tabs>
          <w:tab w:leader="none" w:pos="260" w:val="left"/>
        </w:tabs>
        <w:numPr>
          <w:ilvl w:val="0"/>
          <w:numId w:val="1"/>
        </w:numPr>
        <w:rPr>
          <w:rFonts w:ascii="Arial" w:cs="Arial" w:eastAsia="Arial" w:hAnsi="Arial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Soliciting material pursuant to Rule 14a-12 under the Exchange Act (17 CFR 240.14a-12)</w:t>
      </w:r>
    </w:p>
    <w:p>
      <w:pPr>
        <w:spacing w:after="0" w:line="225" w:lineRule="exact"/>
        <w:rPr>
          <w:rFonts w:ascii="Arial" w:cs="Arial" w:eastAsia="Arial" w:hAnsi="Arial"/>
          <w:sz w:val="18"/>
          <w:szCs w:val="18"/>
          <w:color w:val="auto"/>
        </w:rPr>
      </w:pPr>
    </w:p>
    <w:p>
      <w:pPr>
        <w:ind w:left="260" w:hanging="252"/>
        <w:spacing w:after="0"/>
        <w:tabs>
          <w:tab w:leader="none" w:pos="260" w:val="left"/>
        </w:tabs>
        <w:numPr>
          <w:ilvl w:val="0"/>
          <w:numId w:val="1"/>
        </w:numPr>
        <w:rPr>
          <w:rFonts w:ascii="Arial" w:cs="Arial" w:eastAsia="Arial" w:hAnsi="Arial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Pre-commencement communications pursuant to Rule 14d-2(b) under the Exchange Act (17 CFR 240.14d-2(b))</w:t>
      </w:r>
    </w:p>
    <w:p>
      <w:pPr>
        <w:spacing w:after="0" w:line="225" w:lineRule="exact"/>
        <w:rPr>
          <w:rFonts w:ascii="Arial" w:cs="Arial" w:eastAsia="Arial" w:hAnsi="Arial"/>
          <w:sz w:val="18"/>
          <w:szCs w:val="18"/>
          <w:color w:val="auto"/>
        </w:rPr>
      </w:pPr>
    </w:p>
    <w:p>
      <w:pPr>
        <w:ind w:left="260" w:hanging="252"/>
        <w:spacing w:after="0"/>
        <w:tabs>
          <w:tab w:leader="none" w:pos="260" w:val="left"/>
        </w:tabs>
        <w:numPr>
          <w:ilvl w:val="0"/>
          <w:numId w:val="1"/>
        </w:numPr>
        <w:rPr>
          <w:rFonts w:ascii="Arial" w:cs="Arial" w:eastAsia="Arial" w:hAnsi="Arial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Pre-commencement communications pursuant to Rule 13e-4(c) under the Exchange Act (17 CFR 240.13e-4(c))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152400</wp:posOffset>
            </wp:positionV>
            <wp:extent cx="7246620" cy="88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4662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194945</wp:posOffset>
            </wp:positionV>
            <wp:extent cx="7246620" cy="342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46620" cy="342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3175</wp:posOffset>
            </wp:positionH>
            <wp:positionV relativeFrom="paragraph">
              <wp:posOffset>433070</wp:posOffset>
            </wp:positionV>
            <wp:extent cx="7267575" cy="2984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67575" cy="29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spacing w:after="0"/>
        <w:tabs>
          <w:tab w:leader="none" w:pos="13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Item 5.07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Submission of Matters to a Vote of Security Holders.</w:t>
      </w:r>
    </w:p>
    <w:p>
      <w:pPr>
        <w:spacing w:after="0" w:line="229" w:lineRule="exact"/>
        <w:rPr>
          <w:sz w:val="24"/>
          <w:szCs w:val="24"/>
          <w:color w:val="auto"/>
        </w:rPr>
      </w:pPr>
    </w:p>
    <w:p>
      <w:pPr>
        <w:ind w:left="6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The following actions were taken at the Annual Meeting of Stockholders of Veracyte, Inc., held on May 18, 2015:</w:t>
      </w: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ind w:right="220" w:firstLine="8"/>
        <w:spacing w:after="0" w:line="277" w:lineRule="auto"/>
        <w:tabs>
          <w:tab w:leader="none" w:pos="648" w:val="left"/>
        </w:tabs>
        <w:numPr>
          <w:ilvl w:val="0"/>
          <w:numId w:val="2"/>
        </w:numPr>
        <w:rPr>
          <w:rFonts w:ascii="Arial" w:cs="Arial" w:eastAsia="Arial" w:hAnsi="Arial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The following Class II Directors were elected to serve until the 2018 Annual Meeting of Stockholders or until their successors are duly elected and qualified:</w:t>
      </w:r>
    </w:p>
    <w:p>
      <w:pPr>
        <w:spacing w:after="0" w:line="162" w:lineRule="exact"/>
        <w:rPr>
          <w:sz w:val="24"/>
          <w:szCs w:val="24"/>
          <w:color w:val="auto"/>
        </w:rPr>
      </w:pPr>
    </w:p>
    <w:tbl>
      <w:tblPr>
        <w:tblLayout w:type="fixed"/>
        <w:tblInd w:w="9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</w:tcPr>
          <w:p>
            <w:pPr>
              <w:jc w:val="center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  <w:w w:val="97"/>
              </w:rPr>
              <w:t>For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jc w:val="center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  <w:w w:val="94"/>
              </w:rPr>
              <w:t>Withheld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740" w:type="dxa"/>
            <w:vAlign w:val="bottom"/>
            <w:shd w:val="clear" w:color="auto" w:fill="CCEEFF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John L. Bishop</w:t>
            </w:r>
          </w:p>
        </w:tc>
        <w:tc>
          <w:tcPr>
            <w:tcW w:w="1360" w:type="dxa"/>
            <w:vAlign w:val="bottom"/>
            <w:shd w:val="clear" w:color="auto" w:fill="CCEEFF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16,912,634</w:t>
            </w:r>
          </w:p>
        </w:tc>
        <w:tc>
          <w:tcPr>
            <w:tcW w:w="280" w:type="dxa"/>
            <w:vAlign w:val="bottom"/>
            <w:shd w:val="clear" w:color="auto" w:fill="CCEEFF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60" w:type="dxa"/>
            <w:vAlign w:val="bottom"/>
            <w:shd w:val="clear" w:color="auto" w:fill="CCEEFF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1,944,688</w:t>
            </w:r>
          </w:p>
        </w:tc>
        <w:tc>
          <w:tcPr>
            <w:tcW w:w="120" w:type="dxa"/>
            <w:vAlign w:val="bottom"/>
            <w:shd w:val="clear" w:color="auto" w:fill="CCEEFF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740" w:type="dxa"/>
            <w:vAlign w:val="bottom"/>
            <w:shd w:val="clear" w:color="auto" w:fill="CCEEFF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Fred E. Cohen</w:t>
            </w:r>
          </w:p>
        </w:tc>
        <w:tc>
          <w:tcPr>
            <w:tcW w:w="1360" w:type="dxa"/>
            <w:vAlign w:val="bottom"/>
            <w:shd w:val="clear" w:color="auto" w:fill="CCEEFF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16,366,611</w:t>
            </w:r>
          </w:p>
        </w:tc>
        <w:tc>
          <w:tcPr>
            <w:tcW w:w="280" w:type="dxa"/>
            <w:vAlign w:val="bottom"/>
            <w:shd w:val="clear" w:color="auto" w:fill="CCEEFF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60" w:type="dxa"/>
            <w:vAlign w:val="bottom"/>
            <w:shd w:val="clear" w:color="auto" w:fill="CCEEFF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2,490,711</w:t>
            </w:r>
          </w:p>
        </w:tc>
        <w:tc>
          <w:tcPr>
            <w:tcW w:w="120" w:type="dxa"/>
            <w:vAlign w:val="bottom"/>
            <w:shd w:val="clear" w:color="auto" w:fill="CCEEFF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2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There were 1,519,528 broker non-votes for this proposal.</w:t>
      </w: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ind w:left="660" w:hanging="652"/>
        <w:spacing w:after="0"/>
        <w:tabs>
          <w:tab w:leader="none" w:pos="660" w:val="left"/>
        </w:tabs>
        <w:numPr>
          <w:ilvl w:val="0"/>
          <w:numId w:val="3"/>
        </w:numPr>
        <w:rPr>
          <w:rFonts w:ascii="Arial" w:cs="Arial" w:eastAsia="Arial" w:hAnsi="Arial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The vote on the approval of the Veracyte, Inc. Employee Stock Purchase Plan was approved:</w:t>
      </w:r>
    </w:p>
    <w:p>
      <w:pPr>
        <w:spacing w:after="0" w:line="21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1"/>
        </w:trPr>
        <w:tc>
          <w:tcPr>
            <w:tcW w:w="1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20" w:type="dxa"/>
            <w:vAlign w:val="bottom"/>
            <w:gridSpan w:val="3"/>
          </w:tcPr>
          <w:p>
            <w:pPr>
              <w:jc w:val="center"/>
              <w:ind w:righ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For</w:t>
            </w:r>
          </w:p>
        </w:tc>
        <w:tc>
          <w:tcPr>
            <w:tcW w:w="2060" w:type="dxa"/>
            <w:vAlign w:val="bottom"/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Against</w:t>
            </w:r>
          </w:p>
        </w:tc>
        <w:tc>
          <w:tcPr>
            <w:tcW w:w="2640" w:type="dxa"/>
            <w:vAlign w:val="bottom"/>
            <w:gridSpan w:val="2"/>
          </w:tcPr>
          <w:p>
            <w:pPr>
              <w:jc w:val="center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  <w:w w:val="93"/>
              </w:rPr>
              <w:t>Abstain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1540" w:type="dxa"/>
            <w:vAlign w:val="bottom"/>
            <w:vMerge w:val="restart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154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40" w:type="dxa"/>
            <w:vAlign w:val="bottom"/>
            <w:shd w:val="clear" w:color="auto" w:fill="CCEEFF"/>
          </w:tcPr>
          <w:p>
            <w:pPr>
              <w:jc w:val="right"/>
              <w:ind w:right="5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18,836,325</w:t>
            </w:r>
          </w:p>
        </w:tc>
        <w:tc>
          <w:tcPr>
            <w:tcW w:w="220" w:type="dxa"/>
            <w:vAlign w:val="bottom"/>
            <w:shd w:val="clear" w:color="auto" w:fill="CCEEFF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shd w:val="clear" w:color="auto" w:fill="CCEEFF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40" w:type="dxa"/>
            <w:vAlign w:val="bottom"/>
            <w:shd w:val="clear" w:color="auto" w:fill="CCEEFF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16,956</w:t>
            </w:r>
          </w:p>
        </w:tc>
        <w:tc>
          <w:tcPr>
            <w:tcW w:w="220" w:type="dxa"/>
            <w:vAlign w:val="bottom"/>
            <w:shd w:val="clear" w:color="auto" w:fill="CCEEFF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540" w:type="dxa"/>
            <w:vAlign w:val="bottom"/>
            <w:shd w:val="clear" w:color="auto" w:fill="CCEEFF"/>
          </w:tcPr>
          <w:p>
            <w:pPr>
              <w:jc w:val="right"/>
              <w:ind w:right="9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4,041</w:t>
            </w:r>
          </w:p>
        </w:tc>
        <w:tc>
          <w:tcPr>
            <w:tcW w:w="100" w:type="dxa"/>
            <w:vAlign w:val="bottom"/>
            <w:shd w:val="clear" w:color="auto" w:fill="CCEEFF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2"/>
        </w:trPr>
        <w:tc>
          <w:tcPr>
            <w:tcW w:w="44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7"/>
              </w:rPr>
              <w:t>There were 1,519,528 broker non-votes for this proposal.</w:t>
            </w: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2" w:lineRule="exact"/>
        <w:rPr>
          <w:sz w:val="24"/>
          <w:szCs w:val="24"/>
          <w:color w:val="auto"/>
        </w:rPr>
      </w:pPr>
    </w:p>
    <w:p>
      <w:pPr>
        <w:ind w:left="660" w:hanging="652"/>
        <w:spacing w:after="0"/>
        <w:tabs>
          <w:tab w:leader="none" w:pos="660" w:val="left"/>
        </w:tabs>
        <w:numPr>
          <w:ilvl w:val="0"/>
          <w:numId w:val="4"/>
        </w:numPr>
        <w:rPr>
          <w:rFonts w:ascii="Arial" w:cs="Arial" w:eastAsia="Arial" w:hAnsi="Arial"/>
          <w:sz w:val="16"/>
          <w:szCs w:val="16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>The ratification of the appointment of Ernst &amp; Young LLP as the Company’s independent registered public accounting firm for 2015 was approved:</w:t>
      </w:r>
    </w:p>
    <w:p>
      <w:pPr>
        <w:spacing w:after="0" w:line="24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1"/>
        </w:trPr>
        <w:tc>
          <w:tcPr>
            <w:tcW w:w="1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60" w:type="dxa"/>
            <w:vAlign w:val="bottom"/>
            <w:gridSpan w:val="2"/>
          </w:tcPr>
          <w:p>
            <w:pPr>
              <w:jc w:val="center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For</w:t>
            </w:r>
          </w:p>
        </w:tc>
        <w:tc>
          <w:tcPr>
            <w:tcW w:w="1640" w:type="dxa"/>
            <w:vAlign w:val="bottom"/>
          </w:tcPr>
          <w:p>
            <w:pPr>
              <w:ind w:left="10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Against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40" w:type="dxa"/>
            <w:vAlign w:val="bottom"/>
            <w:gridSpan w:val="2"/>
          </w:tcPr>
          <w:p>
            <w:pPr>
              <w:jc w:val="center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  <w:w w:val="93"/>
              </w:rPr>
              <w:t>Abstain</w:t>
            </w:r>
          </w:p>
        </w:tc>
        <w:tc>
          <w:tcPr>
            <w:tcW w:w="2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10"/>
        </w:trPr>
        <w:tc>
          <w:tcPr>
            <w:tcW w:w="1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16"/>
        </w:trPr>
        <w:tc>
          <w:tcPr>
            <w:tcW w:w="1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40" w:type="dxa"/>
            <w:vAlign w:val="bottom"/>
            <w:shd w:val="clear" w:color="auto" w:fill="CCEEFF"/>
          </w:tcPr>
          <w:p>
            <w:pPr>
              <w:jc w:val="right"/>
              <w:ind w:right="5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20,365,071</w:t>
            </w:r>
          </w:p>
        </w:tc>
        <w:tc>
          <w:tcPr>
            <w:tcW w:w="220" w:type="dxa"/>
            <w:vAlign w:val="bottom"/>
            <w:shd w:val="clear" w:color="auto" w:fill="CCEEFF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40" w:type="dxa"/>
            <w:vAlign w:val="bottom"/>
            <w:shd w:val="clear" w:color="auto" w:fill="CCEEFF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10,397</w:t>
            </w:r>
          </w:p>
        </w:tc>
        <w:tc>
          <w:tcPr>
            <w:tcW w:w="3620" w:type="dxa"/>
            <w:vAlign w:val="bottom"/>
            <w:gridSpan w:val="3"/>
            <w:shd w:val="clear" w:color="auto" w:fill="CCEEFF"/>
          </w:tcPr>
          <w:p>
            <w:pPr>
              <w:jc w:val="right"/>
              <w:ind w:right="9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1,382</w:t>
            </w:r>
          </w:p>
        </w:tc>
        <w:tc>
          <w:tcPr>
            <w:tcW w:w="100" w:type="dxa"/>
            <w:vAlign w:val="bottom"/>
            <w:shd w:val="clear" w:color="auto" w:fill="CCEEFF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432"/>
        </w:trPr>
        <w:tc>
          <w:tcPr>
            <w:tcW w:w="1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jc w:val="right"/>
              <w:ind w:right="5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2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132"/>
        </w:trPr>
        <w:tc>
          <w:tcPr>
            <w:tcW w:w="1620" w:type="dxa"/>
            <w:vAlign w:val="bottom"/>
            <w:tcBorders>
              <w:bottom w:val="single" w:sz="8" w:color="010101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010101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010101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010101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010101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010101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010101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010101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010101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7258050</wp:posOffset>
            </wp:positionH>
            <wp:positionV relativeFrom="paragraph">
              <wp:posOffset>-29210</wp:posOffset>
            </wp:positionV>
            <wp:extent cx="12700" cy="2984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" cy="29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3175</wp:posOffset>
            </wp:positionH>
            <wp:positionV relativeFrom="paragraph">
              <wp:posOffset>-29210</wp:posOffset>
            </wp:positionV>
            <wp:extent cx="12700" cy="2984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" cy="29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460"/>
          </w:cols>
          <w:pgMar w:left="240" w:top="544" w:right="199" w:bottom="0" w:gutter="0" w:footer="0" w:header="0"/>
          <w:type w:val="continuous"/>
        </w:sectPr>
      </w:pPr>
    </w:p>
    <w:bookmarkStart w:id="1" w:name="page2"/>
    <w:bookmarkEnd w:id="1"/>
    <w:p>
      <w:pPr>
        <w:jc w:val="center"/>
        <w:ind w:righ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SIGNATURES</w:t>
      </w:r>
    </w:p>
    <w:p>
      <w:pPr>
        <w:spacing w:after="0" w:line="229" w:lineRule="exact"/>
        <w:rPr>
          <w:sz w:val="20"/>
          <w:szCs w:val="20"/>
          <w:color w:val="auto"/>
        </w:rPr>
      </w:pPr>
    </w:p>
    <w:p>
      <w:pPr>
        <w:ind w:right="680" w:firstLine="504"/>
        <w:spacing w:after="0" w:line="27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Pursuant to the requirements of the Securities Exchange Act of 1934, the registrant has duly caused this report to be signed on its behalf by the undersigned hereunto duly authorized.</w:t>
      </w:r>
    </w:p>
    <w:p>
      <w:pPr>
        <w:spacing w:after="0" w:line="387" w:lineRule="exact"/>
        <w:rPr>
          <w:sz w:val="20"/>
          <w:szCs w:val="20"/>
          <w:color w:val="auto"/>
        </w:rPr>
      </w:pPr>
    </w:p>
    <w:p>
      <w:pPr>
        <w:ind w:left="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Dated: May 19, 2015</w:t>
      </w:r>
    </w:p>
    <w:p>
      <w:pPr>
        <w:spacing w:after="0" w:line="225" w:lineRule="exact"/>
        <w:rPr>
          <w:sz w:val="20"/>
          <w:szCs w:val="20"/>
          <w:color w:val="auto"/>
        </w:rPr>
      </w:pPr>
    </w:p>
    <w:p>
      <w:pPr>
        <w:ind w:left="56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Veracyte, Inc.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41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30"/>
        </w:trPr>
        <w:tc>
          <w:tcPr>
            <w:tcW w:w="6400" w:type="dxa"/>
            <w:vAlign w:val="bottom"/>
          </w:tcPr>
          <w:p>
            <w:pPr>
              <w:ind w:left="5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By</w:t>
            </w:r>
          </w:p>
        </w:tc>
        <w:tc>
          <w:tcPr>
            <w:tcW w:w="49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/s/ Shelly D. Guyer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195"/>
        </w:trPr>
        <w:tc>
          <w:tcPr>
            <w:tcW w:w="6400" w:type="dxa"/>
            <w:vAlign w:val="bottom"/>
          </w:tcPr>
          <w:p>
            <w:pPr>
              <w:ind w:left="5640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Name:</w:t>
            </w:r>
          </w:p>
        </w:tc>
        <w:tc>
          <w:tcPr>
            <w:tcW w:w="4940" w:type="dxa"/>
            <w:vAlign w:val="bottom"/>
          </w:tcPr>
          <w:p>
            <w:pPr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Shelly D. Guyer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</w:tr>
      <w:tr>
        <w:trPr>
          <w:trHeight w:val="230"/>
        </w:trPr>
        <w:tc>
          <w:tcPr>
            <w:tcW w:w="6400" w:type="dxa"/>
            <w:vAlign w:val="bottom"/>
          </w:tcPr>
          <w:p>
            <w:pPr>
              <w:ind w:left="5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Title:</w:t>
            </w:r>
          </w:p>
        </w:tc>
        <w:tc>
          <w:tcPr>
            <w:tcW w:w="4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Chief Financial Officer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432"/>
        </w:trPr>
        <w:tc>
          <w:tcPr>
            <w:tcW w:w="6400" w:type="dxa"/>
            <w:vAlign w:val="bottom"/>
          </w:tcPr>
          <w:p>
            <w:pPr>
              <w:jc w:val="right"/>
              <w:ind w:right="5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3</w:t>
            </w:r>
          </w:p>
        </w:tc>
        <w:tc>
          <w:tcPr>
            <w:tcW w:w="4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132"/>
        </w:trPr>
        <w:tc>
          <w:tcPr>
            <w:tcW w:w="6400" w:type="dxa"/>
            <w:vAlign w:val="bottom"/>
            <w:tcBorders>
              <w:bottom w:val="single" w:sz="8" w:color="010101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940" w:type="dxa"/>
            <w:vAlign w:val="bottom"/>
            <w:tcBorders>
              <w:bottom w:val="single" w:sz="8" w:color="010101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10101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7258050</wp:posOffset>
            </wp:positionH>
            <wp:positionV relativeFrom="paragraph">
              <wp:posOffset>-29210</wp:posOffset>
            </wp:positionV>
            <wp:extent cx="12700" cy="2984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" cy="29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3175</wp:posOffset>
            </wp:positionH>
            <wp:positionV relativeFrom="paragraph">
              <wp:posOffset>-29210</wp:posOffset>
            </wp:positionV>
            <wp:extent cx="12700" cy="2984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" cy="29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sectPr>
      <w:pgSz w:w="11900" w:h="16838" w:orient="portrait"/>
      <w:cols w:equalWidth="0" w:num="1">
        <w:col w:w="11460"/>
      </w:cols>
      <w:pgMar w:left="240" w:top="580" w:right="19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74B0DC51"/>
    <w:multiLevelType w:val="hybridMultilevel"/>
    <w:lvl w:ilvl="0">
      <w:lvlJc w:val="left"/>
      <w:lvlText w:val="o"/>
      <w:numFmt w:val="bullet"/>
      <w:start w:val="1"/>
    </w:lvl>
  </w:abstractNum>
  <w:abstractNum w:abstractNumId="1">
    <w:nsid w:val="19495CFF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2AE8944A"/>
    <w:multiLevelType w:val="hybridMultilevel"/>
    <w:lvl w:ilvl="0">
      <w:lvlJc w:val="left"/>
      <w:lvlText w:val="%1."/>
      <w:numFmt w:val="decimal"/>
      <w:start w:val="2"/>
    </w:lvl>
  </w:abstractNum>
  <w:abstractNum w:abstractNumId="3">
    <w:nsid w:val="625558EC"/>
    <w:multiLevelType w:val="hybridMultilevel"/>
    <w:lvl w:ilvl="0">
      <w:lvlJc w:val="left"/>
      <w:lvlText w:val="%1."/>
      <w:numFmt w:val="decimal"/>
      <w:start w:val="3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image" Target="media/image6.png"/><Relationship Id="rId14" Type="http://schemas.openxmlformats.org/officeDocument/2006/relationships/image" Target="media/image7.png"/><Relationship Id="rId15" Type="http://schemas.openxmlformats.org/officeDocument/2006/relationships/image" Target="media/image8.png"/><Relationship Id="rId16" Type="http://schemas.openxmlformats.org/officeDocument/2006/relationships/image" Target="media/image9.png"/><Relationship Id="rId17" Type="http://schemas.openxmlformats.org/officeDocument/2006/relationships/image" Target="media/image10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2019-12-08T19:34:52Z</dcterms:created>
  <dcterms:modified xsi:type="dcterms:W3CDTF">2019-12-08T19:34:52Z</dcterms:modified>
</cp:coreProperties>
</file>