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 Tina Susan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President, CLIA U.S.</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03/02/2022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10,695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27.84</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20,442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10,695 shares of common stock to satisfy the reporting person's tax withholding obligations in connection with the vesting of 30,000 Restricted Stock Units granted on March 12, 2021 and does not represent a sale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1,137 shares of common stock purchased pursuant to the Veracyte, Inc. Employee Stock Purchase Plan.</w:t>
      </w:r>
    </w:p>
    <w:p>
      <w:pPr>
        <w:sectPr>
          <w:pgSz w:w="11900" w:h="16838" w:orient="portrait"/>
          <w:cols w:equalWidth="0" w:num="1">
            <w:col w:w="11080"/>
          </w:cols>
          <w:pgMar w:left="460" w:top="225" w:right="359" w:bottom="1440" w:gutter="0" w:footer="0" w:header="0"/>
          <w:type w:val="continuous"/>
        </w:sectPr>
      </w:pP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Jane Alley,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15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5"/>
          <w:szCs w:val="15"/>
          <w:color w:val="0000FF"/>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0260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2022-03-04T16:30:35Z</dcterms:created>
  <dcterms:modified xsi:type="dcterms:W3CDTF">2022-03-04T16:30:35Z</dcterms:modified>
</cp:coreProperties>
</file>