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4, 2025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4, 2025, Veracyte, Inc. issued a press release announcing its financial results for the quarter ended September 30, 2025. The full text of the press release is furnished as Exhibit 99.1 to this report.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Veracyte, Inc. dated November 4, 2025.</w:t>
            </w:r>
          </w:p>
        </w:tc>
        <w:tc>
          <w:tcPr>
            <w:tcW w:w="4980" w:type="dxa"/>
            <w:vAlign w:val="bottom"/>
            <w:gridSpan w:val="2"/>
          </w:tcPr>
          <w:p>
            <w:pPr>
              <w:spacing w:after="0"/>
              <w:rPr>
                <w:sz w:val="24"/>
                <w:szCs w:val="24"/>
                <w:color w:val="auto"/>
              </w:rPr>
            </w:pPr>
          </w:p>
        </w:tc>
      </w:tr>
      <w:tr>
        <w:trPr>
          <w:trHeight w:val="277"/>
        </w:trPr>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4, 2025</w:t>
      </w:r>
    </w:p>
    <w:p>
      <w:pPr>
        <w:spacing w:after="0" w:line="3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Rebecca Chambers</w:t>
      </w:r>
    </w:p>
    <w:p>
      <w:pPr>
        <w:spacing w:after="0" w:line="61" w:lineRule="exact"/>
        <w:rPr>
          <w:sz w:val="20"/>
          <w:szCs w:val="20"/>
          <w:color w:val="auto"/>
        </w:rPr>
      </w:pPr>
    </w:p>
    <w:p>
      <w:pPr>
        <w:ind w:left="4260"/>
        <w:spacing w:after="0"/>
        <w:tabs>
          <w:tab w:leader="none" w:pos="5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172085</wp:posOffset>
            </wp:positionV>
            <wp:extent cx="222885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Third Quarter 2025 Financial Results</w:t>
      </w:r>
    </w:p>
    <w:p>
      <w:pPr>
        <w:spacing w:after="0" w:line="245" w:lineRule="exact"/>
        <w:rPr>
          <w:sz w:val="20"/>
          <w:szCs w:val="20"/>
          <w:color w:val="auto"/>
        </w:rPr>
      </w:pPr>
    </w:p>
    <w:p>
      <w:pPr>
        <w:jc w:val="center"/>
        <w:ind w:left="340" w:right="400"/>
        <w:spacing w:after="0" w:line="251" w:lineRule="auto"/>
        <w:rPr>
          <w:sz w:val="20"/>
          <w:szCs w:val="20"/>
          <w:color w:val="auto"/>
        </w:rPr>
      </w:pPr>
      <w:r>
        <w:rPr>
          <w:rFonts w:ascii="Arial" w:cs="Arial" w:eastAsia="Arial" w:hAnsi="Arial"/>
          <w:sz w:val="18"/>
          <w:szCs w:val="18"/>
          <w:i w:val="1"/>
          <w:iCs w:val="1"/>
          <w:color w:val="auto"/>
        </w:rPr>
        <w:t>Grew total revenue to $131.9 million and testing revenue to $127.8 million, representing increases of 14% and 17% year-over-year,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2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SOUTH SAN FRANCISCO, Calif., November 4, 2025 --- Veracyte, Inc. (Nasdaq: VCYT), a leading cancer diagnostics company, today announced financial results for the third quarter ended September 30, 2025.</w:t>
      </w:r>
    </w:p>
    <w:p>
      <w:pPr>
        <w:spacing w:after="0" w:line="19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delivered another outstanding quarter of testing revenue growth and adjusted EBITDA margin expansion, enabling us to raise both our revenue and profitability guidance,” said Marc Stapley, Veracyte’s chief executive officer. “We continue to advance our mission of transforming cancer care by generating high-quality evidence and clinical insights that reinforce the value of our tests and our market leadership. The strong momentum we have seen this year, combined with our upcoming TrueMRD and Prosigna LDT launches, gives us confidence in delivering durable, long-term growth from our broad portfolio of tests covering the care continuum in multiple indications.”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Highlights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the three-month period ended September 30, 2025, as compared to the same period in 2024:</w:t>
      </w:r>
    </w:p>
    <w:p>
      <w:pPr>
        <w:spacing w:after="0" w:line="8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total revenue by 14% to $131.9 million and testing revenue by 17% to $127.8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total volume by 18% to 45,888 tests and testing volume by 19% to 43,679 tests.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Decipher revenue by 26% to $82.2 million and Afirma revenue by 7% to $43.2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Decipher volume by 26% to approximately 26,700 tests and Afirma volume by 13% to approximately 17,000 tests.</w:t>
      </w:r>
    </w:p>
    <w:p>
      <w:pPr>
        <w:spacing w:after="0" w:line="103" w:lineRule="exact"/>
        <w:rPr>
          <w:rFonts w:ascii="Arial" w:cs="Arial" w:eastAsia="Arial" w:hAnsi="Arial"/>
          <w:sz w:val="18"/>
          <w:szCs w:val="18"/>
          <w:color w:val="auto"/>
        </w:rPr>
      </w:pPr>
    </w:p>
    <w:p>
      <w:pPr>
        <w:ind w:left="660" w:right="26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Recorded GAAP net income of $19.1 million, or 15% of revenue, including $6.7 million of loss related to the deconsolidation of the SAS entity.</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adjusted EBITDA of $39.7 million, or 30% of revenue.</w:t>
      </w:r>
    </w:p>
    <w:p>
      <w:pPr>
        <w:spacing w:after="0" w:line="103" w:lineRule="exact"/>
        <w:rPr>
          <w:rFonts w:ascii="Arial" w:cs="Arial" w:eastAsia="Arial" w:hAnsi="Arial"/>
          <w:sz w:val="18"/>
          <w:szCs w:val="18"/>
          <w:color w:val="auto"/>
        </w:rPr>
      </w:pPr>
    </w:p>
    <w:p>
      <w:pPr>
        <w:ind w:left="660" w:right="40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$44.8 million of cash from operations to end the quarter with $366.4 million of cash, cash equivalents, and short-term investments as of September 30, 2025.</w:t>
      </w:r>
    </w:p>
    <w:p>
      <w:pPr>
        <w:spacing w:after="0" w:line="32" w:lineRule="exact"/>
        <w:rPr>
          <w:rFonts w:ascii="Arial" w:cs="Arial" w:eastAsia="Arial" w:hAnsi="Arial"/>
          <w:sz w:val="18"/>
          <w:szCs w:val="18"/>
          <w:color w:val="auto"/>
        </w:rPr>
      </w:pPr>
    </w:p>
    <w:p>
      <w:pPr>
        <w:ind w:left="660" w:right="14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Raised full year revenue guidance to $506 million to $510 million, including raising testing revenue guidance to $484 million to $487 million or 16% year-over-year growth.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104" w:lineRule="exact"/>
        <w:rPr>
          <w:sz w:val="20"/>
          <w:szCs w:val="20"/>
          <w:color w:val="auto"/>
        </w:rPr>
      </w:pPr>
    </w:p>
    <w:p>
      <w:pPr>
        <w:ind w:left="660" w:right="76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at ASTRO 2025 nine Decipher-focused abstracts, including the first validation data from the BALANCE trial that demonstrated the PAM50 molecular signature predicts hormone therapy benefit in men with recurrent prostate cancer using Decipher GRID.</w:t>
      </w:r>
    </w:p>
    <w:p>
      <w:pPr>
        <w:spacing w:after="0" w:line="60" w:lineRule="exact"/>
        <w:rPr>
          <w:rFonts w:ascii="Arial" w:cs="Arial" w:eastAsia="Arial" w:hAnsi="Arial"/>
          <w:sz w:val="18"/>
          <w:szCs w:val="18"/>
          <w:color w:val="auto"/>
        </w:rPr>
      </w:pPr>
    </w:p>
    <w:p>
      <w:pPr>
        <w:ind w:left="660" w:right="22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data published online in Cell from the STAMPEDE trial showing that the Decipher Prostate Genomic Classifier predicts chemotherapy benefit in patients with metastatic prostate cancer in an effort to help patients avoid unnecessary toxicity.</w:t>
      </w:r>
    </w:p>
    <w:p>
      <w:pPr>
        <w:spacing w:after="0" w:line="45" w:lineRule="exact"/>
        <w:rPr>
          <w:rFonts w:ascii="Arial" w:cs="Arial" w:eastAsia="Arial" w:hAnsi="Arial"/>
          <w:sz w:val="18"/>
          <w:szCs w:val="18"/>
          <w:color w:val="auto"/>
        </w:rPr>
      </w:pPr>
    </w:p>
    <w:p>
      <w:pPr>
        <w:ind w:left="660" w:right="24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the Afirma v2 transcriptome to improve the efficiency of the Afirma testing business, while providing a platform for future product launches, such as Prosigna LDT.</w:t>
      </w:r>
    </w:p>
    <w:p>
      <w:pPr>
        <w:spacing w:after="0" w:line="45" w:lineRule="exact"/>
        <w:rPr>
          <w:rFonts w:ascii="Arial" w:cs="Arial" w:eastAsia="Arial" w:hAnsi="Arial"/>
          <w:sz w:val="18"/>
          <w:szCs w:val="18"/>
          <w:color w:val="auto"/>
        </w:rPr>
      </w:pPr>
    </w:p>
    <w:p>
      <w:pPr>
        <w:ind w:left="660" w:right="66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Supported the presentation of twelve abstracts covering clinical Afirma GSC data and research with Afirma GRID at the 2025 American Thyroid Association Annual Meeting.</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NIGHTINGALE clinical utility trial enrollment for the Percepta Nasal Swab test.</w:t>
      </w:r>
    </w:p>
    <w:p>
      <w:pPr>
        <w:spacing w:after="0" w:line="9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Third Quarter 2025 Financial Results</w:t>
      </w:r>
    </w:p>
    <w:p>
      <w:pPr>
        <w:spacing w:after="0" w:line="33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Total revenue for the third quarter of 2025 was $131.9 million, an increase of 14% compared to $ 115.9 million reported in the third quarter of 2024. Testing revenue was $127.8 million, an increase of 17% compared to $109.5 million in the third quarter of 2024, driven by growth in our Decipher Prostate and Afirma tests. Product revenue was $3.3 million, an increase of 4% compared to $3.2 million in the third quarter of 2024. Biopharmaceutical and other revenue was $0.8 million, a decrease compared to $3.1 million in the third quarter of 2024 given the restructuring and liquidation proceedings of Veracyte SAS.</w:t>
      </w:r>
    </w:p>
    <w:p>
      <w:pPr>
        <w:spacing w:after="0" w:line="25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Total gross margin for the third quarter of 2025 was 69%, compared to 68% in the third quarter of 2024. Non-GAAP gross margin was 73%, compared to 71% in the third quarter of 2024.</w:t>
      </w:r>
    </w:p>
    <w:p>
      <w:pPr>
        <w:spacing w:after="0" w:line="23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Operating expenses were $68.3 million for the third quarter of 2025. Non-GAAP operating expenses grew 2% to $58.6 million compared to $57.6 million in the third quarter of 2024.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third quarter of 2025 was $19.1 million, an improvement of 26% compared to the third quarter of 2024, including a $6.7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million loss from the deconsolidation of the Veracyte SAS entity. Diluted net earnings per common share was $0.24, an improvement of $0.05 compared to the third quarter of 2024. Non-GAAP diluted net earnings per common share was $0.51, an increase of $0.18 compared to the</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third quarter of 2024. Net cash provided by operating activities in the first nine months of 2025 was $83.7 million, an improvement of $33.2 million compared to the same period in 2024.</w:t>
      </w:r>
    </w:p>
    <w:p>
      <w:pPr>
        <w:spacing w:after="0" w:line="19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Adjusted EBITDA for the third quarter of 2025 was $ 39.7 million, an improvement of 45% compared to the third quarter of 2024, representing 30.1% of revenue compared to 23.6% of revenue in the same period of 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Financial Outlook</w:t>
      </w:r>
    </w:p>
    <w:p>
      <w:pPr>
        <w:spacing w:after="0" w:line="22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is raising full-year 2025 testing revenue guidance to $484 million to $487 million, or 16% year-over-year growth, from prior guidance of $477 million to $483 million. Adjusting for the impact of the paused Envisia test, the guidance implies 17% to 18% year-over-year testing revenue growth. The company is also raising full-year 2025 total revenue guidance to $506 million to $510 million, or 14% year-over-year growth, from prior guidance of $496 million to $504 million.</w:t>
      </w:r>
    </w:p>
    <w:p>
      <w:pPr>
        <w:spacing w:after="0" w:line="20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Additionally, the company is raising guidance for 2025 adjusted EBITDA as a percentage of revenue to over 25% from the 23.5% prior guidance.</w:t>
      </w:r>
    </w:p>
    <w:p>
      <w:pPr>
        <w:spacing w:after="0" w:line="18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 is unable to provide a quantitative reconciliation of expected adjusted EBITDA as a percentage of revenue to the most directly comparable forward-looking GAAP measure without unreasonable effort, because of the inherent difficulty in accurately forecasting the occurrence and financial impact of the various adjusting items necessary for such reconciliations that have not yet occurred, that are dependent on various factors, are out of the company’s control, or that cannot be reasonably predicted. Such adjustments include, but are not limited to, acquisition-related expenses, and other adjustments. Any associated estimate of these items and their impact on GAAP</w:t>
      </w:r>
    </w:p>
    <w:p>
      <w:pPr>
        <w:spacing w:after="0" w:line="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performance for the guidance period could vary materially. For more information on the non-GAAP financial measures, please refer to the section titled “Note Regarding Use of Non-GAAP Financial Measures” at the end of this press release.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3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color w:val="0000FF"/>
        </w:rPr>
        <w:t>https://edge.media-server.com/mmc/p/kcexjtb4</w:t>
      </w:r>
      <w:r>
        <w:rPr>
          <w:rFonts w:ascii="Arial" w:cs="Arial" w:eastAsia="Arial" w:hAnsi="Arial"/>
          <w:sz w:val="18"/>
          <w:szCs w:val="18"/>
          <w:color w:val="000000"/>
        </w:rPr>
        <w:t>. The webcast should be accessed 10 minutes prior to the conference call start time. A replay</w:t>
      </w:r>
      <w:r>
        <w:rPr>
          <w:rFonts w:ascii="Arial" w:cs="Arial" w:eastAsia="Arial" w:hAnsi="Arial"/>
          <w:sz w:val="18"/>
          <w:szCs w:val="18"/>
          <w:color w:val="0000FF"/>
        </w:rPr>
        <w:t xml:space="preserve"> </w:t>
      </w:r>
      <w:r>
        <w:rPr>
          <w:rFonts w:ascii="Arial" w:cs="Arial" w:eastAsia="Arial" w:hAnsi="Arial"/>
          <w:sz w:val="18"/>
          <w:szCs w:val="18"/>
          <w:color w:val="000000"/>
        </w:rPr>
        <w:t>of the webcast will be available for one year following the conclusion of the live broadcast and will be accessible on the company’s website at https://investor.veracyte.com/events-presentations.</w:t>
      </w:r>
    </w:p>
    <w:p>
      <w:pPr>
        <w:spacing w:after="0" w:line="203" w:lineRule="exact"/>
        <w:rPr>
          <w:sz w:val="20"/>
          <w:szCs w:val="20"/>
          <w:color w:val="auto"/>
        </w:rPr>
      </w:pPr>
    </w:p>
    <w:p>
      <w:pPr>
        <w:ind w:right="2720"/>
        <w:spacing w:after="0" w:line="271" w:lineRule="auto"/>
        <w:rPr>
          <w:sz w:val="20"/>
          <w:szCs w:val="20"/>
          <w:color w:val="auto"/>
        </w:rPr>
      </w:pPr>
      <w:r>
        <w:rPr>
          <w:rFonts w:ascii="Arial" w:cs="Arial" w:eastAsia="Arial" w:hAnsi="Arial"/>
          <w:sz w:val="18"/>
          <w:szCs w:val="18"/>
          <w:color w:val="auto"/>
        </w:rPr>
        <w:t xml:space="preserve">The conference call dial-in can be accessed by registering via the following link: </w:t>
      </w:r>
      <w:r>
        <w:rPr>
          <w:rFonts w:ascii="Arial" w:cs="Arial" w:eastAsia="Arial" w:hAnsi="Arial"/>
          <w:sz w:val="18"/>
          <w:szCs w:val="18"/>
          <w:color w:val="0000FF"/>
        </w:rPr>
        <w:t>https://register-conf.media-server.com/register/BIdae4aec5409542e898e39e3944b8a094</w:t>
      </w:r>
      <w:r>
        <w:rPr>
          <w:rFonts w:ascii="Arial" w:cs="Arial" w:eastAsia="Arial" w:hAnsi="Arial"/>
          <w:sz w:val="18"/>
          <w:szCs w:val="18"/>
          <w:color w:val="000000"/>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ectPr>
          <w:pgSz w:w="11900" w:h="16838" w:orient="portrait"/>
          <w:cols w:equalWidth="0" w:num="1">
            <w:col w:w="11240"/>
          </w:cols>
          <w:pgMar w:left="320" w:top="890" w:right="339" w:bottom="1440" w:gutter="0" w:footer="0" w:header="0"/>
        </w:sectPr>
      </w:pPr>
    </w:p>
    <w:bookmarkStart w:id="5" w:name="page6"/>
    <w:bookmarkEnd w:id="5"/>
    <w:p>
      <w:pPr>
        <w:ind w:right="160"/>
        <w:spacing w:after="0" w:line="238" w:lineRule="auto"/>
        <w:rPr>
          <w:sz w:val="20"/>
          <w:szCs w:val="20"/>
          <w:color w:val="auto"/>
        </w:rPr>
      </w:pPr>
      <w:r>
        <w:rPr>
          <w:rFonts w:ascii="Arial" w:cs="Arial" w:eastAsia="Arial" w:hAnsi="Arial"/>
          <w:sz w:val="18"/>
          <w:szCs w:val="18"/>
          <w:color w:val="222222"/>
        </w:rPr>
        <w:t xml:space="preserve">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 powerful evidence-generation engine, which ultimately drives durable reimbursement and guideline inclusion for our tests, along with new insights to support continued innovation and pipeline development. </w:t>
      </w:r>
      <w:r>
        <w:rPr>
          <w:rFonts w:ascii="Arial" w:cs="Arial" w:eastAsia="Arial" w:hAnsi="Arial"/>
          <w:sz w:val="18"/>
          <w:szCs w:val="18"/>
          <w:color w:val="000000"/>
        </w:rPr>
        <w:t>For more information, please visit</w:t>
      </w:r>
      <w:r>
        <w:rPr>
          <w:rFonts w:ascii="Arial" w:cs="Arial" w:eastAsia="Arial" w:hAnsi="Arial"/>
          <w:sz w:val="18"/>
          <w:szCs w:val="18"/>
          <w:color w:val="222222"/>
        </w:rPr>
        <w:t xml:space="preserve"> </w:t>
      </w:r>
      <w:r>
        <w:rPr>
          <w:rFonts w:ascii="Arial" w:cs="Arial" w:eastAsia="Arial" w:hAnsi="Arial"/>
          <w:sz w:val="18"/>
          <w:szCs w:val="18"/>
          <w:color w:val="0563C1"/>
        </w:rPr>
        <w:t xml:space="preserve">www.veracyte.com </w:t>
      </w:r>
      <w:r>
        <w:rPr>
          <w:rFonts w:ascii="Arial" w:cs="Arial" w:eastAsia="Arial" w:hAnsi="Arial"/>
          <w:sz w:val="18"/>
          <w:szCs w:val="18"/>
          <w:color w:val="000000"/>
        </w:rPr>
        <w:t>or follow us on</w:t>
      </w:r>
      <w:r>
        <w:rPr>
          <w:rFonts w:ascii="Arial" w:cs="Arial" w:eastAsia="Arial" w:hAnsi="Arial"/>
          <w:sz w:val="18"/>
          <w:szCs w:val="18"/>
          <w:color w:val="0563C1"/>
        </w:rPr>
        <w:t xml:space="preserve"> LinkedIn </w:t>
      </w:r>
      <w:r>
        <w:rPr>
          <w:rFonts w:ascii="Arial" w:cs="Arial" w:eastAsia="Arial" w:hAnsi="Arial"/>
          <w:sz w:val="18"/>
          <w:szCs w:val="18"/>
          <w:color w:val="000000"/>
        </w:rPr>
        <w:t>or</w:t>
      </w:r>
      <w:r>
        <w:rPr>
          <w:rFonts w:ascii="Arial" w:cs="Arial" w:eastAsia="Arial" w:hAnsi="Arial"/>
          <w:sz w:val="18"/>
          <w:szCs w:val="18"/>
          <w:color w:val="0563C1"/>
        </w:rPr>
        <w:t xml:space="preserve"> X (Twitter).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plans, objectives, and expectations (financial and otherwise), including with respect to our 2025 financial and operating results; and our intentions with respect to our tests and products, including upcoming product launches. Forward-looking statements can be identified by words such as: “appears,” “anticipate,” “intend,” “plan,” “expect,” “believe,” “should,” “may,” “could,” “would,” “will,” “enable,” “positioned,” “offers,” “designed,” “ultimately,” “strategic,” “outlook,” “guidance,”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 conflicts on European economies; the impact of foreign currency fluctuations, volatile interest rates, inflation, the impact of legislation and policies enacted by the current U.S. administration; turmoil</w:t>
      </w:r>
    </w:p>
    <w:p>
      <w:pPr>
        <w:spacing w:after="0" w:line="6"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in the global banking and finance system; the ongoing conflict in the Middle East; and the performance and utility of our tests in the clinical environment. Additional factors that may impact these forward-looking statements can be found under the caption “Risk Factors” in our</w:t>
      </w:r>
    </w:p>
    <w:p>
      <w:pPr>
        <w:spacing w:after="0" w:line="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Annual Report on Form 10-K filed on February 28, 2025,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5" w:lineRule="exact"/>
        <w:rPr>
          <w:sz w:val="20"/>
          <w:szCs w:val="20"/>
          <w:color w:val="auto"/>
        </w:rPr>
      </w:pPr>
    </w:p>
    <w:p>
      <w:pPr>
        <w:ind w:right="220"/>
        <w:spacing w:after="0" w:line="208"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 expenses, adjusted EBITDA, adjusted EBITDA as a percentage of revenue (also referred to as adjusted EBITDA margin), non-GAAP net income, and non-GAAP earnings per share (EPS) and non-GAAP weighted average shares outstanding.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21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financial measures we present may be different from those used by other companies, including similarly titled measures.</w:t>
      </w:r>
    </w:p>
    <w:p>
      <w:pPr>
        <w:spacing w:after="0" w:line="190"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We compute these non-GAAP measures by adjusting the applicable GAAP measure to remove the impact of certain recurring and non-recurring charges and gains and to adjust for the impact of income tax items related to such adjustments to our GAAP financial statements. In particular, 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all of our non-GAAP financial measures as well as depreciation and income tax items from our adjusted EBITDA and adjusted EBITDA</w:t>
      </w:r>
    </w:p>
    <w:p>
      <w:pPr>
        <w:sectPr>
          <w:pgSz w:w="11900" w:h="16838" w:orient="portrait"/>
          <w:cols w:equalWidth="0" w:num="1">
            <w:col w:w="11240"/>
          </w:cols>
          <w:pgMar w:left="320" w:top="1120" w:right="339" w:bottom="1440" w:gutter="0" w:footer="0" w:header="0"/>
        </w:sectPr>
      </w:pPr>
    </w:p>
    <w:bookmarkStart w:id="6" w:name="page7"/>
    <w:bookmarkEnd w:id="6"/>
    <w:p>
      <w:pPr>
        <w:spacing w:after="0" w:line="206" w:lineRule="exact"/>
        <w:rPr>
          <w:sz w:val="20"/>
          <w:szCs w:val="20"/>
          <w:color w:val="auto"/>
        </w:rPr>
      </w:pPr>
      <w:r>
        <w:rPr>
          <w:rFonts w:ascii="Arial" w:cs="Arial" w:eastAsia="Arial" w:hAnsi="Arial"/>
          <w:sz w:val="18"/>
          <w:szCs w:val="18"/>
          <w:color w:val="auto"/>
        </w:rPr>
        <w:t>as a percentage of revenue. Beginning in the second quarter of 2024, we changed our non-GAAP policy to exclude all stock-based compensation to align with our peers and we have also excluded all stock-based compensation from our prior period non-GAAP financial measures. Management has 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together with its supplemental 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presentations. See “Reconciliation of U.S. GAAP to Non-GAAP Financial Measures” for a reconciliation of each non-GAAP measure presented to the comparable GAAP financial measure.</w:t>
      </w:r>
    </w:p>
    <w:p>
      <w:pPr>
        <w:sectPr>
          <w:pgSz w:w="11900" w:h="16838" w:orient="portrait"/>
          <w:cols w:equalWidth="0" w:num="1">
            <w:col w:w="11200"/>
          </w:cols>
          <w:pgMar w:left="320" w:top="877" w:right="379" w:bottom="1440" w:gutter="0" w:footer="0" w:header="0"/>
        </w:sectPr>
      </w:pPr>
    </w:p>
    <w:bookmarkStart w:id="7" w:name="page8"/>
    <w:bookmarkEnd w:id="7"/>
    <w:p>
      <w:pPr>
        <w:jc w:val="center"/>
        <w:ind w:right="-131"/>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(In thousands, except share and per share amounts)</w:t>
      </w:r>
    </w:p>
    <w:p>
      <w:pPr>
        <w:spacing w:after="0" w:line="244" w:lineRule="exact"/>
        <w:rPr>
          <w:sz w:val="20"/>
          <w:szCs w:val="20"/>
          <w:color w:val="auto"/>
        </w:rPr>
      </w:pPr>
    </w:p>
    <w:tbl>
      <w:tblPr>
        <w:tblLayout w:type="fixed"/>
        <w:tblInd w:w="152"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880" w:type="dxa"/>
            <w:vAlign w:val="bottom"/>
            <w:gridSpan w:val="6"/>
          </w:tcPr>
          <w:p>
            <w:pPr>
              <w:ind w:left="80"/>
              <w:spacing w:after="0"/>
              <w:rPr>
                <w:sz w:val="20"/>
                <w:szCs w:val="20"/>
                <w:color w:val="auto"/>
              </w:rPr>
            </w:pPr>
            <w:r>
              <w:rPr>
                <w:rFonts w:ascii="Arial" w:cs="Arial" w:eastAsia="Arial" w:hAnsi="Arial"/>
                <w:sz w:val="18"/>
                <w:szCs w:val="18"/>
                <w:color w:val="auto"/>
              </w:rPr>
              <w:t>Three Months Ended September</w:t>
            </w:r>
          </w:p>
        </w:tc>
        <w:tc>
          <w:tcPr>
            <w:tcW w:w="120" w:type="dxa"/>
            <w:vAlign w:val="bottom"/>
          </w:tcPr>
          <w:p>
            <w:pPr>
              <w:spacing w:after="0"/>
              <w:rPr>
                <w:sz w:val="17"/>
                <w:szCs w:val="17"/>
                <w:color w:val="auto"/>
              </w:rPr>
            </w:pPr>
          </w:p>
        </w:tc>
        <w:tc>
          <w:tcPr>
            <w:tcW w:w="2660" w:type="dxa"/>
            <w:vAlign w:val="bottom"/>
            <w:gridSpan w:val="5"/>
          </w:tcPr>
          <w:p>
            <w:pPr>
              <w:jc w:val="right"/>
              <w:ind w:right="50"/>
              <w:spacing w:after="0"/>
              <w:rPr>
                <w:sz w:val="20"/>
                <w:szCs w:val="20"/>
                <w:color w:val="auto"/>
              </w:rPr>
            </w:pPr>
            <w:r>
              <w:rPr>
                <w:rFonts w:ascii="Arial" w:cs="Arial" w:eastAsia="Arial" w:hAnsi="Arial"/>
                <w:sz w:val="18"/>
                <w:szCs w:val="18"/>
                <w:color w:val="auto"/>
                <w:w w:val="99"/>
              </w:rPr>
              <w:t>Nine Months Ended September</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5"/>
              </w:rPr>
              <w:t>30,</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0"/>
        </w:trPr>
        <w:tc>
          <w:tcPr>
            <w:tcW w:w="528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127,756</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109,536</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357,328</w:t>
            </w:r>
          </w:p>
        </w:tc>
        <w:tc>
          <w:tcPr>
            <w:tcW w:w="42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306,809</w:t>
            </w:r>
          </w:p>
        </w:tc>
        <w:tc>
          <w:tcPr>
            <w:tcW w:w="0" w:type="dxa"/>
            <w:vAlign w:val="bottom"/>
          </w:tcPr>
          <w:p>
            <w:pPr>
              <w:spacing w:after="0"/>
              <w:rPr>
                <w:sz w:val="1"/>
                <w:szCs w:val="1"/>
                <w:color w:val="auto"/>
              </w:rPr>
            </w:pPr>
          </w:p>
        </w:tc>
      </w:tr>
      <w:tr>
        <w:trPr>
          <w:trHeight w:val="220"/>
        </w:trPr>
        <w:tc>
          <w:tcPr>
            <w:tcW w:w="5280" w:type="dxa"/>
            <w:vAlign w:val="bottom"/>
          </w:tcPr>
          <w:p>
            <w:pPr>
              <w:ind w:left="120"/>
              <w:spacing w:after="0"/>
              <w:rPr>
                <w:sz w:val="20"/>
                <w:szCs w:val="20"/>
                <w:color w:val="auto"/>
              </w:rPr>
            </w:pPr>
            <w:r>
              <w:rPr>
                <w:rFonts w:ascii="Arial" w:cs="Arial" w:eastAsia="Arial" w:hAnsi="Arial"/>
                <w:sz w:val="16"/>
                <w:szCs w:val="16"/>
                <w:color w:val="auto"/>
              </w:rPr>
              <w:t>Testing revenue</w:t>
            </w:r>
          </w:p>
        </w:tc>
        <w:tc>
          <w:tcPr>
            <w:tcW w:w="2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420" w:type="dxa"/>
            <w:vAlign w:val="bottom"/>
            <w:gridSpan w:val="3"/>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10,631</w:t>
            </w:r>
          </w:p>
        </w:tc>
        <w:tc>
          <w:tcPr>
            <w:tcW w:w="0" w:type="dxa"/>
            <w:vAlign w:val="bottom"/>
          </w:tcPr>
          <w:p>
            <w:pPr>
              <w:spacing w:after="0"/>
              <w:rPr>
                <w:sz w:val="1"/>
                <w:szCs w:val="1"/>
                <w:color w:val="auto"/>
              </w:rPr>
            </w:pPr>
          </w:p>
        </w:tc>
      </w:tr>
      <w:tr>
        <w:trPr>
          <w:trHeight w:val="235"/>
        </w:trPr>
        <w:tc>
          <w:tcPr>
            <w:tcW w:w="5280" w:type="dxa"/>
            <w:vAlign w:val="bottom"/>
          </w:tcPr>
          <w:p>
            <w:pPr>
              <w:ind w:left="120"/>
              <w:spacing w:after="0"/>
              <w:rPr>
                <w:sz w:val="20"/>
                <w:szCs w:val="20"/>
                <w:color w:val="auto"/>
              </w:rPr>
            </w:pPr>
            <w:r>
              <w:rPr>
                <w:rFonts w:ascii="Arial" w:cs="Arial" w:eastAsia="Arial" w:hAnsi="Arial"/>
                <w:sz w:val="18"/>
                <w:szCs w:val="18"/>
                <w:color w:val="auto"/>
              </w:rPr>
              <w:t>Biopharmaceutical and other revenue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131,872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376,509</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327,132</w:t>
            </w:r>
          </w:p>
        </w:tc>
        <w:tc>
          <w:tcPr>
            <w:tcW w:w="0" w:type="dxa"/>
            <w:vAlign w:val="bottom"/>
          </w:tcPr>
          <w:p>
            <w:pPr>
              <w:spacing w:after="0"/>
              <w:rPr>
                <w:sz w:val="1"/>
                <w:szCs w:val="1"/>
                <w:color w:val="auto"/>
              </w:rPr>
            </w:pPr>
          </w:p>
        </w:tc>
      </w:tr>
      <w:tr>
        <w:trPr>
          <w:trHeight w:val="461"/>
        </w:trPr>
        <w:tc>
          <w:tcPr>
            <w:tcW w:w="5280" w:type="dxa"/>
            <w:vAlign w:val="bottom"/>
          </w:tcPr>
          <w:p>
            <w:pPr>
              <w:spacing w:after="0"/>
              <w:rPr>
                <w:sz w:val="20"/>
                <w:szCs w:val="20"/>
                <w:color w:val="auto"/>
              </w:rPr>
            </w:pPr>
            <w:r>
              <w:rPr>
                <w:rFonts w:ascii="Arial" w:cs="Arial" w:eastAsia="Arial" w:hAnsi="Arial"/>
                <w:sz w:val="18"/>
                <w:szCs w:val="18"/>
                <w:color w:val="auto"/>
              </w:rPr>
              <w:t>Cost of revenue: (1)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Cost of testing revenue</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33,777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94,444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82,928</w:t>
            </w: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Cost of biopharmaceutical and other revenue</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35"/>
        </w:trPr>
        <w:tc>
          <w:tcPr>
            <w:tcW w:w="5280" w:type="dxa"/>
            <w:vAlign w:val="bottom"/>
          </w:tcPr>
          <w:p>
            <w:pPr>
              <w:ind w:left="120"/>
              <w:spacing w:after="0"/>
              <w:rPr>
                <w:sz w:val="20"/>
                <w:szCs w:val="20"/>
                <w:color w:val="auto"/>
              </w:rPr>
            </w:pPr>
            <w:r>
              <w:rPr>
                <w:rFonts w:ascii="Arial" w:cs="Arial" w:eastAsia="Arial" w:hAnsi="Arial"/>
                <w:sz w:val="18"/>
                <w:szCs w:val="18"/>
                <w:color w:val="auto"/>
              </w:rPr>
              <w:t>Intangible asset amortization - cost of revenue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7,959</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40,590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107,741</w:t>
            </w:r>
          </w:p>
        </w:tc>
        <w:tc>
          <w:tcPr>
            <w:tcW w:w="0" w:type="dxa"/>
            <w:vAlign w:val="bottom"/>
          </w:tcPr>
          <w:p>
            <w:pPr>
              <w:spacing w:after="0"/>
              <w:rPr>
                <w:sz w:val="1"/>
                <w:szCs w:val="1"/>
                <w:color w:val="auto"/>
              </w:rPr>
            </w:pPr>
          </w:p>
        </w:tc>
      </w:tr>
      <w:tr>
        <w:trPr>
          <w:trHeight w:val="223"/>
        </w:trPr>
        <w:tc>
          <w:tcPr>
            <w:tcW w:w="52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91,282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79,010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260,559</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219,391</w:t>
            </w:r>
          </w:p>
        </w:tc>
        <w:tc>
          <w:tcPr>
            <w:tcW w:w="0" w:type="dxa"/>
            <w:vAlign w:val="bottom"/>
          </w:tcPr>
          <w:p>
            <w:pPr>
              <w:spacing w:after="0"/>
              <w:rPr>
                <w:sz w:val="1"/>
                <w:szCs w:val="1"/>
                <w:color w:val="auto"/>
              </w:rPr>
            </w:pPr>
          </w:p>
        </w:tc>
      </w:tr>
      <w:tr>
        <w:trPr>
          <w:trHeight w:val="204"/>
        </w:trPr>
        <w:tc>
          <w:tcPr>
            <w:tcW w:w="5280" w:type="dxa"/>
            <w:vAlign w:val="bottom"/>
          </w:tcPr>
          <w:p>
            <w:pPr>
              <w:spacing w:after="0" w:line="204" w:lineRule="exact"/>
              <w:rPr>
                <w:sz w:val="20"/>
                <w:szCs w:val="20"/>
                <w:color w:val="auto"/>
              </w:rPr>
            </w:pPr>
            <w:r>
              <w:rPr>
                <w:rFonts w:ascii="Arial" w:cs="Arial" w:eastAsia="Arial" w:hAnsi="Arial"/>
                <w:sz w:val="18"/>
                <w:szCs w:val="18"/>
                <w:color w:val="auto"/>
              </w:rPr>
              <w:t>Operating expenses: (1)</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50,004</w:t>
            </w: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74,225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70,610</w:t>
            </w: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93,417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83,697</w:t>
            </w: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Impairment of assets</w:t>
            </w: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5"/>
        </w:trPr>
        <w:tc>
          <w:tcPr>
            <w:tcW w:w="5280" w:type="dxa"/>
            <w:vAlign w:val="bottom"/>
          </w:tcPr>
          <w:p>
            <w:pPr>
              <w:ind w:left="120"/>
              <w:spacing w:after="0"/>
              <w:rPr>
                <w:sz w:val="20"/>
                <w:szCs w:val="20"/>
                <w:color w:val="auto"/>
              </w:rPr>
            </w:pPr>
            <w:r>
              <w:rPr>
                <w:rFonts w:ascii="Arial" w:cs="Arial" w:eastAsia="Arial" w:hAnsi="Arial"/>
                <w:sz w:val="18"/>
                <w:szCs w:val="18"/>
                <w:color w:val="auto"/>
              </w:rPr>
              <w:t>Intangible asset amortization - operating expenses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239,977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207,424</w:t>
            </w: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22,946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Other income (loss), net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22,301</w:t>
            </w:r>
          </w:p>
        </w:tc>
        <w:tc>
          <w:tcPr>
            <w:tcW w:w="0" w:type="dxa"/>
            <w:vAlign w:val="bottom"/>
          </w:tcPr>
          <w:p>
            <w:pPr>
              <w:spacing w:after="0"/>
              <w:rPr>
                <w:sz w:val="1"/>
                <w:szCs w:val="1"/>
                <w:color w:val="auto"/>
              </w:rPr>
            </w:pP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25,204</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34"/>
        </w:trPr>
        <w:tc>
          <w:tcPr>
            <w:tcW w:w="52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0.32</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0.32</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Shares used to compute earnings per common share:</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78,725,139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77,013,831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78,384,184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76,107,302</w:t>
            </w:r>
          </w:p>
        </w:tc>
        <w:tc>
          <w:tcPr>
            <w:tcW w:w="0" w:type="dxa"/>
            <w:vAlign w:val="bottom"/>
          </w:tcPr>
          <w:p>
            <w:pPr>
              <w:spacing w:after="0"/>
              <w:rPr>
                <w:sz w:val="1"/>
                <w:szCs w:val="1"/>
                <w:color w:val="auto"/>
              </w:rPr>
            </w:pPr>
          </w:p>
        </w:tc>
      </w:tr>
      <w:tr>
        <w:trPr>
          <w:trHeight w:val="239"/>
        </w:trPr>
        <w:tc>
          <w:tcPr>
            <w:tcW w:w="52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79,691,703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78,464,654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79,946,386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77,339,897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8" w:right="140" w:firstLine="8"/>
        <w:spacing w:after="0" w:line="287" w:lineRule="auto"/>
        <w:tabs>
          <w:tab w:leader="none" w:pos="19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ectPr>
          <w:pgSz w:w="11900" w:h="16838" w:orient="portrait"/>
          <w:cols w:equalWidth="0" w:num="1">
            <w:col w:w="11092"/>
          </w:cols>
          <w:pgMar w:left="328" w:top="1268"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Three Months Ended September</w:t>
            </w:r>
          </w:p>
        </w:tc>
        <w:tc>
          <w:tcPr>
            <w:tcW w:w="120" w:type="dxa"/>
            <w:vAlign w:val="bottom"/>
          </w:tcPr>
          <w:p>
            <w:pPr>
              <w:spacing w:after="0"/>
              <w:rPr>
                <w:sz w:val="17"/>
                <w:szCs w:val="17"/>
                <w:color w:val="auto"/>
              </w:rPr>
            </w:pPr>
          </w:p>
        </w:tc>
        <w:tc>
          <w:tcPr>
            <w:tcW w:w="2640" w:type="dxa"/>
            <w:vAlign w:val="bottom"/>
            <w:gridSpan w:val="5"/>
          </w:tcPr>
          <w:p>
            <w:pPr>
              <w:jc w:val="right"/>
              <w:ind w:right="50"/>
              <w:spacing w:after="0"/>
              <w:rPr>
                <w:sz w:val="20"/>
                <w:szCs w:val="20"/>
                <w:color w:val="auto"/>
              </w:rPr>
            </w:pPr>
            <w:r>
              <w:rPr>
                <w:rFonts w:ascii="Arial" w:cs="Arial" w:eastAsia="Arial" w:hAnsi="Arial"/>
                <w:sz w:val="18"/>
                <w:szCs w:val="18"/>
                <w:color w:val="auto"/>
                <w:w w:val="98"/>
              </w:rPr>
              <w:t>Nine Months Ended September</w:t>
            </w:r>
          </w:p>
        </w:tc>
      </w:tr>
      <w:tr>
        <w:trPr>
          <w:trHeight w:val="250"/>
        </w:trPr>
        <w:tc>
          <w:tcPr>
            <w:tcW w:w="46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5"/>
              </w:rPr>
              <w:t>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5"/>
              </w:rPr>
              <w:t>30,</w:t>
            </w:r>
          </w:p>
        </w:tc>
        <w:tc>
          <w:tcPr>
            <w:tcW w:w="1040" w:type="dxa"/>
            <w:vAlign w:val="bottom"/>
            <w:tcBorders>
              <w:bottom w:val="single" w:sz="8" w:color="auto"/>
            </w:tcBorders>
          </w:tcPr>
          <w:p>
            <w:pPr>
              <w:spacing w:after="0"/>
              <w:rPr>
                <w:sz w:val="21"/>
                <w:szCs w:val="21"/>
                <w:color w:val="auto"/>
              </w:rPr>
            </w:pPr>
          </w:p>
        </w:tc>
      </w:tr>
      <w:tr>
        <w:trPr>
          <w:trHeight w:val="237"/>
        </w:trPr>
        <w:tc>
          <w:tcPr>
            <w:tcW w:w="4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r>
      <w:tr>
        <w:trPr>
          <w:trHeight w:val="224"/>
        </w:trPr>
        <w:tc>
          <w:tcPr>
            <w:tcW w:w="468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5,615</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5,025</w:t>
            </w:r>
          </w:p>
        </w:tc>
      </w:tr>
      <w:tr>
        <w:trPr>
          <w:trHeight w:val="235"/>
        </w:trPr>
        <w:tc>
          <w:tcPr>
            <w:tcW w:w="4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18,751</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w:t>
            </w:r>
          </w:p>
        </w:tc>
      </w:tr>
      <w:tr>
        <w:trPr>
          <w:trHeight w:val="223"/>
        </w:trPr>
        <w:tc>
          <w:tcPr>
            <w:tcW w:w="468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26,620</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300"/>
          </w:cols>
          <w:pgMar w:left="860" w:top="905" w:right="7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 OF COMPREHENSIVE INCOME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6"/>
          </w:tcPr>
          <w:p>
            <w:pPr>
              <w:ind w:left="20"/>
              <w:spacing w:after="0"/>
              <w:rPr>
                <w:sz w:val="20"/>
                <w:szCs w:val="20"/>
                <w:color w:val="auto"/>
              </w:rPr>
            </w:pPr>
            <w:r>
              <w:rPr>
                <w:rFonts w:ascii="Arial" w:cs="Arial" w:eastAsia="Arial" w:hAnsi="Arial"/>
                <w:sz w:val="18"/>
                <w:szCs w:val="18"/>
                <w:color w:val="auto"/>
              </w:rPr>
              <w:t>Three Months Ended September</w:t>
            </w:r>
          </w:p>
        </w:tc>
        <w:tc>
          <w:tcPr>
            <w:tcW w:w="2900" w:type="dxa"/>
            <w:vAlign w:val="bottom"/>
            <w:gridSpan w:val="5"/>
            <w:vMerge w:val="restart"/>
          </w:tcPr>
          <w:p>
            <w:pPr>
              <w:jc w:val="right"/>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87"/>
              </w:rPr>
              <w:t>30,</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8"/>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25,204</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29"/>
        </w:trPr>
        <w:tc>
          <w:tcPr>
            <w:tcW w:w="480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35"/>
        </w:trPr>
        <w:tc>
          <w:tcPr>
            <w:tcW w:w="4800" w:type="dxa"/>
            <w:vAlign w:val="bottom"/>
          </w:tcPr>
          <w:p>
            <w:pPr>
              <w:ind w:left="220"/>
              <w:spacing w:after="0"/>
              <w:rPr>
                <w:sz w:val="20"/>
                <w:szCs w:val="20"/>
                <w:color w:val="auto"/>
              </w:rPr>
            </w:pPr>
            <w:r>
              <w:rPr>
                <w:rFonts w:ascii="Arial" w:cs="Arial" w:eastAsia="Arial" w:hAnsi="Arial"/>
                <w:sz w:val="18"/>
                <w:szCs w:val="18"/>
                <w:color w:val="auto"/>
              </w:rPr>
              <w:t>Release of accumulated translation adjustment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8,295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Net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931" w:right="5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September 30,</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2"/>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9"/>
        </w:trPr>
        <w:tc>
          <w:tcPr>
            <w:tcW w:w="6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0"/>
                <w:szCs w:val="20"/>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color w:val="auto"/>
                <w:w w:val="99"/>
              </w:rPr>
              <w:t>(Unaudited)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315,573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239,087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50,354</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46,525</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21,750</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449,224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372,267</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22,953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48,189</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102,301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767,154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745,800</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1,300,035</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48,373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43,826</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16,981</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5"/>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0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72,152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78,633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8"/>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124,069</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1,257,667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1,175,966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1,300,035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160" w:right="60" w:hanging="159"/>
        <w:spacing w:after="0" w:line="227" w:lineRule="auto"/>
        <w:tabs>
          <w:tab w:leader="none" w:pos="19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2024 has been derived from the audited financial statements at that date included in the company's Annual Report on Form 10-K for the year ended December 31, 2024, filed with the Securities and Exchange Commission on February 28, 2025.</w:t>
      </w:r>
    </w:p>
    <w:p>
      <w:pPr>
        <w:sectPr>
          <w:pgSz w:w="11900" w:h="16838" w:orient="portrait"/>
          <w:cols w:equalWidth="0" w:num="1">
            <w:col w:w="10940"/>
          </w:cols>
          <w:pgMar w:left="480" w:top="1025" w:right="47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25,204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17,206</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26,620</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Amortization of discount on short-term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Impairment loss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Non-cash loss on deconsolidation of subsidiary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35"/>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50,572</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Acquisition of C2i, net of cash acquired</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04"/>
        </w:trPr>
        <w:tc>
          <w:tcPr>
            <w:tcW w:w="79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16,729</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Increase in cash, cash equivalents and restricted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75,872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57,852</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792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76,579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57,829</w:t>
            </w:r>
          </w:p>
        </w:tc>
        <w:tc>
          <w:tcPr>
            <w:tcW w:w="0" w:type="dxa"/>
            <w:vAlign w:val="bottom"/>
          </w:tcPr>
          <w:p>
            <w:pPr>
              <w:spacing w:after="0"/>
              <w:rPr>
                <w:sz w:val="1"/>
                <w:szCs w:val="1"/>
                <w:color w:val="auto"/>
              </w:rPr>
            </w:pPr>
          </w:p>
        </w:tc>
      </w:tr>
      <w:tr>
        <w:trPr>
          <w:trHeight w:val="235"/>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217,330</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275,159</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25" w:right="3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42"/>
        </w:trPr>
        <w:tc>
          <w:tcPr>
            <w:tcW w:w="7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r>
      <w:tr>
        <w:trPr>
          <w:trHeight w:val="224"/>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315,573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239,087</w:t>
            </w:r>
          </w:p>
        </w:tc>
      </w:tr>
      <w:tr>
        <w:trPr>
          <w:trHeight w:val="235"/>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240,631</w:t>
            </w:r>
          </w:p>
        </w:tc>
      </w:tr>
      <w:tr>
        <w:trPr>
          <w:trHeight w:val="21"/>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025"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40" w:type="dxa"/>
            <w:vAlign w:val="bottom"/>
          </w:tcPr>
          <w:p>
            <w:pPr>
              <w:spacing w:after="0"/>
              <w:rPr>
                <w:sz w:val="21"/>
                <w:szCs w:val="21"/>
                <w:color w:val="auto"/>
              </w:rPr>
            </w:pPr>
          </w:p>
        </w:tc>
        <w:tc>
          <w:tcPr>
            <w:tcW w:w="3080" w:type="dxa"/>
            <w:vAlign w:val="bottom"/>
            <w:gridSpan w:val="6"/>
          </w:tcPr>
          <w:p>
            <w:pPr>
              <w:ind w:left="40"/>
              <w:spacing w:after="0"/>
              <w:rPr>
                <w:sz w:val="20"/>
                <w:szCs w:val="20"/>
                <w:color w:val="auto"/>
              </w:rPr>
            </w:pPr>
            <w:r>
              <w:rPr>
                <w:rFonts w:ascii="Arial" w:cs="Arial" w:eastAsia="Arial" w:hAnsi="Arial"/>
                <w:sz w:val="18"/>
                <w:szCs w:val="18"/>
                <w:color w:val="auto"/>
              </w:rPr>
              <w:t>Three Months Ended September 30,</w:t>
            </w:r>
          </w:p>
        </w:tc>
        <w:tc>
          <w:tcPr>
            <w:tcW w:w="3000" w:type="dxa"/>
            <w:vAlign w:val="bottom"/>
            <w:gridSpan w:val="5"/>
          </w:tcPr>
          <w:p>
            <w:pPr>
              <w:jc w:val="right"/>
              <w:ind w:right="10"/>
              <w:spacing w:after="0"/>
              <w:rPr>
                <w:sz w:val="20"/>
                <w:szCs w:val="20"/>
                <w:color w:val="auto"/>
              </w:rPr>
            </w:pPr>
            <w:r>
              <w:rPr>
                <w:rFonts w:ascii="Arial" w:cs="Arial" w:eastAsia="Arial" w:hAnsi="Arial"/>
                <w:sz w:val="18"/>
                <w:szCs w:val="18"/>
                <w:color w:val="auto"/>
              </w:rPr>
              <w:t>Nine Months Ended September 30,</w:t>
            </w:r>
          </w:p>
        </w:tc>
      </w:tr>
      <w:tr>
        <w:trPr>
          <w:trHeight w:val="236"/>
        </w:trPr>
        <w:tc>
          <w:tcPr>
            <w:tcW w:w="51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r>
      <w:tr>
        <w:trPr>
          <w:trHeight w:val="211"/>
        </w:trPr>
        <w:tc>
          <w:tcPr>
            <w:tcW w:w="5140" w:type="dxa"/>
            <w:vAlign w:val="bottom"/>
          </w:tcPr>
          <w:p>
            <w:pPr>
              <w:spacing w:after="0"/>
              <w:rPr>
                <w:sz w:val="20"/>
                <w:szCs w:val="20"/>
                <w:color w:val="auto"/>
              </w:rPr>
            </w:pPr>
            <w:r>
              <w:rPr>
                <w:rFonts w:ascii="Arial" w:cs="Arial" w:eastAsia="Arial" w:hAnsi="Arial"/>
                <w:sz w:val="18"/>
                <w:szCs w:val="18"/>
                <w:b w:val="1"/>
                <w:bCs w:val="1"/>
                <w:color w:val="auto"/>
              </w:rPr>
              <w:t>Reconciliation of Non-GAAP Cost of Revenue: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GAAP cost of testing revenue</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33,777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29,029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94,444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82,928</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(1,411)</w:t>
            </w: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(60)</w:t>
            </w:r>
          </w:p>
        </w:tc>
      </w:tr>
      <w:tr>
        <w:trPr>
          <w:trHeight w:val="235"/>
        </w:trPr>
        <w:tc>
          <w:tcPr>
            <w:tcW w:w="51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Non-GAAP cost of testing revenue</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33,222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28,505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92,901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81,451</w:t>
            </w:r>
          </w:p>
        </w:tc>
      </w:tr>
      <w:tr>
        <w:trPr>
          <w:trHeight w:val="461"/>
        </w:trPr>
        <w:tc>
          <w:tcPr>
            <w:tcW w:w="5140" w:type="dxa"/>
            <w:vAlign w:val="bottom"/>
          </w:tcPr>
          <w:p>
            <w:pPr>
              <w:ind w:left="120"/>
              <w:spacing w:after="0"/>
              <w:rPr>
                <w:sz w:val="20"/>
                <w:szCs w:val="20"/>
                <w:color w:val="auto"/>
              </w:rPr>
            </w:pPr>
            <w:r>
              <w:rPr>
                <w:rFonts w:ascii="Arial" w:cs="Arial" w:eastAsia="Arial" w:hAnsi="Arial"/>
                <w:sz w:val="18"/>
                <w:szCs w:val="18"/>
                <w:color w:val="auto"/>
              </w:rPr>
              <w:t>GAAP cost of product revenue</w:t>
            </w: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6,186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6,310</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5"/>
        </w:trPr>
        <w:tc>
          <w:tcPr>
            <w:tcW w:w="51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Non-GAAP cost of product revenue</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6,307</w:t>
            </w:r>
          </w:p>
        </w:tc>
      </w:tr>
      <w:tr>
        <w:trPr>
          <w:trHeight w:val="461"/>
        </w:trPr>
        <w:tc>
          <w:tcPr>
            <w:tcW w:w="5140" w:type="dxa"/>
            <w:vAlign w:val="bottom"/>
          </w:tcPr>
          <w:p>
            <w:pPr>
              <w:ind w:left="120"/>
              <w:spacing w:after="0"/>
              <w:rPr>
                <w:sz w:val="20"/>
                <w:szCs w:val="20"/>
                <w:color w:val="auto"/>
              </w:rPr>
            </w:pPr>
            <w:r>
              <w:rPr>
                <w:rFonts w:ascii="Arial" w:cs="Arial" w:eastAsia="Arial" w:hAnsi="Arial"/>
                <w:sz w:val="18"/>
                <w:szCs w:val="18"/>
                <w:color w:val="auto"/>
              </w:rPr>
              <w:t>GAAP cost of biopharmaceutical and other revenue</w:t>
            </w: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7,361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9,762</w:t>
            </w: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(264)</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5"/>
        </w:trPr>
        <w:tc>
          <w:tcPr>
            <w:tcW w:w="51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Non-GAAP cost of biopharmaceutical and other revenue</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9,498</w:t>
            </w:r>
          </w:p>
        </w:tc>
      </w:tr>
      <w:tr>
        <w:trPr>
          <w:trHeight w:val="461"/>
        </w:trPr>
        <w:tc>
          <w:tcPr>
            <w:tcW w:w="5140" w:type="dxa"/>
            <w:vAlign w:val="bottom"/>
          </w:tcPr>
          <w:p>
            <w:pPr>
              <w:spacing w:after="0"/>
              <w:rPr>
                <w:sz w:val="20"/>
                <w:szCs w:val="20"/>
                <w:color w:val="auto"/>
              </w:rPr>
            </w:pPr>
            <w:r>
              <w:rPr>
                <w:rFonts w:ascii="Arial" w:cs="Arial" w:eastAsia="Arial" w:hAnsi="Arial"/>
                <w:sz w:val="18"/>
                <w:szCs w:val="18"/>
                <w:b w:val="1"/>
                <w:bCs w:val="1"/>
                <w:color w:val="auto"/>
              </w:rPr>
              <w:t>Reconciliation of Non-GAAP Gross Margin: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GAAP Gross Profit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91,282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79,010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260,559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219,391</w:t>
            </w: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GAAP Gross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67.1 %</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7,959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8,741</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1,678</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60</w:t>
            </w:r>
          </w:p>
        </w:tc>
      </w:tr>
      <w:tr>
        <w:trPr>
          <w:trHeight w:val="235"/>
        </w:trPr>
        <w:tc>
          <w:tcPr>
            <w:tcW w:w="514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3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Non-GAAP Gross Profit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95,947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82,514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271,636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229,876</w:t>
            </w:r>
          </w:p>
        </w:tc>
      </w:tr>
      <w:tr>
        <w:trPr>
          <w:trHeight w:val="232"/>
        </w:trPr>
        <w:tc>
          <w:tcPr>
            <w:tcW w:w="5140" w:type="dxa"/>
            <w:vAlign w:val="bottom"/>
          </w:tcPr>
          <w:p>
            <w:pPr>
              <w:ind w:left="120"/>
              <w:spacing w:after="0"/>
              <w:rPr>
                <w:sz w:val="20"/>
                <w:szCs w:val="20"/>
                <w:color w:val="auto"/>
              </w:rPr>
            </w:pPr>
            <w:r>
              <w:rPr>
                <w:rFonts w:ascii="Arial" w:cs="Arial" w:eastAsia="Arial" w:hAnsi="Arial"/>
                <w:sz w:val="18"/>
                <w:szCs w:val="18"/>
                <w:color w:val="auto"/>
              </w:rPr>
              <w:t>Non-GAAP Gross Margin</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70.3 %</w:t>
            </w:r>
          </w:p>
        </w:tc>
      </w:tr>
    </w:tbl>
    <w:p>
      <w:pPr>
        <w:spacing w:after="0" w:line="242" w:lineRule="exact"/>
        <w:rPr>
          <w:sz w:val="20"/>
          <w:szCs w:val="20"/>
          <w:color w:val="auto"/>
        </w:rPr>
      </w:pPr>
    </w:p>
    <w:p>
      <w:pPr>
        <w:ind w:left="160" w:right="500" w:hanging="161"/>
        <w:spacing w:after="0"/>
        <w:rPr>
          <w:sz w:val="20"/>
          <w:szCs w:val="20"/>
          <w:color w:val="auto"/>
        </w:rPr>
      </w:pPr>
      <w:r>
        <w:rPr>
          <w:rFonts w:ascii="Arial" w:cs="Arial" w:eastAsia="Arial" w:hAnsi="Arial"/>
          <w:sz w:val="18"/>
          <w:szCs w:val="18"/>
          <w:color w:val="auto"/>
        </w:rPr>
        <w:t>1.Includes transaction-related expenses. For the nine months ended September 30, 2024, adjustments consist primarily of transaction-related expenses associated with the acquisition of C2i Genomics.</w:t>
      </w:r>
    </w:p>
    <w:p>
      <w:pPr>
        <w:spacing w:after="0" w:line="5" w:lineRule="exact"/>
        <w:rPr>
          <w:sz w:val="20"/>
          <w:szCs w:val="20"/>
          <w:color w:val="auto"/>
        </w:rPr>
      </w:pPr>
    </w:p>
    <w:p>
      <w:pPr>
        <w:ind w:left="160" w:right="100" w:hanging="161"/>
        <w:spacing w:after="0" w:line="227" w:lineRule="auto"/>
        <w:rPr>
          <w:sz w:val="20"/>
          <w:szCs w:val="20"/>
          <w:color w:val="auto"/>
        </w:rPr>
      </w:pPr>
      <w:r>
        <w:rPr>
          <w:rFonts w:ascii="Arial" w:cs="Arial" w:eastAsia="Arial" w:hAnsi="Arial"/>
          <w:sz w:val="18"/>
          <w:szCs w:val="18"/>
          <w:color w:val="auto"/>
        </w:rPr>
        <w:t>2.For the three months ended September 30, 2025, and the nine months ended September 30, 2025, adjustments include expenses related to the restructuring and liquidation proceedings of Veracyte SAS. For the nine months ended September 30, 2024, adjustments include expenses related to restructuring cost associated with portfolio prioritization.</w:t>
      </w:r>
    </w:p>
    <w:p>
      <w:pPr>
        <w:sectPr>
          <w:pgSz w:w="11900" w:h="16838" w:orient="portrait"/>
          <w:cols w:equalWidth="0" w:num="1">
            <w:col w:w="11220"/>
          </w:cols>
          <w:pgMar w:left="340" w:top="1025"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860" w:type="dxa"/>
            <w:vAlign w:val="bottom"/>
            <w:gridSpan w:val="6"/>
          </w:tcPr>
          <w:p>
            <w:pPr>
              <w:ind w:left="60"/>
              <w:spacing w:after="0"/>
              <w:rPr>
                <w:sz w:val="20"/>
                <w:szCs w:val="20"/>
                <w:color w:val="auto"/>
              </w:rPr>
            </w:pPr>
            <w:r>
              <w:rPr>
                <w:rFonts w:ascii="Arial" w:cs="Arial" w:eastAsia="Arial" w:hAnsi="Arial"/>
                <w:sz w:val="18"/>
                <w:szCs w:val="18"/>
                <w:color w:val="auto"/>
              </w:rPr>
              <w:t>Three Months Ended September</w:t>
            </w:r>
          </w:p>
        </w:tc>
        <w:tc>
          <w:tcPr>
            <w:tcW w:w="120" w:type="dxa"/>
            <w:vAlign w:val="bottom"/>
          </w:tcPr>
          <w:p>
            <w:pPr>
              <w:spacing w:after="0"/>
              <w:rPr>
                <w:sz w:val="17"/>
                <w:szCs w:val="17"/>
                <w:color w:val="auto"/>
              </w:rPr>
            </w:pPr>
          </w:p>
        </w:tc>
        <w:tc>
          <w:tcPr>
            <w:tcW w:w="2640" w:type="dxa"/>
            <w:vAlign w:val="bottom"/>
            <w:gridSpan w:val="4"/>
          </w:tcPr>
          <w:p>
            <w:pPr>
              <w:jc w:val="right"/>
              <w:ind w:right="30"/>
              <w:spacing w:after="0"/>
              <w:rPr>
                <w:sz w:val="20"/>
                <w:szCs w:val="20"/>
                <w:color w:val="auto"/>
              </w:rPr>
            </w:pPr>
            <w:r>
              <w:rPr>
                <w:rFonts w:ascii="Arial" w:cs="Arial" w:eastAsia="Arial" w:hAnsi="Arial"/>
                <w:sz w:val="18"/>
                <w:szCs w:val="18"/>
                <w:color w:val="auto"/>
                <w:w w:val="99"/>
              </w:rPr>
              <w:t>Nine Months Ended September</w:t>
            </w:r>
          </w:p>
        </w:tc>
      </w:tr>
      <w:tr>
        <w:trPr>
          <w:trHeight w:val="250"/>
        </w:trPr>
        <w:tc>
          <w:tcPr>
            <w:tcW w:w="5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auto"/>
            </w:tcBorders>
          </w:tcPr>
          <w:p>
            <w:pPr>
              <w:spacing w:after="0"/>
              <w:rPr>
                <w:sz w:val="21"/>
                <w:szCs w:val="21"/>
                <w:color w:val="auto"/>
              </w:rPr>
            </w:pPr>
          </w:p>
        </w:tc>
      </w:tr>
      <w:tr>
        <w:trPr>
          <w:trHeight w:val="237"/>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r>
      <w:tr>
        <w:trPr>
          <w:trHeight w:val="211"/>
        </w:trPr>
        <w:tc>
          <w:tcPr>
            <w:tcW w:w="5600" w:type="dxa"/>
            <w:vAlign w:val="bottom"/>
          </w:tcPr>
          <w:p>
            <w:pPr>
              <w:spacing w:after="0"/>
              <w:rPr>
                <w:sz w:val="20"/>
                <w:szCs w:val="20"/>
                <w:color w:val="auto"/>
              </w:rPr>
            </w:pPr>
            <w:r>
              <w:rPr>
                <w:rFonts w:ascii="Arial" w:cs="Arial" w:eastAsia="Arial" w:hAnsi="Arial"/>
                <w:sz w:val="18"/>
                <w:szCs w:val="18"/>
                <w:b w:val="1"/>
                <w:bCs w:val="1"/>
                <w:color w:val="auto"/>
              </w:rPr>
              <w:t>Reconciliation of Non-GAAP 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GAAP 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17,574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49,965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50,004</w:t>
            </w: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(5,615)</w:t>
            </w: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5"/>
        </w:trPr>
        <w:tc>
          <w:tcPr>
            <w:tcW w:w="560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5600" w:type="dxa"/>
            <w:vAlign w:val="bottom"/>
          </w:tcPr>
          <w:p>
            <w:pPr>
              <w:ind w:left="120"/>
              <w:spacing w:after="0"/>
              <w:rPr>
                <w:sz w:val="20"/>
                <w:szCs w:val="20"/>
                <w:color w:val="auto"/>
              </w:rPr>
            </w:pPr>
            <w:r>
              <w:rPr>
                <w:rFonts w:ascii="Arial" w:cs="Arial" w:eastAsia="Arial" w:hAnsi="Arial"/>
                <w:sz w:val="18"/>
                <w:szCs w:val="18"/>
                <w:color w:val="auto"/>
              </w:rPr>
              <w:t>Non-GAAP research and development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44,180</w:t>
            </w:r>
          </w:p>
        </w:tc>
      </w:tr>
      <w:tr>
        <w:trPr>
          <w:trHeight w:val="461"/>
        </w:trPr>
        <w:tc>
          <w:tcPr>
            <w:tcW w:w="5600" w:type="dxa"/>
            <w:vAlign w:val="bottom"/>
          </w:tcPr>
          <w:p>
            <w:pPr>
              <w:ind w:left="120"/>
              <w:spacing w:after="0"/>
              <w:rPr>
                <w:sz w:val="20"/>
                <w:szCs w:val="20"/>
                <w:color w:val="auto"/>
              </w:rPr>
            </w:pPr>
            <w:r>
              <w:rPr>
                <w:rFonts w:ascii="Arial" w:cs="Arial" w:eastAsia="Arial" w:hAnsi="Arial"/>
                <w:sz w:val="18"/>
                <w:szCs w:val="18"/>
                <w:color w:val="auto"/>
              </w:rPr>
              <w:t>GAAP sales and marketing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24,455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22,612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74,225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70,610</w:t>
            </w: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(5,025)</w:t>
            </w: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5"/>
        </w:trPr>
        <w:tc>
          <w:tcPr>
            <w:tcW w:w="560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23"/>
        </w:trPr>
        <w:tc>
          <w:tcPr>
            <w:tcW w:w="5600" w:type="dxa"/>
            <w:vAlign w:val="bottom"/>
          </w:tcPr>
          <w:p>
            <w:pPr>
              <w:ind w:left="120"/>
              <w:spacing w:after="0"/>
              <w:rPr>
                <w:sz w:val="20"/>
                <w:szCs w:val="20"/>
                <w:color w:val="auto"/>
              </w:rPr>
            </w:pPr>
            <w:r>
              <w:rPr>
                <w:rFonts w:ascii="Arial" w:cs="Arial" w:eastAsia="Arial" w:hAnsi="Arial"/>
                <w:sz w:val="18"/>
                <w:szCs w:val="18"/>
                <w:color w:val="auto"/>
              </w:rPr>
              <w:t>Non-GAAP sales and marketing</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67,967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64,374</w:t>
            </w:r>
          </w:p>
        </w:tc>
      </w:tr>
      <w:tr>
        <w:trPr>
          <w:trHeight w:val="461"/>
        </w:trPr>
        <w:tc>
          <w:tcPr>
            <w:tcW w:w="5600" w:type="dxa"/>
            <w:vAlign w:val="bottom"/>
          </w:tcPr>
          <w:p>
            <w:pPr>
              <w:ind w:left="120"/>
              <w:spacing w:after="0"/>
              <w:rPr>
                <w:sz w:val="20"/>
                <w:szCs w:val="20"/>
                <w:color w:val="auto"/>
              </w:rPr>
            </w:pPr>
            <w:r>
              <w:rPr>
                <w:rFonts w:ascii="Arial" w:cs="Arial" w:eastAsia="Arial" w:hAnsi="Arial"/>
                <w:sz w:val="18"/>
                <w:szCs w:val="18"/>
                <w:color w:val="auto"/>
              </w:rPr>
              <w:t>GAAP general and administrative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27,278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25,742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93,417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83,697</w:t>
            </w: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(14,302)</w:t>
            </w: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(4,934)</w:t>
            </w:r>
          </w:p>
        </w:tc>
      </w:tr>
      <w:tr>
        <w:trPr>
          <w:trHeight w:val="235"/>
        </w:trPr>
        <w:tc>
          <w:tcPr>
            <w:tcW w:w="560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r>
      <w:tr>
        <w:trPr>
          <w:trHeight w:val="223"/>
        </w:trPr>
        <w:tc>
          <w:tcPr>
            <w:tcW w:w="5600" w:type="dxa"/>
            <w:vAlign w:val="bottom"/>
          </w:tcPr>
          <w:p>
            <w:pPr>
              <w:ind w:left="120"/>
              <w:spacing w:after="0"/>
              <w:rPr>
                <w:sz w:val="20"/>
                <w:szCs w:val="20"/>
                <w:color w:val="auto"/>
              </w:rPr>
            </w:pPr>
            <w:r>
              <w:rPr>
                <w:rFonts w:ascii="Arial" w:cs="Arial" w:eastAsia="Arial" w:hAnsi="Arial"/>
                <w:sz w:val="18"/>
                <w:szCs w:val="18"/>
                <w:color w:val="auto"/>
              </w:rPr>
              <w:t>Non-GAAP general and administrative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61,093</w:t>
            </w:r>
          </w:p>
        </w:tc>
      </w:tr>
      <w:tr>
        <w:trPr>
          <w:trHeight w:val="461"/>
        </w:trPr>
        <w:tc>
          <w:tcPr>
            <w:tcW w:w="5600" w:type="dxa"/>
            <w:vAlign w:val="bottom"/>
          </w:tcPr>
          <w:p>
            <w:pPr>
              <w:ind w:left="120"/>
              <w:spacing w:after="0"/>
              <w:rPr>
                <w:sz w:val="20"/>
                <w:szCs w:val="20"/>
                <w:color w:val="auto"/>
              </w:rPr>
            </w:pPr>
            <w:r>
              <w:rPr>
                <w:rFonts w:ascii="Arial" w:cs="Arial" w:eastAsia="Arial" w:hAnsi="Arial"/>
                <w:sz w:val="18"/>
                <w:szCs w:val="18"/>
                <w:color w:val="auto"/>
              </w:rPr>
              <w:t>GAAP total operating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66,993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239,977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207,424</w:t>
            </w: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(2,499)</w:t>
            </w: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(24,942)</w:t>
            </w: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(5,610)</w:t>
            </w:r>
          </w:p>
        </w:tc>
      </w:tr>
      <w:tr>
        <w:trPr>
          <w:trHeight w:val="235"/>
        </w:trPr>
        <w:tc>
          <w:tcPr>
            <w:tcW w:w="5600" w:type="dxa"/>
            <w:vAlign w:val="bottom"/>
          </w:tcPr>
          <w:p>
            <w:pPr>
              <w:ind w:left="220"/>
              <w:spacing w:after="0"/>
              <w:rPr>
                <w:sz w:val="20"/>
                <w:szCs w:val="20"/>
                <w:color w:val="auto"/>
              </w:rPr>
            </w:pPr>
            <w:r>
              <w:rPr>
                <w:rFonts w:ascii="Arial" w:cs="Arial" w:eastAsia="Arial" w:hAnsi="Arial"/>
                <w:sz w:val="18"/>
                <w:szCs w:val="18"/>
                <w:color w:val="auto"/>
              </w:rPr>
              <w:t>Other adjustments (2)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r>
      <w:tr>
        <w:trPr>
          <w:trHeight w:val="223"/>
        </w:trPr>
        <w:tc>
          <w:tcPr>
            <w:tcW w:w="5600" w:type="dxa"/>
            <w:vAlign w:val="bottom"/>
          </w:tcPr>
          <w:p>
            <w:pPr>
              <w:ind w:left="120"/>
              <w:spacing w:after="0"/>
              <w:rPr>
                <w:sz w:val="20"/>
                <w:szCs w:val="20"/>
                <w:color w:val="auto"/>
              </w:rPr>
            </w:pPr>
            <w:r>
              <w:rPr>
                <w:rFonts w:ascii="Arial" w:cs="Arial" w:eastAsia="Arial" w:hAnsi="Arial"/>
                <w:sz w:val="18"/>
                <w:szCs w:val="18"/>
                <w:color w:val="auto"/>
              </w:rPr>
              <w:t>Non-GAAP total operating expenses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169,647</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1.Includes transaction-related expenses as well as post-combination compensation expenses. For the three months ended September 30,</w:t>
      </w:r>
    </w:p>
    <w:p>
      <w:pPr>
        <w:ind w:left="160"/>
        <w:spacing w:after="0" w:line="219" w:lineRule="auto"/>
        <w:rPr>
          <w:sz w:val="20"/>
          <w:szCs w:val="20"/>
          <w:color w:val="auto"/>
        </w:rPr>
      </w:pPr>
      <w:r>
        <w:rPr>
          <w:rFonts w:ascii="Arial" w:cs="Arial" w:eastAsia="Arial" w:hAnsi="Arial"/>
          <w:sz w:val="18"/>
          <w:szCs w:val="18"/>
          <w:color w:val="auto"/>
        </w:rPr>
        <w:t>2025, adjustments consist primarily of transaction-related expenses associated with contingent consideration related to the NanoString</w:t>
      </w:r>
    </w:p>
    <w:p>
      <w:pPr>
        <w:ind w:left="160" w:right="320"/>
        <w:spacing w:after="0" w:line="208" w:lineRule="auto"/>
        <w:rPr>
          <w:sz w:val="20"/>
          <w:szCs w:val="20"/>
          <w:color w:val="auto"/>
        </w:rPr>
      </w:pPr>
      <w:r>
        <w:rPr>
          <w:rFonts w:ascii="Arial" w:cs="Arial" w:eastAsia="Arial" w:hAnsi="Arial"/>
          <w:sz w:val="18"/>
          <w:szCs w:val="18"/>
          <w:color w:val="auto"/>
        </w:rPr>
        <w:t>Technologies, Inc. ("NanoString") transaction and contingent consideration associated with the C2i Genomics Ltd ("C2i Genomics") acquisition. For the three months ended September 30, 2024, adjustments consist primarily of transaction-related expenses associated with the acquisition of C2i Genomics ($0.1 million). For the nine months ended September 30, 2025, adjustments consist primarily of</w:t>
      </w:r>
    </w:p>
    <w:p>
      <w:pPr>
        <w:spacing w:after="0" w:line="2" w:lineRule="exact"/>
        <w:rPr>
          <w:sz w:val="20"/>
          <w:szCs w:val="20"/>
          <w:color w:val="auto"/>
        </w:rPr>
      </w:pPr>
    </w:p>
    <w:p>
      <w:pPr>
        <w:ind w:left="160" w:right="580"/>
        <w:spacing w:after="0" w:line="221" w:lineRule="auto"/>
        <w:rPr>
          <w:sz w:val="20"/>
          <w:szCs w:val="20"/>
          <w:color w:val="auto"/>
        </w:rPr>
      </w:pPr>
      <w:r>
        <w:rPr>
          <w:rFonts w:ascii="Arial" w:cs="Arial" w:eastAsia="Arial" w:hAnsi="Arial"/>
          <w:sz w:val="18"/>
          <w:szCs w:val="18"/>
          <w:color w:val="auto"/>
        </w:rPr>
        <w:t>transaction-related expenses associated with the acquisition of C2i Genomics ($1.6 million) partially offset by NanoString contingent consideration ($ 1.0 million). For the nine months ended September 30, 2024, adjustments consist of transaction-related expenses associated with the acquisition of C2i Genomics.</w:t>
      </w:r>
    </w:p>
    <w:p>
      <w:pPr>
        <w:spacing w:after="0" w:line="4" w:lineRule="exact"/>
        <w:rPr>
          <w:sz w:val="20"/>
          <w:szCs w:val="20"/>
          <w:color w:val="auto"/>
        </w:rPr>
      </w:pPr>
    </w:p>
    <w:p>
      <w:pPr>
        <w:ind w:left="160" w:right="40" w:hanging="161"/>
        <w:spacing w:after="0" w:line="221" w:lineRule="auto"/>
        <w:rPr>
          <w:sz w:val="20"/>
          <w:szCs w:val="20"/>
          <w:color w:val="auto"/>
        </w:rPr>
      </w:pPr>
      <w:r>
        <w:rPr>
          <w:rFonts w:ascii="Arial" w:cs="Arial" w:eastAsia="Arial" w:hAnsi="Arial"/>
          <w:sz w:val="18"/>
          <w:szCs w:val="18"/>
          <w:color w:val="auto"/>
        </w:rPr>
        <w:t>2.For the three months ended September 30, 2025, adjustments primarily include a vendor legal settlement ($2.8 million) partially offset by expenses related to the restructuring and liquidation proceedings of Veracyte SAS ($1.0 million) and other legal proceedings ($0.5 million).</w:t>
      </w:r>
    </w:p>
    <w:p>
      <w:pPr>
        <w:spacing w:after="0" w:line="1" w:lineRule="exact"/>
        <w:rPr>
          <w:sz w:val="20"/>
          <w:szCs w:val="20"/>
          <w:color w:val="auto"/>
        </w:rPr>
      </w:pPr>
    </w:p>
    <w:p>
      <w:pPr>
        <w:ind w:left="160" w:right="40"/>
        <w:spacing w:after="0" w:line="221" w:lineRule="auto"/>
        <w:rPr>
          <w:sz w:val="20"/>
          <w:szCs w:val="20"/>
          <w:color w:val="auto"/>
        </w:rPr>
      </w:pPr>
      <w:r>
        <w:rPr>
          <w:rFonts w:ascii="Arial" w:cs="Arial" w:eastAsia="Arial" w:hAnsi="Arial"/>
          <w:sz w:val="17"/>
          <w:szCs w:val="17"/>
          <w:color w:val="auto"/>
        </w:rPr>
        <w:t>For the three months ended September 30, 2024, adjustments primarily include expense related to restructuring costs ($0.2 million). For the nine months ended September 30, 2025, adjustments include additional expenses related to Veracyte SAS impairment loss ($20.5 million) and related to the restructuring and liquidation proceedings of Veracyte SAS ($ 8.0 million), partially offset by adjustments related to</w:t>
      </w:r>
    </w:p>
    <w:p>
      <w:pPr>
        <w:ind w:left="160" w:right="620"/>
        <w:spacing w:after="0" w:line="221" w:lineRule="auto"/>
        <w:rPr>
          <w:sz w:val="20"/>
          <w:szCs w:val="20"/>
          <w:color w:val="auto"/>
        </w:rPr>
      </w:pPr>
      <w:r>
        <w:rPr>
          <w:rFonts w:ascii="Arial" w:cs="Arial" w:eastAsia="Arial" w:hAnsi="Arial"/>
          <w:sz w:val="18"/>
          <w:szCs w:val="18"/>
          <w:color w:val="auto"/>
        </w:rPr>
        <w:t>restructuring costs ($0.1 million). For the nine months ended September 30, 2024, adjustments primarily include expense related to restructuring costs associated with a reduction in our Biopharmaceutical and Other segment ($3.1 million) and expense related to restructuring costs associated with portfolio prioritization including the reduction in Envisia commercial support ($1.6 million).</w:t>
      </w:r>
    </w:p>
    <w:p>
      <w:pPr>
        <w:sectPr>
          <w:pgSz w:w="11900" w:h="16838" w:orient="portrait"/>
          <w:cols w:equalWidth="0" w:num="1">
            <w:col w:w="11220"/>
          </w:cols>
          <w:pgMar w:left="340" w:top="931"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color w:val="auto"/>
        </w:rPr>
        <w:t>VERACYTE,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RECONCILIATION OF U.S. GAAP to NON-GAAP FINANCIAL MEASURES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5"/>
          </w:tcPr>
          <w:p>
            <w:pPr>
              <w:ind w:left="60"/>
              <w:spacing w:after="0"/>
              <w:rPr>
                <w:sz w:val="20"/>
                <w:szCs w:val="20"/>
                <w:color w:val="auto"/>
              </w:rPr>
            </w:pPr>
            <w:r>
              <w:rPr>
                <w:rFonts w:ascii="Arial" w:cs="Arial" w:eastAsia="Arial" w:hAnsi="Arial"/>
                <w:sz w:val="18"/>
                <w:szCs w:val="18"/>
                <w:color w:val="auto"/>
              </w:rPr>
              <w:t>Three Months Ended September 30,</w:t>
            </w:r>
          </w:p>
        </w:tc>
        <w:tc>
          <w:tcPr>
            <w:tcW w:w="3020" w:type="dxa"/>
            <w:vAlign w:val="bottom"/>
            <w:gridSpan w:val="5"/>
          </w:tcPr>
          <w:p>
            <w:pPr>
              <w:jc w:val="right"/>
              <w:ind w:right="10"/>
              <w:spacing w:after="0"/>
              <w:rPr>
                <w:sz w:val="20"/>
                <w:szCs w:val="20"/>
                <w:color w:val="auto"/>
              </w:rPr>
            </w:pPr>
            <w:r>
              <w:rPr>
                <w:rFonts w:ascii="Arial" w:cs="Arial" w:eastAsia="Arial" w:hAnsi="Arial"/>
                <w:sz w:val="18"/>
                <w:szCs w:val="18"/>
                <w:color w:val="auto"/>
              </w:rPr>
              <w:t>Nine Months Ended September 30,</w:t>
            </w:r>
          </w:p>
        </w:tc>
      </w:tr>
      <w:tr>
        <w:trPr>
          <w:trHeight w:val="237"/>
        </w:trPr>
        <w:tc>
          <w:tcPr>
            <w:tcW w:w="4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r>
      <w:tr>
        <w:trPr>
          <w:trHeight w:val="211"/>
        </w:trPr>
        <w:tc>
          <w:tcPr>
            <w:tcW w:w="4720" w:type="dxa"/>
            <w:vAlign w:val="bottom"/>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72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19,137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15,155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25,204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19,025</w:t>
            </w:r>
          </w:p>
        </w:tc>
      </w:tr>
      <w:tr>
        <w:trPr>
          <w:trHeight w:val="229"/>
        </w:trPr>
        <w:tc>
          <w:tcPr>
            <w:tcW w:w="4720" w:type="dxa"/>
            <w:vAlign w:val="bottom"/>
          </w:tcPr>
          <w:p>
            <w:pPr>
              <w:ind w:left="120"/>
              <w:spacing w:after="0"/>
              <w:rPr>
                <w:sz w:val="20"/>
                <w:szCs w:val="20"/>
                <w:color w:val="auto"/>
              </w:rPr>
            </w:pPr>
            <w:r>
              <w:rPr>
                <w:rFonts w:ascii="Arial" w:cs="Arial" w:eastAsia="Arial" w:hAnsi="Arial"/>
                <w:sz w:val="18"/>
                <w:szCs w:val="18"/>
                <w:color w:val="auto"/>
              </w:rPr>
              <w:t>GAAP Net Income (Loss) as a % of Revenue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11,240</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5,966</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10,757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32,700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26,620</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5,670</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Other expense (income), net (2)</w:t>
            </w:r>
          </w:p>
        </w:tc>
        <w:tc>
          <w:tcPr>
            <w:tcW w:w="16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(9,679)</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32,876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3,643</w:t>
            </w:r>
          </w:p>
        </w:tc>
      </w:tr>
      <w:tr>
        <w:trPr>
          <w:trHeight w:val="235"/>
        </w:trPr>
        <w:tc>
          <w:tcPr>
            <w:tcW w:w="472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3,276</w:t>
            </w:r>
          </w:p>
        </w:tc>
      </w:tr>
      <w:tr>
        <w:trPr>
          <w:trHeight w:val="223"/>
        </w:trPr>
        <w:tc>
          <w:tcPr>
            <w:tcW w:w="4720" w:type="dxa"/>
            <w:vAlign w:val="bottom"/>
          </w:tcPr>
          <w:p>
            <w:pPr>
              <w:ind w:left="12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39,733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27,329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100,223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65,761</w:t>
            </w:r>
          </w:p>
        </w:tc>
      </w:tr>
      <w:tr>
        <w:trPr>
          <w:trHeight w:val="232"/>
        </w:trPr>
        <w:tc>
          <w:tcPr>
            <w:tcW w:w="4720" w:type="dxa"/>
            <w:vAlign w:val="bottom"/>
          </w:tcPr>
          <w:p>
            <w:pPr>
              <w:ind w:left="120"/>
              <w:spacing w:after="0"/>
              <w:rPr>
                <w:sz w:val="20"/>
                <w:szCs w:val="20"/>
                <w:color w:val="auto"/>
              </w:rPr>
            </w:pPr>
            <w:r>
              <w:rPr>
                <w:rFonts w:ascii="Arial" w:cs="Arial" w:eastAsia="Arial" w:hAnsi="Arial"/>
                <w:sz w:val="18"/>
                <w:szCs w:val="18"/>
                <w:color w:val="auto"/>
              </w:rPr>
              <w:t>Adjusted EBITDA as a % of Revenue</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471"/>
        </w:trPr>
        <w:tc>
          <w:tcPr>
            <w:tcW w:w="4720" w:type="dxa"/>
            <w:vAlign w:val="bottom"/>
          </w:tcPr>
          <w:p>
            <w:pPr>
              <w:spacing w:after="0"/>
              <w:rPr>
                <w:sz w:val="20"/>
                <w:szCs w:val="20"/>
                <w:color w:val="auto"/>
              </w:rPr>
            </w:pPr>
            <w:r>
              <w:rPr>
                <w:rFonts w:ascii="Arial" w:cs="Arial" w:eastAsia="Arial" w:hAnsi="Arial"/>
                <w:sz w:val="18"/>
                <w:szCs w:val="18"/>
                <w:b w:val="1"/>
                <w:bCs w:val="1"/>
                <w:color w:val="auto"/>
              </w:rPr>
              <w:t>Reconciliation of Non-GAAP Net Income (Loss)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720" w:type="dxa"/>
            <w:vAlign w:val="bottom"/>
          </w:tcPr>
          <w:p>
            <w:pPr>
              <w:ind w:left="120"/>
              <w:spacing w:after="0"/>
              <w:rPr>
                <w:sz w:val="20"/>
                <w:szCs w:val="20"/>
                <w:color w:val="auto"/>
              </w:rPr>
            </w:pPr>
            <w:r>
              <w:rPr>
                <w:rFonts w:ascii="Arial" w:cs="Arial" w:eastAsia="Arial" w:hAnsi="Arial"/>
                <w:sz w:val="18"/>
                <w:szCs w:val="18"/>
                <w:color w:val="auto"/>
              </w:rPr>
              <w:t>GAAP 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19,137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15,155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25,204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19,025</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11,240</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10,757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8,747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32,700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26,620</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5,670</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32,876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3,643</w:t>
            </w:r>
          </w:p>
        </w:tc>
      </w:tr>
      <w:tr>
        <w:trPr>
          <w:trHeight w:val="235"/>
        </w:trPr>
        <w:tc>
          <w:tcPr>
            <w:tcW w:w="472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(2,179)</w:t>
            </w:r>
          </w:p>
        </w:tc>
      </w:tr>
      <w:tr>
        <w:trPr>
          <w:trHeight w:val="223"/>
        </w:trPr>
        <w:tc>
          <w:tcPr>
            <w:tcW w:w="4720" w:type="dxa"/>
            <w:vAlign w:val="bottom"/>
          </w:tcPr>
          <w:p>
            <w:pPr>
              <w:ind w:left="120"/>
              <w:spacing w:after="0"/>
              <w:rPr>
                <w:sz w:val="20"/>
                <w:szCs w:val="20"/>
                <w:color w:val="auto"/>
              </w:rPr>
            </w:pPr>
            <w:r>
              <w:rPr>
                <w:rFonts w:ascii="Arial" w:cs="Arial" w:eastAsia="Arial" w:hAnsi="Arial"/>
                <w:sz w:val="18"/>
                <w:szCs w:val="18"/>
                <w:color w:val="auto"/>
              </w:rPr>
              <w:t>Non-GAAP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40,962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25,988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100,390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64,019</w:t>
            </w:r>
          </w:p>
        </w:tc>
      </w:tr>
      <w:tr>
        <w:trPr>
          <w:trHeight w:val="461"/>
        </w:trPr>
        <w:tc>
          <w:tcPr>
            <w:tcW w:w="4720" w:type="dxa"/>
            <w:vAlign w:val="bottom"/>
          </w:tcPr>
          <w:p>
            <w:pPr>
              <w:spacing w:after="0"/>
              <w:rPr>
                <w:sz w:val="20"/>
                <w:szCs w:val="20"/>
                <w:color w:val="auto"/>
              </w:rPr>
            </w:pPr>
            <w:r>
              <w:rPr>
                <w:rFonts w:ascii="Arial" w:cs="Arial" w:eastAsia="Arial" w:hAnsi="Arial"/>
                <w:sz w:val="18"/>
                <w:szCs w:val="18"/>
                <w:b w:val="1"/>
                <w:bCs w:val="1"/>
                <w:color w:val="auto"/>
              </w:rPr>
              <w:t>Reconciliation of Non-GAAP Earnings per Share</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9"/>
        </w:trPr>
        <w:tc>
          <w:tcPr>
            <w:tcW w:w="4720" w:type="dxa"/>
            <w:vAlign w:val="bottom"/>
          </w:tcPr>
          <w:p>
            <w:pPr>
              <w:ind w:left="120"/>
              <w:spacing w:after="0"/>
              <w:rPr>
                <w:sz w:val="20"/>
                <w:szCs w:val="20"/>
                <w:color w:val="auto"/>
              </w:rPr>
            </w:pPr>
            <w:r>
              <w:rPr>
                <w:rFonts w:ascii="Arial" w:cs="Arial" w:eastAsia="Arial" w:hAnsi="Arial"/>
                <w:sz w:val="18"/>
                <w:szCs w:val="18"/>
                <w:color w:val="auto"/>
              </w:rPr>
              <w:t>Diluted earnings per share, GAAP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0.25</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0.15</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0.34</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Acquisition related expenses (1)</w:t>
            </w:r>
          </w:p>
        </w:tc>
        <w:tc>
          <w:tcPr>
            <w:tcW w:w="16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0.07</w:t>
            </w:r>
          </w:p>
        </w:tc>
      </w:tr>
      <w:tr>
        <w:trPr>
          <w:trHeight w:val="229"/>
        </w:trPr>
        <w:tc>
          <w:tcPr>
            <w:tcW w:w="4720" w:type="dxa"/>
            <w:vAlign w:val="bottom"/>
          </w:tcPr>
          <w:p>
            <w:pPr>
              <w:ind w:left="220"/>
              <w:spacing w:after="0"/>
              <w:rPr>
                <w:sz w:val="20"/>
                <w:szCs w:val="20"/>
                <w:color w:val="auto"/>
              </w:rPr>
            </w:pPr>
            <w:r>
              <w:rPr>
                <w:rFonts w:ascii="Arial" w:cs="Arial" w:eastAsia="Arial" w:hAnsi="Arial"/>
                <w:sz w:val="18"/>
                <w:szCs w:val="18"/>
                <w:color w:val="auto"/>
              </w:rPr>
              <w:t>Other adjustments (3)</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0.05</w:t>
            </w: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Tax adjustments (4)</w:t>
            </w:r>
          </w:p>
        </w:tc>
        <w:tc>
          <w:tcPr>
            <w:tcW w:w="16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(0.03)</w:t>
            </w:r>
          </w:p>
        </w:tc>
      </w:tr>
      <w:tr>
        <w:trPr>
          <w:trHeight w:val="235"/>
        </w:trPr>
        <w:tc>
          <w:tcPr>
            <w:tcW w:w="4720" w:type="dxa"/>
            <w:vAlign w:val="bottom"/>
          </w:tcPr>
          <w:p>
            <w:pPr>
              <w:ind w:left="220"/>
              <w:spacing w:after="0"/>
              <w:rPr>
                <w:sz w:val="20"/>
                <w:szCs w:val="20"/>
                <w:color w:val="auto"/>
              </w:rPr>
            </w:pPr>
            <w:r>
              <w:rPr>
                <w:rFonts w:ascii="Arial" w:cs="Arial" w:eastAsia="Arial" w:hAnsi="Arial"/>
                <w:sz w:val="18"/>
                <w:szCs w:val="18"/>
                <w:color w:val="auto"/>
              </w:rPr>
              <w:t>Rounding and impact of dilutive shares</w:t>
            </w:r>
          </w:p>
        </w:tc>
        <w:tc>
          <w:tcPr>
            <w:tcW w:w="16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ind w:left="120"/>
              <w:spacing w:after="0"/>
              <w:rPr>
                <w:sz w:val="20"/>
                <w:szCs w:val="20"/>
                <w:color w:val="auto"/>
              </w:rPr>
            </w:pPr>
            <w:r>
              <w:rPr>
                <w:rFonts w:ascii="Arial" w:cs="Arial" w:eastAsia="Arial" w:hAnsi="Arial"/>
                <w:sz w:val="18"/>
                <w:szCs w:val="18"/>
                <w:color w:val="auto"/>
              </w:rPr>
              <w:t>Diluted earnings per share, 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0.83</w:t>
            </w:r>
          </w:p>
        </w:tc>
      </w:tr>
      <w:tr>
        <w:trPr>
          <w:trHeight w:val="412"/>
        </w:trPr>
        <w:tc>
          <w:tcPr>
            <w:tcW w:w="4720" w:type="dxa"/>
            <w:vAlign w:val="bottom"/>
          </w:tcPr>
          <w:p>
            <w:pPr>
              <w:ind w:left="120"/>
              <w:spacing w:after="0"/>
              <w:rPr>
                <w:sz w:val="20"/>
                <w:szCs w:val="20"/>
                <w:color w:val="auto"/>
              </w:rPr>
            </w:pPr>
            <w:r>
              <w:rPr>
                <w:rFonts w:ascii="Arial" w:cs="Arial" w:eastAsia="Arial" w:hAnsi="Arial"/>
                <w:sz w:val="18"/>
                <w:szCs w:val="18"/>
                <w:color w:val="auto"/>
              </w:rPr>
              <w:t>Weighted average shares outstanding used in computing</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4720" w:type="dxa"/>
            <w:vAlign w:val="bottom"/>
          </w:tcPr>
          <w:p>
            <w:pPr>
              <w:ind w:left="12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Diluted, GAAP</w:t>
            </w:r>
          </w:p>
        </w:tc>
        <w:tc>
          <w:tcPr>
            <w:tcW w:w="16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79,691,703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78,464,654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79,946,386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77,339,897</w:t>
            </w:r>
          </w:p>
        </w:tc>
      </w:tr>
      <w:tr>
        <w:trPr>
          <w:trHeight w:val="235"/>
        </w:trPr>
        <w:tc>
          <w:tcPr>
            <w:tcW w:w="4720" w:type="dxa"/>
            <w:vAlign w:val="bottom"/>
          </w:tcPr>
          <w:p>
            <w:pPr>
              <w:ind w:left="220"/>
              <w:spacing w:after="0"/>
              <w:rPr>
                <w:sz w:val="20"/>
                <w:szCs w:val="20"/>
                <w:color w:val="auto"/>
              </w:rPr>
            </w:pPr>
            <w:r>
              <w:rPr>
                <w:rFonts w:ascii="Arial" w:cs="Arial" w:eastAsia="Arial" w:hAnsi="Arial"/>
                <w:sz w:val="18"/>
                <w:szCs w:val="18"/>
                <w:color w:val="auto"/>
              </w:rPr>
              <w:t>Dilutive effect of equity awards (5)</w:t>
            </w:r>
          </w:p>
        </w:tc>
        <w:tc>
          <w:tcPr>
            <w:tcW w:w="16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ind w:left="220"/>
              <w:spacing w:after="0"/>
              <w:rPr>
                <w:sz w:val="20"/>
                <w:szCs w:val="20"/>
                <w:color w:val="auto"/>
              </w:rPr>
            </w:pPr>
            <w:r>
              <w:rPr>
                <w:rFonts w:ascii="Arial" w:cs="Arial" w:eastAsia="Arial" w:hAnsi="Arial"/>
                <w:sz w:val="18"/>
                <w:szCs w:val="18"/>
                <w:color w:val="auto"/>
              </w:rPr>
              <w:t>Diluted, non-GAAP</w:t>
            </w: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79,691,703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78,464,654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79,946,386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77,339,897</w:t>
            </w:r>
          </w:p>
        </w:tc>
      </w:tr>
    </w:tbl>
    <w:p>
      <w:pPr>
        <w:sectPr>
          <w:pgSz w:w="11900" w:h="16838" w:orient="portrait"/>
          <w:cols w:equalWidth="0" w:num="1">
            <w:col w:w="11220"/>
          </w:cols>
          <w:pgMar w:left="340" w:top="931"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color w:val="auto"/>
        </w:rPr>
        <w:t>1.Includes transaction-related expenses as well as post-combination compensation expenses. For the three months ended September 30,</w:t>
      </w:r>
    </w:p>
    <w:p>
      <w:pPr>
        <w:ind w:left="180"/>
        <w:spacing w:after="0" w:line="219" w:lineRule="auto"/>
        <w:rPr>
          <w:sz w:val="20"/>
          <w:szCs w:val="20"/>
          <w:color w:val="auto"/>
        </w:rPr>
      </w:pPr>
      <w:r>
        <w:rPr>
          <w:rFonts w:ascii="Arial" w:cs="Arial" w:eastAsia="Arial" w:hAnsi="Arial"/>
          <w:sz w:val="18"/>
          <w:szCs w:val="18"/>
          <w:color w:val="auto"/>
        </w:rPr>
        <w:t>2025, adjustments consist primarily of transaction-related expenses associated with contingent consideration related to NanoString and</w:t>
      </w:r>
    </w:p>
    <w:p>
      <w:pPr>
        <w:ind w:left="180"/>
        <w:spacing w:after="0" w:line="221" w:lineRule="auto"/>
        <w:rPr>
          <w:sz w:val="20"/>
          <w:szCs w:val="20"/>
          <w:color w:val="auto"/>
        </w:rPr>
      </w:pPr>
      <w:r>
        <w:rPr>
          <w:rFonts w:ascii="Arial" w:cs="Arial" w:eastAsia="Arial" w:hAnsi="Arial"/>
          <w:sz w:val="17"/>
          <w:szCs w:val="17"/>
          <w:color w:val="auto"/>
        </w:rPr>
        <w:t>contingent consideration associated with the acquisition of C2i Genomics. For the three months ended September 30, 2024, adjustments consist primarily of transaction related expenses associated with the acquisition of C2i Genomics ($ 0.1 million). For the nine months ended September 30, 2025, adjustments consist primarily of transaction-related expenses associated with the acquisition of C2i Genomics ($1.6</w:t>
      </w:r>
    </w:p>
    <w:p>
      <w:pPr>
        <w:ind w:left="180" w:right="40"/>
        <w:spacing w:after="0" w:line="229" w:lineRule="auto"/>
        <w:rPr>
          <w:sz w:val="20"/>
          <w:szCs w:val="20"/>
          <w:color w:val="auto"/>
        </w:rPr>
      </w:pPr>
      <w:r>
        <w:rPr>
          <w:rFonts w:ascii="Arial" w:cs="Arial" w:eastAsia="Arial" w:hAnsi="Arial"/>
          <w:sz w:val="18"/>
          <w:szCs w:val="18"/>
          <w:color w:val="auto"/>
        </w:rPr>
        <w:t>million) partially offset by NanoString contingent consideration ($1.0 million). For the nine months ended September 30, 2024, adjustments consist of transaction-related expenses associated with the acquisition of C2i Genomics.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2.Includes interest income and income related to research tax credits.</w:t>
      </w:r>
    </w:p>
    <w:p>
      <w:pPr>
        <w:spacing w:after="0" w:line="23" w:lineRule="exact"/>
        <w:rPr>
          <w:sz w:val="20"/>
          <w:szCs w:val="20"/>
          <w:color w:val="auto"/>
        </w:rPr>
      </w:pPr>
    </w:p>
    <w:p>
      <w:pPr>
        <w:ind w:left="180" w:right="80" w:hanging="161"/>
        <w:spacing w:after="0" w:line="229" w:lineRule="auto"/>
        <w:rPr>
          <w:sz w:val="20"/>
          <w:szCs w:val="20"/>
          <w:color w:val="auto"/>
        </w:rPr>
      </w:pPr>
      <w:r>
        <w:rPr>
          <w:rFonts w:ascii="Arial" w:cs="Arial" w:eastAsia="Arial" w:hAnsi="Arial"/>
          <w:sz w:val="17"/>
          <w:szCs w:val="17"/>
          <w:color w:val="auto"/>
        </w:rPr>
        <w:t>3.For the three months ended September 30, 2025, adjustments primarily include expenses related to the exclusion of unrealized loss related to Veracyte SAS deconsolidation ($6.7 million), the exclusion of unrealized loss associated with foreign exchange impact on stock-</w:t>
      </w:r>
    </w:p>
    <w:p>
      <w:pPr>
        <w:ind w:left="180" w:right="40"/>
        <w:spacing w:after="0" w:line="221" w:lineRule="auto"/>
        <w:rPr>
          <w:sz w:val="20"/>
          <w:szCs w:val="20"/>
          <w:color w:val="auto"/>
        </w:rPr>
      </w:pPr>
      <w:r>
        <w:rPr>
          <w:rFonts w:ascii="Arial" w:cs="Arial" w:eastAsia="Arial" w:hAnsi="Arial"/>
          <w:sz w:val="17"/>
          <w:szCs w:val="17"/>
          <w:color w:val="auto"/>
        </w:rPr>
        <w:t>based compensation and intercompany loans ($1.3 million), the restructuring and liquidation proceedings of Veracyte SAS ($2.4 million), and other legal proceedings ($ 0.5 million), partially offset by vendor legal settlement ($2.8 million). For the three months ended September 30, 2024, adjustments include the exclusion of unrealized gains associated with foreign exchange impacts on stock-based compensation</w:t>
      </w:r>
    </w:p>
    <w:p>
      <w:pPr>
        <w:ind w:left="180" w:right="160"/>
        <w:spacing w:after="0" w:line="221" w:lineRule="auto"/>
        <w:rPr>
          <w:sz w:val="20"/>
          <w:szCs w:val="20"/>
          <w:color w:val="auto"/>
        </w:rPr>
      </w:pPr>
      <w:r>
        <w:rPr>
          <w:rFonts w:ascii="Arial" w:cs="Arial" w:eastAsia="Arial" w:hAnsi="Arial"/>
          <w:sz w:val="17"/>
          <w:szCs w:val="17"/>
          <w:color w:val="auto"/>
        </w:rPr>
        <w:t>and intercompany loans ($1.1 million) partially offset by expense related to restructuring costs ($0.2 million). For the nine months ended September 30, 2025 adjustments include additional expenses related to Veracyte SAS impairment loss ($ 20.5 million) and Veracyte SAS investment review ($ 8.0 million), partially offset by adjustments related to restructuring costs ($0.1 million) and additional exclusion of</w:t>
      </w:r>
    </w:p>
    <w:p>
      <w:pPr>
        <w:jc w:val="both"/>
        <w:ind w:left="180" w:right="140"/>
        <w:spacing w:after="0" w:line="208" w:lineRule="auto"/>
        <w:rPr>
          <w:sz w:val="20"/>
          <w:szCs w:val="20"/>
          <w:color w:val="auto"/>
        </w:rPr>
      </w:pPr>
      <w:r>
        <w:rPr>
          <w:rFonts w:ascii="Arial" w:cs="Arial" w:eastAsia="Arial" w:hAnsi="Arial"/>
          <w:sz w:val="18"/>
          <w:szCs w:val="18"/>
          <w:color w:val="auto"/>
        </w:rPr>
        <w:t>unrealized gains associated with foreign exchange impacts on stock-based compensation and intercompany loans ($3.6 million). For the nine months ended September 30, 2024, adjustments primarily include expense related to restructuring costs associated with a reduction in our Biopharmaceutical and Other Segment ($3.1 million) and expense related to restructuring costs associated with portfolio</w:t>
      </w:r>
    </w:p>
    <w:p>
      <w:pPr>
        <w:spacing w:after="0" w:line="2" w:lineRule="exact"/>
        <w:rPr>
          <w:sz w:val="20"/>
          <w:szCs w:val="20"/>
          <w:color w:val="auto"/>
        </w:rPr>
      </w:pPr>
    </w:p>
    <w:p>
      <w:pPr>
        <w:ind w:left="180" w:right="580"/>
        <w:spacing w:after="0" w:line="229" w:lineRule="auto"/>
        <w:rPr>
          <w:sz w:val="20"/>
          <w:szCs w:val="20"/>
          <w:color w:val="auto"/>
        </w:rPr>
      </w:pPr>
      <w:r>
        <w:rPr>
          <w:rFonts w:ascii="Arial" w:cs="Arial" w:eastAsia="Arial" w:hAnsi="Arial"/>
          <w:sz w:val="18"/>
          <w:szCs w:val="18"/>
          <w:color w:val="auto"/>
        </w:rPr>
        <w:t>prioritization including the reduction in Envisia commercial support ($1.6 million), partially offset by the exclusion of unrealized gains associated with foreign exchange impacts on stock-based compensation and intercompany loans ($1.1 million).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4.Incremental non-GAAP tax expense reflects the tax impact of the non-GAAP adjustments listed.</w:t>
      </w:r>
    </w:p>
    <w:p>
      <w:pPr>
        <w:spacing w:after="0" w:line="23" w:lineRule="exact"/>
        <w:rPr>
          <w:sz w:val="20"/>
          <w:szCs w:val="20"/>
          <w:color w:val="auto"/>
        </w:rPr>
      </w:pPr>
    </w:p>
    <w:p>
      <w:pPr>
        <w:ind w:left="180" w:right="360" w:hanging="161"/>
        <w:spacing w:after="0" w:line="229" w:lineRule="auto"/>
        <w:rPr>
          <w:sz w:val="20"/>
          <w:szCs w:val="20"/>
          <w:color w:val="auto"/>
        </w:rPr>
      </w:pPr>
      <w:r>
        <w:rPr>
          <w:rFonts w:ascii="Arial" w:cs="Arial" w:eastAsia="Arial" w:hAnsi="Arial"/>
          <w:sz w:val="17"/>
          <w:szCs w:val="17"/>
          <w:color w:val="auto"/>
        </w:rPr>
        <w:t>5.In those periods in which GAAP net (loss) income is negative and non-GAAP net (loss) income is positive, non-GAAP diluted weighted average shares outstanding includes potentially dilutive common shares from equity awards as determined using the treasury stock</w:t>
      </w:r>
    </w:p>
    <w:p>
      <w:pPr>
        <w:ind w:left="180"/>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media@veracyte.com</w:t>
      </w:r>
    </w:p>
    <w:p>
      <w:pPr>
        <w:spacing w:after="0"/>
        <w:rPr>
          <w:sz w:val="20"/>
          <w:szCs w:val="20"/>
          <w:color w:val="auto"/>
        </w:rPr>
      </w:pPr>
      <w:r>
        <w:rPr>
          <w:rFonts w:ascii="Arial" w:cs="Arial" w:eastAsia="Arial" w:hAnsi="Arial"/>
          <w:sz w:val="18"/>
          <w:szCs w:val="18"/>
          <w:color w:val="auto"/>
        </w:rPr>
        <w:t>650-380-4413</w:t>
      </w:r>
    </w:p>
    <w:sectPr>
      <w:pgSz w:w="11900" w:h="16838" w:orient="portrait"/>
      <w:cols w:equalWidth="0" w:num="1">
        <w:col w:w="11220"/>
      </w:cols>
      <w:pgMar w:left="320" w:top="9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2025-11-04T15:26:48Z</dcterms:created>
  <dcterms:modified xsi:type="dcterms:W3CDTF">2025-11-04T15:26:48Z</dcterms:modified>
</cp:coreProperties>
</file>