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Stapley Marc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100"/>
        <w:spacing w:after="0" w:line="365" w:lineRule="auto"/>
        <w:rPr>
          <w:sz w:val="20"/>
          <w:szCs w:val="20"/>
          <w:color w:val="auto"/>
        </w:rPr>
      </w:pPr>
      <w:r>
        <w:rPr>
          <w:rFonts w:ascii="Times New Roman" w:cs="Times New Roman" w:eastAsia="Times New Roman" w:hAnsi="Times New Roman"/>
          <w:sz w:val="17"/>
          <w:szCs w:val="17"/>
          <w:color w:val="0000FF"/>
        </w:rPr>
        <w:t>6000 SHORELINE COURT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VERACYTE,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VCYT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5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03/02/2023</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22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66"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560" w:type="dxa"/>
            <w:vAlign w:val="bottom"/>
            <w:tcBorders>
              <w:bottom w:val="single" w:sz="8" w:color="9A9A9A"/>
            </w:tcBorders>
          </w:tcPr>
          <w:p>
            <w:pPr>
              <w:spacing w:after="0"/>
              <w:rPr>
                <w:sz w:val="2"/>
                <w:szCs w:val="2"/>
                <w:color w:val="auto"/>
              </w:rPr>
            </w:pPr>
          </w:p>
        </w:tc>
        <w:tc>
          <w:tcPr>
            <w:tcW w:w="300" w:type="dxa"/>
            <w:vAlign w:val="bottom"/>
            <w:tcBorders>
              <w:bottom w:val="single" w:sz="8" w:color="9A9A9A"/>
            </w:tcBorders>
          </w:tcPr>
          <w:p>
            <w:pPr>
              <w:spacing w:after="0"/>
              <w:rPr>
                <w:sz w:val="2"/>
                <w:szCs w:val="2"/>
                <w:color w:val="auto"/>
              </w:rPr>
            </w:pPr>
          </w:p>
        </w:tc>
        <w:tc>
          <w:tcPr>
            <w:tcW w:w="820" w:type="dxa"/>
            <w:vAlign w:val="bottom"/>
            <w:tcBorders>
              <w:bottom w:val="single" w:sz="8" w:color="9A9A9A"/>
            </w:tcBorders>
          </w:tcPr>
          <w:p>
            <w:pPr>
              <w:spacing w:after="0"/>
              <w:rPr>
                <w:sz w:val="2"/>
                <w:szCs w:val="2"/>
                <w:color w:val="auto"/>
              </w:rPr>
            </w:pPr>
          </w:p>
        </w:tc>
        <w:tc>
          <w:tcPr>
            <w:tcW w:w="1340" w:type="dxa"/>
            <w:vAlign w:val="bottom"/>
            <w:tcBorders>
              <w:bottom w:val="single" w:sz="8" w:color="9A9A9A"/>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480" w:type="dxa"/>
            <w:vAlign w:val="bottom"/>
            <w:tcBorders>
              <w:top w:val="single" w:sz="8" w:color="2C2C2C"/>
              <w:bottom w:val="single" w:sz="8" w:color="2C2C2C"/>
            </w:tcBorders>
            <w:gridSpan w:val="6"/>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Borders>
              <w:top w:val="single" w:sz="8" w:color="2C2C2C"/>
            </w:tcBorders>
          </w:tcPr>
          <w:p>
            <w:pPr>
              <w:spacing w:after="0"/>
              <w:rPr>
                <w:sz w:val="2"/>
                <w:szCs w:val="2"/>
                <w:color w:val="auto"/>
              </w:rPr>
            </w:pPr>
          </w:p>
        </w:tc>
        <w:tc>
          <w:tcPr>
            <w:tcW w:w="3400" w:type="dxa"/>
            <w:vAlign w:val="bottom"/>
            <w:tcBorders>
              <w:top w:val="single" w:sz="8" w:color="2C2C2C"/>
              <w:bottom w:val="single" w:sz="8" w:color="2C2C2C"/>
            </w:tcBorders>
            <w:gridSpan w:val="7"/>
            <w:vMerge w:val="restart"/>
          </w:tcPr>
          <w:p>
            <w:pPr>
              <w:ind w:left="18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2"/>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560" w:type="dxa"/>
            <w:vAlign w:val="bottom"/>
            <w:shd w:val="clear" w:color="auto" w:fill="EEEEEE"/>
          </w:tcPr>
          <w:p>
            <w:pPr>
              <w:spacing w:after="0" w:line="20" w:lineRule="exact"/>
              <w:rPr>
                <w:sz w:val="1"/>
                <w:szCs w:val="1"/>
                <w:color w:val="auto"/>
              </w:rPr>
            </w:pPr>
          </w:p>
        </w:tc>
        <w:tc>
          <w:tcPr>
            <w:tcW w:w="300" w:type="dxa"/>
            <w:vAlign w:val="bottom"/>
            <w:shd w:val="clear" w:color="auto" w:fill="EEEEEE"/>
          </w:tcPr>
          <w:p>
            <w:pPr>
              <w:spacing w:after="0" w:line="20" w:lineRule="exact"/>
              <w:rPr>
                <w:sz w:val="1"/>
                <w:szCs w:val="1"/>
                <w:color w:val="auto"/>
              </w:rPr>
            </w:pPr>
          </w:p>
        </w:tc>
        <w:tc>
          <w:tcPr>
            <w:tcW w:w="820" w:type="dxa"/>
            <w:vAlign w:val="bottom"/>
            <w:shd w:val="clear" w:color="auto" w:fill="EEEEEE"/>
          </w:tcPr>
          <w:p>
            <w:pPr>
              <w:spacing w:after="0" w:line="20" w:lineRule="exact"/>
              <w:rPr>
                <w:sz w:val="1"/>
                <w:szCs w:val="1"/>
                <w:color w:val="auto"/>
              </w:rPr>
            </w:pPr>
          </w:p>
        </w:tc>
        <w:tc>
          <w:tcPr>
            <w:tcW w:w="1340" w:type="dxa"/>
            <w:vAlign w:val="bottom"/>
            <w:shd w:val="clear" w:color="auto" w:fill="EE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80" w:type="dxa"/>
            <w:vAlign w:val="bottom"/>
            <w:gridSpan w:val="6"/>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0" w:type="dxa"/>
            <w:vAlign w:val="bottom"/>
            <w:gridSpan w:val="7"/>
            <w:vMerge w:val="continue"/>
          </w:tcPr>
          <w:p>
            <w:pPr>
              <w:spacing w:after="0" w:line="20" w:lineRule="exact"/>
              <w:rPr>
                <w:sz w:val="1"/>
                <w:szCs w:val="1"/>
                <w:color w:val="auto"/>
              </w:rPr>
            </w:pPr>
          </w:p>
        </w:tc>
        <w:tc>
          <w:tcPr>
            <w:tcW w:w="1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80" w:type="dxa"/>
            <w:vAlign w:val="bottom"/>
            <w:gridSpan w:val="6"/>
            <w:vMerge w:val="continue"/>
          </w:tcPr>
          <w:p>
            <w:pPr>
              <w:spacing w:after="0"/>
              <w:rPr>
                <w:sz w:val="11"/>
                <w:szCs w:val="11"/>
                <w:color w:val="auto"/>
              </w:rPr>
            </w:pPr>
          </w:p>
        </w:tc>
        <w:tc>
          <w:tcPr>
            <w:tcW w:w="240" w:type="dxa"/>
            <w:vAlign w:val="bottom"/>
          </w:tcPr>
          <w:p>
            <w:pPr>
              <w:spacing w:after="0"/>
              <w:rPr>
                <w:sz w:val="11"/>
                <w:szCs w:val="11"/>
                <w:color w:val="auto"/>
              </w:rPr>
            </w:pPr>
          </w:p>
        </w:tc>
        <w:tc>
          <w:tcPr>
            <w:tcW w:w="3400" w:type="dxa"/>
            <w:vAlign w:val="bottom"/>
            <w:gridSpan w:val="7"/>
            <w:vMerge w:val="continue"/>
          </w:tcPr>
          <w:p>
            <w:pPr>
              <w:spacing w:after="0"/>
              <w:rPr>
                <w:sz w:val="11"/>
                <w:szCs w:val="11"/>
                <w:color w:val="auto"/>
              </w:rPr>
            </w:pPr>
          </w:p>
        </w:tc>
        <w:tc>
          <w:tcPr>
            <w:tcW w:w="1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gridSpan w:val="3"/>
            <w:vMerge w:val="restart"/>
          </w:tcPr>
          <w:p>
            <w:pPr>
              <w:ind w:left="1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SOUTH SAN</w:t>
            </w: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0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gridSpan w:val="3"/>
            <w:vMerge w:val="continue"/>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94080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4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spacing w:after="0" w:line="173" w:lineRule="exact"/>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tcPr>
          <w:p>
            <w:pPr>
              <w:ind w:left="140"/>
              <w:spacing w:after="0" w:line="113"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402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4"/>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4"/>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4"/>
          </w:tcPr>
          <w:p>
            <w:pPr>
              <w:ind w:left="900"/>
              <w:spacing w:after="0"/>
              <w:rPr>
                <w:sz w:val="20"/>
                <w:szCs w:val="20"/>
                <w:color w:val="auto"/>
              </w:rPr>
            </w:pPr>
            <w:r>
              <w:rPr>
                <w:rFonts w:ascii="Times New Roman" w:cs="Times New Roman" w:eastAsia="Times New Roman" w:hAnsi="Times New Roman"/>
                <w:sz w:val="17"/>
                <w:szCs w:val="17"/>
                <w:color w:val="0000FF"/>
              </w:rPr>
              <w:t>03/02/2023</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6,029</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5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24.1</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152,855</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reporting the withholding of 1,150 and 4,879 shares of common stock to satisfy the reporting person's tax withholding obligations in connection with the vesting of 2,925 and 14,134 Restricted Stock Units granted on June 1, 2021 and March 3, 2022, respectively, and does not represent a sale by the reporting person.</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585 shares of common stock purchased on January 31, 2023 pursuant to the Veracyte, Inc. Employee Stock Purchase Plan.</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Jonathan Wygant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03/03/2023</w:t>
            </w:r>
          </w:p>
        </w:tc>
        <w:tc>
          <w:tcPr>
            <w:tcW w:w="0" w:type="dxa"/>
            <w:vAlign w:val="bottom"/>
          </w:tcPr>
          <w:p>
            <w:pPr>
              <w:spacing w:after="0"/>
              <w:rPr>
                <w:sz w:val="1"/>
                <w:szCs w:val="1"/>
                <w:color w:val="auto"/>
              </w:rPr>
            </w:pPr>
          </w:p>
        </w:tc>
      </w:tr>
      <w:tr>
        <w:trPr>
          <w:trHeight w:val="87"/>
        </w:trPr>
        <w:tc>
          <w:tcPr>
            <w:tcW w:w="160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8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600" w:type="dxa"/>
            <w:vAlign w:val="bottom"/>
            <w:tcBorders>
              <w:top w:val="single" w:sz="8" w:color="auto"/>
            </w:tcBorders>
            <w:gridSpan w:val="2"/>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39796" TargetMode="External"/><Relationship Id="rId13"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2023-03-03T19:17:46Z</dcterms:created>
  <dcterms:modified xsi:type="dcterms:W3CDTF">2023-03-03T19:17:46Z</dcterms:modified>
</cp:coreProperties>
</file>