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(RULE 13d - 102)</w:t>
      </w:r>
    </w:p>
    <w:p>
      <w:pPr>
        <w:spacing w:after="0" w:line="211"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INFORMATION TO BE INCLUDED IN STATEMENTS FILED PURSUANT TO 13d-1(b), (c) AND (d) AND AMENDMENTS THERETO FILED PURSUANT TO 13d-2</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w:t>
      </w:r>
      <w:r>
        <w:rPr>
          <w:rFonts w:ascii="Arial" w:cs="Arial" w:eastAsia="Arial" w:hAnsi="Arial"/>
          <w:sz w:val="18"/>
          <w:szCs w:val="18"/>
          <w:color w:val="auto"/>
        </w:rPr>
        <w:t>*</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u w:val="single" w:color="auto"/>
          <w:color w:val="auto"/>
        </w:rPr>
        <w:t>Veracyte,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Stock, $0.001 par value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92337F107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December 31, 2019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080" w:firstLine="8"/>
        <w:spacing w:after="0" w:line="227"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Page 2 of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92337F107</w:t>
      </w:r>
    </w:p>
    <w:p>
      <w:pPr>
        <w:spacing w:after="0" w:line="239" w:lineRule="exact"/>
        <w:rPr>
          <w:sz w:val="20"/>
          <w:szCs w:val="20"/>
          <w:color w:val="auto"/>
        </w:rPr>
      </w:pPr>
    </w:p>
    <w:p>
      <w:pPr>
        <w:ind w:left="1020" w:right="7900" w:hanging="901"/>
        <w:spacing w:after="0" w:line="572" w:lineRule="auto"/>
        <w:tabs>
          <w:tab w:leader="none" w:pos="696"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 Gilder, Gagnon, Howe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6285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ind w:left="700" w:hanging="58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9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9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29" w:lineRule="exact"/>
        <w:rPr>
          <w:sz w:val="20"/>
          <w:szCs w:val="20"/>
          <w:color w:val="auto"/>
        </w:rPr>
      </w:pPr>
    </w:p>
    <w:p>
      <w:pPr>
        <w:ind w:left="700" w:hanging="58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1020" w:right="7060" w:hanging="901"/>
        <w:spacing w:after="0" w:line="509" w:lineRule="auto"/>
        <w:tabs>
          <w:tab w:leader="none" w:pos="696"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tbl>
      <w:tblPr>
        <w:tblLayout w:type="fixed"/>
        <w:tblInd w:w="0" w:type="dxa"/>
        <w:tblCellMar>
          <w:top w:w="0" w:type="dxa"/>
          <w:left w:w="0" w:type="dxa"/>
          <w:bottom w:w="0" w:type="dxa"/>
          <w:right w:w="0" w:type="dxa"/>
        </w:tblCellMar>
      </w:tblPr>
      <w:tr>
        <w:trPr>
          <w:trHeight w:val="225"/>
        </w:trPr>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4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5</w:t>
            </w:r>
          </w:p>
        </w:tc>
        <w:tc>
          <w:tcPr>
            <w:tcW w:w="9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75"/>
        </w:trPr>
        <w:tc>
          <w:tcPr>
            <w:tcW w:w="1600" w:type="dxa"/>
            <w:vAlign w:val="bottom"/>
            <w:tcBorders>
              <w:right w:val="single" w:sz="8" w:color="auto"/>
            </w:tcBorders>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9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40" w:type="dxa"/>
            <w:vAlign w:val="bottom"/>
            <w:tcBorders>
              <w:right w:val="single" w:sz="8" w:color="auto"/>
            </w:tcBorders>
          </w:tcPr>
          <w:p>
            <w:pPr>
              <w:spacing w:after="0"/>
              <w:rPr>
                <w:sz w:val="18"/>
                <w:szCs w:val="18"/>
                <w:color w:val="auto"/>
              </w:rPr>
            </w:pPr>
          </w:p>
        </w:tc>
        <w:tc>
          <w:tcPr>
            <w:tcW w:w="928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540" w:type="dxa"/>
            <w:vAlign w:val="bottom"/>
            <w:tcBorders>
              <w:right w:val="single" w:sz="8" w:color="auto"/>
            </w:tcBorders>
          </w:tcPr>
          <w:p>
            <w:pPr>
              <w:spacing w:after="0"/>
              <w:rPr>
                <w:sz w:val="10"/>
                <w:szCs w:val="10"/>
                <w:color w:val="auto"/>
              </w:rPr>
            </w:pPr>
          </w:p>
        </w:tc>
        <w:tc>
          <w:tcPr>
            <w:tcW w:w="9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0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40" w:type="dxa"/>
            <w:vAlign w:val="bottom"/>
            <w:tcBorders>
              <w:bottom w:val="single" w:sz="8" w:color="auto"/>
              <w:right w:val="single" w:sz="8" w:color="auto"/>
            </w:tcBorders>
          </w:tcPr>
          <w:p>
            <w:pPr>
              <w:spacing w:after="0"/>
              <w:rPr>
                <w:sz w:val="10"/>
                <w:szCs w:val="10"/>
                <w:color w:val="auto"/>
              </w:rPr>
            </w:pPr>
          </w:p>
        </w:tc>
        <w:tc>
          <w:tcPr>
            <w:tcW w:w="9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00" w:type="dxa"/>
            <w:vAlign w:val="bottom"/>
            <w:tcBorders>
              <w:right w:val="single" w:sz="8" w:color="auto"/>
            </w:tcBorders>
            <w:vMerge w:val="continue"/>
          </w:tcPr>
          <w:p>
            <w:pPr>
              <w:spacing w:after="0"/>
              <w:rPr>
                <w:sz w:val="6"/>
                <w:szCs w:val="6"/>
                <w:color w:val="auto"/>
              </w:rPr>
            </w:pPr>
          </w:p>
        </w:tc>
        <w:tc>
          <w:tcPr>
            <w:tcW w:w="54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6</w:t>
            </w:r>
          </w:p>
        </w:tc>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4"/>
        </w:trPr>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540" w:type="dxa"/>
            <w:vAlign w:val="bottom"/>
            <w:tcBorders>
              <w:right w:val="single" w:sz="8" w:color="auto"/>
            </w:tcBorders>
            <w:vMerge w:val="continue"/>
          </w:tcPr>
          <w:p>
            <w:pPr>
              <w:spacing w:after="0"/>
              <w:rPr>
                <w:sz w:val="13"/>
                <w:szCs w:val="13"/>
                <w:color w:val="auto"/>
              </w:rPr>
            </w:pPr>
          </w:p>
        </w:tc>
        <w:tc>
          <w:tcPr>
            <w:tcW w:w="9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60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9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40" w:type="dxa"/>
            <w:vAlign w:val="bottom"/>
            <w:tcBorders>
              <w:right w:val="single" w:sz="8" w:color="auto"/>
            </w:tcBorders>
          </w:tcPr>
          <w:p>
            <w:pPr>
              <w:spacing w:after="0"/>
              <w:rPr>
                <w:sz w:val="18"/>
                <w:szCs w:val="18"/>
                <w:color w:val="auto"/>
              </w:rPr>
            </w:pPr>
          </w:p>
        </w:tc>
        <w:tc>
          <w:tcPr>
            <w:tcW w:w="928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40" w:type="dxa"/>
            <w:vAlign w:val="bottom"/>
            <w:tcBorders>
              <w:right w:val="single" w:sz="8" w:color="auto"/>
            </w:tcBorders>
          </w:tcPr>
          <w:p>
            <w:pPr>
              <w:spacing w:after="0"/>
              <w:rPr>
                <w:sz w:val="12"/>
                <w:szCs w:val="12"/>
                <w:color w:val="auto"/>
              </w:rPr>
            </w:pPr>
          </w:p>
        </w:tc>
        <w:tc>
          <w:tcPr>
            <w:tcW w:w="9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60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9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00" w:type="dxa"/>
            <w:vAlign w:val="bottom"/>
            <w:tcBorders>
              <w:right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9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60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9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18"/>
        </w:trPr>
        <w:tc>
          <w:tcPr>
            <w:tcW w:w="16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600" w:type="dxa"/>
            <w:vAlign w:val="bottom"/>
            <w:tcBorders>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9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8</w:t>
            </w:r>
          </w:p>
        </w:tc>
        <w:tc>
          <w:tcPr>
            <w:tcW w:w="9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16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3,772,602</w:t>
            </w:r>
          </w:p>
        </w:tc>
        <w:tc>
          <w:tcPr>
            <w:tcW w:w="0" w:type="dxa"/>
            <w:vAlign w:val="bottom"/>
          </w:tcPr>
          <w:p>
            <w:pPr>
              <w:spacing w:after="0"/>
              <w:rPr>
                <w:sz w:val="1"/>
                <w:szCs w:val="1"/>
                <w:color w:val="auto"/>
              </w:rPr>
            </w:pPr>
          </w:p>
        </w:tc>
      </w:tr>
      <w:tr>
        <w:trPr>
          <w:trHeight w:val="216"/>
        </w:trPr>
        <w:tc>
          <w:tcPr>
            <w:tcW w:w="16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9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1020" w:right="4160" w:hanging="901"/>
        <w:spacing w:after="0" w:line="500" w:lineRule="auto"/>
        <w:tabs>
          <w:tab w:leader="none" w:pos="696"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3,772,602</w:t>
      </w:r>
    </w:p>
    <w:p>
      <w:pPr>
        <w:spacing w:after="0" w:line="1"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p>
    <w:p>
      <w:pPr>
        <w:spacing w:after="0" w:line="18" w:lineRule="exact"/>
        <w:rPr>
          <w:sz w:val="20"/>
          <w:szCs w:val="20"/>
          <w:color w:val="auto"/>
        </w:rPr>
      </w:pPr>
    </w:p>
    <w:p>
      <w:pPr>
        <w:ind w:left="11140"/>
        <w:spacing w:after="0" w:line="181" w:lineRule="exact"/>
        <w:rPr>
          <w:sz w:val="20"/>
          <w:szCs w:val="20"/>
          <w:color w:val="auto"/>
        </w:rPr>
      </w:pPr>
      <w:r>
        <w:rPr>
          <w:rFonts w:ascii="MS PGothic" w:cs="MS PGothic" w:eastAsia="MS PGothic" w:hAnsi="MS PGothic"/>
          <w:sz w:val="18"/>
          <w:szCs w:val="18"/>
          <w:color w:val="auto"/>
        </w:rPr>
        <w:t>☐</w:t>
      </w:r>
    </w:p>
    <w:p>
      <w:pPr>
        <w:spacing w:after="0" w:line="256" w:lineRule="exact"/>
        <w:rPr>
          <w:sz w:val="20"/>
          <w:szCs w:val="20"/>
          <w:color w:val="auto"/>
        </w:rPr>
      </w:pPr>
    </w:p>
    <w:p>
      <w:pPr>
        <w:ind w:left="1020" w:right="5660" w:hanging="901"/>
        <w:spacing w:after="0" w:line="508" w:lineRule="auto"/>
        <w:tabs>
          <w:tab w:leader="none" w:pos="696"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7.72%</w:t>
      </w:r>
    </w:p>
    <w:p>
      <w:pPr>
        <w:spacing w:after="0" w:line="1" w:lineRule="exact"/>
        <w:rPr>
          <w:rFonts w:ascii="Arial" w:cs="Arial" w:eastAsia="Arial" w:hAnsi="Arial"/>
          <w:sz w:val="18"/>
          <w:szCs w:val="18"/>
          <w:color w:val="auto"/>
        </w:rPr>
      </w:pPr>
    </w:p>
    <w:p>
      <w:pPr>
        <w:ind w:left="700" w:hanging="58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Page 3 of 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Veracyte,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6000 Shoreline Court, Suite 300</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Gilder, Gagnon, Howe &amp; Co. LLC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475 10th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10018</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92337F107</w:t>
      </w:r>
    </w:p>
    <w:p>
      <w:pPr>
        <w:spacing w:after="0" w:line="221" w:lineRule="exact"/>
        <w:rPr>
          <w:sz w:val="20"/>
          <w:szCs w:val="20"/>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 13d-1(b), OR 13d-2(b) OR (c), CHECK WHETHER THE PERSON FILING IS A:</w:t>
      </w:r>
    </w:p>
    <w:p>
      <w:pPr>
        <w:spacing w:after="0" w:line="133" w:lineRule="exact"/>
        <w:rPr>
          <w:sz w:val="20"/>
          <w:szCs w:val="20"/>
          <w:color w:val="auto"/>
        </w:rPr>
      </w:pPr>
    </w:p>
    <w:p>
      <w:pPr>
        <w:ind w:left="1380" w:hanging="562"/>
        <w:spacing w:after="0" w:line="207" w:lineRule="exact"/>
        <w:tabs>
          <w:tab w:leader="none" w:pos="13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380" w:hanging="562"/>
        <w:spacing w:after="0" w:line="207" w:lineRule="exact"/>
        <w:tabs>
          <w:tab w:leader="none" w:pos="13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380" w:hanging="562"/>
        <w:spacing w:after="0" w:line="207" w:lineRule="exact"/>
        <w:tabs>
          <w:tab w:leader="none" w:pos="13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defined in Section 3(a)(19) of the Act (15 U.S.C. 78c).</w:t>
      </w:r>
    </w:p>
    <w:p>
      <w:pPr>
        <w:spacing w:after="0" w:line="225" w:lineRule="exact"/>
        <w:rPr>
          <w:rFonts w:ascii="Arial" w:cs="Arial" w:eastAsia="Arial" w:hAnsi="Arial"/>
          <w:sz w:val="18"/>
          <w:szCs w:val="18"/>
          <w:color w:val="auto"/>
        </w:rPr>
      </w:pPr>
    </w:p>
    <w:p>
      <w:pPr>
        <w:ind w:left="1380" w:hanging="562"/>
        <w:spacing w:after="0" w:line="207" w:lineRule="exact"/>
        <w:tabs>
          <w:tab w:leader="none" w:pos="13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80" w:hanging="562"/>
        <w:spacing w:after="0" w:line="207" w:lineRule="exact"/>
        <w:tabs>
          <w:tab w:leader="none" w:pos="13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380" w:hanging="562"/>
        <w:spacing w:after="0" w:line="207" w:lineRule="exact"/>
        <w:tabs>
          <w:tab w:leader="none" w:pos="13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380" w:hanging="562"/>
        <w:spacing w:after="0" w:line="207" w:lineRule="exact"/>
        <w:tabs>
          <w:tab w:leader="none" w:pos="13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380" w:hanging="562"/>
        <w:spacing w:after="0" w:line="207" w:lineRule="exact"/>
        <w:tabs>
          <w:tab w:leader="none" w:pos="13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700" w:right="20" w:hanging="882"/>
        <w:spacing w:after="0" w:line="239" w:lineRule="exact"/>
        <w:tabs>
          <w:tab w:leader="none" w:pos="1373"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380" w:hanging="562"/>
        <w:spacing w:after="0" w:line="207" w:lineRule="exact"/>
        <w:tabs>
          <w:tab w:leader="none" w:pos="13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1380" w:hanging="562"/>
        <w:spacing w:after="0" w:line="207" w:lineRule="exact"/>
        <w:tabs>
          <w:tab w:leader="none" w:pos="13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Page 4 of 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3,772,602</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7.72%</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of Common Stock as to which such person has:</w:t>
      </w:r>
    </w:p>
    <w:p>
      <w:pPr>
        <w:spacing w:after="0" w:line="225" w:lineRule="exact"/>
        <w:rPr>
          <w:rFonts w:ascii="Arial" w:cs="Arial" w:eastAsia="Arial" w:hAnsi="Arial"/>
          <w:sz w:val="18"/>
          <w:szCs w:val="18"/>
          <w:color w:val="auto"/>
        </w:rPr>
      </w:pPr>
    </w:p>
    <w:p>
      <w:pPr>
        <w:ind w:left="1560" w:hanging="385"/>
        <w:spacing w:after="0"/>
        <w:tabs>
          <w:tab w:leader="none" w:pos="1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25" w:lineRule="exact"/>
        <w:rPr>
          <w:rFonts w:ascii="Arial" w:cs="Arial" w:eastAsia="Arial" w:hAnsi="Arial"/>
          <w:sz w:val="18"/>
          <w:szCs w:val="18"/>
          <w:color w:val="auto"/>
        </w:rPr>
      </w:pPr>
    </w:p>
    <w:p>
      <w:pPr>
        <w:ind w:left="1580" w:hanging="405"/>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1580" w:hanging="405"/>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560" w:hanging="385"/>
        <w:spacing w:after="0"/>
        <w:tabs>
          <w:tab w:leader="none" w:pos="1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3,772,602</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shares reported include 3,772,602 shares held in customer accounts over which partners and/or employees of the Reporting Person have discretionary authority to dispose of or direct the disposition of the shares.</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left="6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40" w:right="20" w:hanging="1336"/>
        <w:spacing w:after="0" w:line="282" w:lineRule="auto"/>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By signing below the undersigned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Page 5 of 5</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73"/>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GILDER, GAGNON, HOWE &amp; CO. LLC</w:t>
      </w:r>
    </w:p>
    <w:p>
      <w:pPr>
        <w:spacing w:after="0" w:line="25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Huynh</w:t>
      </w:r>
    </w:p>
    <w:p>
      <w:pPr>
        <w:spacing w:after="0" w:line="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David Huynh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2020-02-14T09:23:04Z</dcterms:created>
  <dcterms:modified xsi:type="dcterms:W3CDTF">2020-02-14T09:23:04Z</dcterms:modified>
</cp:coreProperties>
</file>