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40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&amp; Med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408" w:gutter="0" w:footer="0" w:header="0"/>
          <w:type w:val="continuous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267970</wp:posOffset>
            </wp:positionV>
            <wp:extent cx="6967220" cy="19538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95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40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jc w:val="center"/>
              <w:ind w:left="37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3,542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83,489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2,937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86,426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2,536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30.0505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83,890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31.2082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81,540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2,141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32.2356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79,399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3,542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03/02/2027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3,542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10,625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5.98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2,937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03/01/2028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2,937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26,438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-2498725</wp:posOffset>
            </wp:positionV>
            <wp:extent cx="7033260" cy="2638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63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June 12, 2020.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$29.58 to $30.49. Detailed information regarding the number of shares sold at each separate price will be provided to the SEC, the issuer or a shareholder upon request.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$30.69 to $31.68. Detailed information regarding the number of shares sold at each separate price will be provided to the SEC, the issuer or a shareholder upon request.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$31.78 to $32.67. Detailed information regarding the number of shares sold at each separate price will be provided to the SEC, the issuer or a shareholder upon request.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as to 25% of the shares on March 3, 2018, and the remaining shares vest at a rate of 1/48th of the total number of shares subject to the award for each month of continuous service thereafter.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3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as to 25% of the shares on March 2, 2019, and the remaining shares vest at a rate of 1/48th of the total number of shares subject to the award for each month of continuous service thereafter.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Keith Kennedy, as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09/08/2020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9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2794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40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933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2020-09-08T16:55:29Z</dcterms:created>
  <dcterms:modified xsi:type="dcterms:W3CDTF">2020-09-08T16:55:29Z</dcterms:modified>
</cp:coreProperties>
</file>