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173990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VERACYTE,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ind w:left="1540"/>
        <w:spacing w:after="0"/>
        <w:rPr>
          <w:sz w:val="20"/>
          <w:szCs w:val="20"/>
          <w:color w:val="auto"/>
        </w:rPr>
      </w:pPr>
      <w:r>
        <w:rPr>
          <w:rFonts w:ascii="Arial" w:cs="Arial" w:eastAsia="Arial" w:hAnsi="Arial"/>
          <w:sz w:val="16"/>
          <w:szCs w:val="16"/>
          <w:b w:val="1"/>
          <w:bCs w:val="1"/>
          <w:color w:val="auto"/>
        </w:rPr>
        <w:t>6000 Shoreline Court, Suite 300</w:t>
      </w:r>
    </w:p>
    <w:p>
      <w:pPr>
        <w:spacing w:after="0" w:line="50"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South San Francisco,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94080</w:t>
      </w:r>
    </w:p>
    <w:p>
      <w:pPr>
        <w:spacing w:after="0" w:line="266" w:lineRule="exact"/>
        <w:rPr>
          <w:sz w:val="24"/>
          <w:szCs w:val="24"/>
          <w:color w:val="auto"/>
        </w:rPr>
      </w:pPr>
    </w:p>
    <w:p>
      <w:pPr>
        <w:sectPr>
          <w:pgSz w:w="11900" w:h="16838" w:orient="portrait"/>
          <w:cols w:equalWidth="0" w:num="2">
            <w:col w:w="7380" w:space="720"/>
            <w:col w:w="2940"/>
          </w:cols>
          <w:pgMar w:left="440" w:top="368" w:right="41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0" w:space="720"/>
            <w:col w:w="30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(650) 243-6300</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VCYT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On May 2, 2019, Veracyte, Inc. (the “Company”) entered into an underwriting agreement (the “Underwriting Agreement”) with Morgan Stanley &amp; Co. LLC and SVB Leerink LLC, as representatives of the several underwriters named therein (collectively, the “Underwriters”), relating to the public offering of 5,500,000 shares of the Company’s common stock, par value $0.001 per share (the “Shares”), at a public offering price of $23.25 per share (the “Offering”). The Offering is expected to close on or about May 7, 2019, subject to customary closing conditions. The Company has granted the Underwriters an option, exercisable within 30 days from the date of the Underwriting Agreement, to purchase up to 825,000 additional Shares. The Offering is being made pursuant to the Company’s effective shelf registration statement on Form S-3 (File No. 333-231173) previously filed with the Securities and Exchange Commission (the “SEC”), including the related prospectus dated May 2, 2019, as supplemented by the prospectus supplement dated May 2, 2019.</w:t>
      </w:r>
    </w:p>
    <w:p>
      <w:pPr>
        <w:spacing w:after="0" w:line="192"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The Company estimates that net proceeds from the Offering will be approximately $119.8 million, after deducting underwriting discounts and commissions and estimated Offering expenses, and assuming no exercise of the Underwriters’ option to purchase additional shares. The Company intends to use the net proceeds from the Offering for working capital and other general corporate purposes. The Company also intends to use a portion of the net proceeds from the Offering to repay approximately $12.4 million of the term loan outstanding under its loan and security agreement. The Company may also use a portion of the net proceeds from the Offering to acquire or invest in complementary businesses, technologies or other assets, although it has no present commitments or agreements to do so.</w:t>
      </w:r>
    </w:p>
    <w:p>
      <w:pPr>
        <w:spacing w:after="0" w:line="17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A copy of the Underwriting Agreement is filed with this Current Report on Form 8-K as Exhibit 1.1 and is incorporated herein by reference.</w:t>
      </w:r>
    </w:p>
    <w:p>
      <w:pPr>
        <w:spacing w:after="0" w:line="181"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A copy of the opinion of Fenwick &amp; West LLP, relating to the validity of the Shares in connection with the Offering, is filed with this Current Report on Form 8-K as Exhibit 5.1.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On May 2, 2019, the Company issued a press release announcing the pricing of the Offering. A copy of the press release is filed as Exhibit 99.1 to this Current Report on Form 8-K and is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42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jc w:val="right"/>
              <w:ind w:right="39"/>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42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40" w:type="dxa"/>
            <w:vAlign w:val="bottom"/>
          </w:tcPr>
          <w:p>
            <w:pPr>
              <w:jc w:val="right"/>
              <w:ind w:right="59"/>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426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Underwriting Agreement dated May 2, 2019.</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Opinion of Fenwick &amp; West LLP.</w:t>
              </w:r>
            </w:hyperlink>
          </w:p>
        </w:tc>
        <w:tc>
          <w:tcPr>
            <w:tcW w:w="8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23.1</w:t>
            </w:r>
          </w:p>
        </w:tc>
        <w:tc>
          <w:tcPr>
            <w:tcW w:w="520" w:type="dxa"/>
            <w:vAlign w:val="bottom"/>
          </w:tcPr>
          <w:p>
            <w:pPr>
              <w:spacing w:after="0"/>
              <w:rPr>
                <w:sz w:val="24"/>
                <w:szCs w:val="24"/>
                <w:color w:val="auto"/>
              </w:rPr>
            </w:pPr>
          </w:p>
        </w:tc>
        <w:tc>
          <w:tcPr>
            <w:tcW w:w="4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Consent of Fenwick &amp; West LLP (included in Exhibit 5.1).</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99.1</w:t>
            </w:r>
          </w:p>
        </w:tc>
        <w:tc>
          <w:tcPr>
            <w:tcW w:w="520" w:type="dxa"/>
            <w:vAlign w:val="bottom"/>
          </w:tcPr>
          <w:p>
            <w:pPr>
              <w:spacing w:after="0"/>
              <w:rPr>
                <w:sz w:val="24"/>
                <w:szCs w:val="24"/>
                <w:color w:val="auto"/>
              </w:rPr>
            </w:pPr>
          </w:p>
        </w:tc>
        <w:tc>
          <w:tcPr>
            <w:tcW w:w="24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Press Release dated May 2, 2019.</w:t>
              </w:r>
            </w:hyperlink>
          </w:p>
        </w:tc>
        <w:tc>
          <w:tcPr>
            <w:tcW w:w="18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Keith Kennedy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0680"/>
          </w:cols>
          <w:pgMar w:left="440" w:top="270"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the Managers named in Schedule I hereto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Underwriters named in Schedule II hereto</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SVB Leerink LLC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Veracyte,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you are acting as managers (the “</w:t>
      </w:r>
      <w:r>
        <w:rPr>
          <w:rFonts w:ascii="Arial" w:cs="Arial" w:eastAsia="Arial" w:hAnsi="Arial"/>
          <w:sz w:val="17"/>
          <w:szCs w:val="17"/>
          <w:b w:val="1"/>
          <w:bCs w:val="1"/>
          <w:color w:val="auto"/>
        </w:rPr>
        <w:t>Managers</w:t>
      </w:r>
      <w:r>
        <w:rPr>
          <w:rFonts w:ascii="Arial" w:cs="Arial" w:eastAsia="Arial" w:hAnsi="Arial"/>
          <w:sz w:val="17"/>
          <w:szCs w:val="17"/>
          <w:color w:val="auto"/>
        </w:rPr>
        <w:t>”), the number of shares of its common stock, $0.001 par value per share, set forth in Schedule I hereto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several Underwriters not more than the number of additional shares of its common stock, $0.001 par value per share, set forth in Schedule I hereto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the Managers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shares of common stock, $0.001 par value per share, of the Company to be 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 If the firm or firms listed in Schedule II hereto include only the Managers listed in Schedule I hereto, then the terms “Underwriters” and “Managers” as used herein shall each be deemed to refer to such firm or firms.</w:t>
      </w:r>
    </w:p>
    <w:p>
      <w:pPr>
        <w:spacing w:after="0" w:line="174"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(the file number of which is set forth in Schedule I hereto) on Form S-3, relating to the securities (the “</w:t>
      </w:r>
      <w:r>
        <w:rPr>
          <w:rFonts w:ascii="Arial" w:cs="Arial" w:eastAsia="Arial" w:hAnsi="Arial"/>
          <w:sz w:val="16"/>
          <w:szCs w:val="16"/>
          <w:b w:val="1"/>
          <w:bCs w:val="1"/>
          <w:color w:val="auto"/>
        </w:rPr>
        <w:t>Shelf Securities</w:t>
      </w:r>
      <w:r>
        <w:rPr>
          <w:rFonts w:ascii="Arial" w:cs="Arial" w:eastAsia="Arial" w:hAnsi="Arial"/>
          <w:sz w:val="16"/>
          <w:szCs w:val="16"/>
          <w:color w:val="auto"/>
        </w:rPr>
        <w:t>”), including the Shares,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covering the Shelf Securities dated May 2,</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2019 in the form first used to confirm sales of the Shares (or in the form first made available to the Underwriters by the Company to meet requests of purchasers pursuant to Rule 173</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Securities Act)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specifically relating to the Shares in the form first used to confirm sales of the Shares (or in the form first made available to the Underwriters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any preliminary form of the Prospectus. 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 forth in Rule 405 under the Securities Act,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documents and pricing information set forth opposite the caption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of Sale Prospectus” in Schedule 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433(h)(5) under the Securities Act that has been made available without restriction to any person. As used herein, the terms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“Basic Prospectus,” “preliminary prospectus,” “Time of Sale Prospectus” and “Prospectus” shall include the documents, if any, incorporated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reference therein as of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the Basic Prospectus, the Time of Sale Prospectus, any preliminary prospectus or the Prospectus shall include all documents subsequently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 deemed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therein.</w:t>
      </w:r>
    </w:p>
    <w:p>
      <w:pPr>
        <w:spacing w:after="0" w:line="211"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Company represents and warrants to and agrees with each of the Underwriters that:</w:t>
      </w:r>
    </w:p>
    <w:p>
      <w:pPr>
        <w:spacing w:after="0" w:line="225" w:lineRule="exact"/>
        <w:rPr>
          <w:sz w:val="20"/>
          <w:szCs w:val="20"/>
          <w:color w:val="auto"/>
        </w:rPr>
      </w:pPr>
    </w:p>
    <w:p>
      <w:pPr>
        <w:ind w:firstLine="444"/>
        <w:spacing w:after="0" w:line="297" w:lineRule="auto"/>
        <w:tabs>
          <w:tab w:leader="none" w:pos="817"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to the Company’s knowledge,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58" w:lineRule="exact"/>
        <w:rPr>
          <w:rFonts w:ascii="Arial" w:cs="Arial" w:eastAsia="Arial" w:hAnsi="Arial"/>
          <w:sz w:val="16"/>
          <w:szCs w:val="16"/>
          <w:color w:val="auto"/>
        </w:rPr>
      </w:pPr>
    </w:p>
    <w:p>
      <w:pPr>
        <w:ind w:right="60" w:firstLine="444"/>
        <w:spacing w:after="0" w:line="271" w:lineRule="auto"/>
        <w:tabs>
          <w:tab w:leader="none" w:pos="831" w:val="left"/>
        </w:tabs>
        <w:numPr>
          <w:ilvl w:val="0"/>
          <w:numId w:val="2"/>
        </w:numPr>
        <w:rPr>
          <w:rFonts w:ascii="Arial" w:cs="Arial" w:eastAsia="Arial" w:hAnsi="Arial"/>
          <w:sz w:val="17"/>
          <w:szCs w:val="17"/>
          <w:color w:val="auto"/>
        </w:rPr>
      </w:pPr>
      <w:r>
        <w:rPr>
          <w:rFonts w:ascii="Arial" w:cs="Arial" w:eastAsia="Arial" w:hAnsi="Arial"/>
          <w:sz w:val="17"/>
          <w:szCs w:val="17"/>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and as of the Closing Date and any Option Closing Date (as defined below)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Managers expressly for use therein.</w:t>
      </w:r>
    </w:p>
    <w:p>
      <w:pPr>
        <w:spacing w:after="0" w:line="178" w:lineRule="exact"/>
        <w:rPr>
          <w:sz w:val="20"/>
          <w:szCs w:val="20"/>
          <w:color w:val="auto"/>
        </w:rPr>
      </w:pPr>
    </w:p>
    <w:p>
      <w:pPr>
        <w:ind w:right="40" w:firstLine="444"/>
        <w:spacing w:after="0" w:line="290" w:lineRule="auto"/>
        <w:tabs>
          <w:tab w:leader="none" w:pos="81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as of the time of such filing,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Managers before first use, the Company has not prepared, used or referred to, and will not, without the Managers’ prior consent, prepare, use or refer to, any free writing prospectus.</w:t>
      </w:r>
    </w:p>
    <w:p>
      <w:pPr>
        <w:spacing w:after="0" w:line="166" w:lineRule="exact"/>
        <w:rPr>
          <w:rFonts w:ascii="Arial" w:cs="Arial" w:eastAsia="Arial" w:hAnsi="Arial"/>
          <w:sz w:val="16"/>
          <w:szCs w:val="16"/>
          <w:color w:val="auto"/>
        </w:rPr>
      </w:pPr>
    </w:p>
    <w:p>
      <w:pPr>
        <w:ind w:firstLine="444"/>
        <w:spacing w:after="0" w:line="297" w:lineRule="auto"/>
        <w:tabs>
          <w:tab w:leader="none" w:pos="82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jurisdiction of its incorporation, has the corporate power and authority to own its property and to conduct its business as described in the Registration Statement, the Time of Sale Prospectus and the Prospectus and to enter into this Agreement; and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The Company does not have any subsidiaries.</w:t>
      </w:r>
    </w:p>
    <w:p>
      <w:pPr>
        <w:spacing w:after="0" w:line="158" w:lineRule="exact"/>
        <w:rPr>
          <w:rFonts w:ascii="Arial" w:cs="Arial" w:eastAsia="Arial" w:hAnsi="Arial"/>
          <w:sz w:val="16"/>
          <w:szCs w:val="16"/>
          <w:color w:val="auto"/>
        </w:rPr>
      </w:pPr>
    </w:p>
    <w:p>
      <w:pPr>
        <w:ind w:left="820" w:hanging="37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7" w:name="page8"/>
    <w:bookmarkEnd w:id="7"/>
    <w:p>
      <w:pPr>
        <w:ind w:left="-20" w:firstLine="444"/>
        <w:spacing w:after="0" w:line="264" w:lineRule="auto"/>
        <w:tabs>
          <w:tab w:leader="none" w:pos="771"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Closing Date and each Option Closing Date, the authorized capital stock of the Company will conform as to legal matters to the description thereof contained in each of the Registration Statement, the Time of Sale Prospectus and the Prospectus and such description conforms to the rights set forth in the instruments defining the same.</w:t>
      </w:r>
    </w:p>
    <w:p>
      <w:pPr>
        <w:spacing w:after="0" w:line="181" w:lineRule="exact"/>
        <w:rPr>
          <w:rFonts w:ascii="Arial" w:cs="Arial" w:eastAsia="Arial" w:hAnsi="Arial"/>
          <w:sz w:val="18"/>
          <w:szCs w:val="18"/>
          <w:color w:val="auto"/>
        </w:rPr>
      </w:pPr>
    </w:p>
    <w:p>
      <w:pPr>
        <w:ind w:left="-20" w:right="20" w:firstLine="444"/>
        <w:spacing w:after="0" w:line="264" w:lineRule="auto"/>
        <w:tabs>
          <w:tab w:leader="none" w:pos="8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 None of the outstanding shares of capital stock of the Company was issued in violation of the preemptive or other similar rights of any securityholder of the Company.</w:t>
      </w:r>
    </w:p>
    <w:p>
      <w:pPr>
        <w:spacing w:after="0" w:line="181" w:lineRule="exact"/>
        <w:rPr>
          <w:rFonts w:ascii="Arial" w:cs="Arial" w:eastAsia="Arial" w:hAnsi="Arial"/>
          <w:sz w:val="18"/>
          <w:szCs w:val="18"/>
          <w:color w:val="auto"/>
        </w:rPr>
      </w:pPr>
    </w:p>
    <w:p>
      <w:pPr>
        <w:ind w:left="-20" w:firstLine="444"/>
        <w:spacing w:after="0" w:line="277" w:lineRule="auto"/>
        <w:tabs>
          <w:tab w:leader="none" w:pos="8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70" w:lineRule="exact"/>
        <w:rPr>
          <w:rFonts w:ascii="Arial" w:cs="Arial" w:eastAsia="Arial" w:hAnsi="Arial"/>
          <w:sz w:val="18"/>
          <w:szCs w:val="18"/>
          <w:color w:val="auto"/>
        </w:rPr>
      </w:pPr>
    </w:p>
    <w:p>
      <w:pPr>
        <w:ind w:left="-20" w:right="20" w:firstLine="444"/>
        <w:spacing w:after="0" w:line="253" w:lineRule="auto"/>
        <w:tabs>
          <w:tab w:leader="none" w:pos="7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that in the case of clauses (i), (iii) and (iv) as would not, individually or in the aggregate, have a material adverse effect on the Company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or foreign jurisdictions or the rules and regulations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offer and sale of the Securities</w:t>
      </w:r>
    </w:p>
    <w:p>
      <w:pPr>
        <w:spacing w:after="0" w:line="197" w:lineRule="exact"/>
        <w:rPr>
          <w:rFonts w:ascii="Arial" w:cs="Arial" w:eastAsia="Arial" w:hAnsi="Arial"/>
          <w:sz w:val="18"/>
          <w:szCs w:val="18"/>
          <w:color w:val="auto"/>
        </w:rPr>
      </w:pPr>
    </w:p>
    <w:p>
      <w:pPr>
        <w:ind w:left="-20" w:right="20" w:firstLine="444"/>
        <w:spacing w:after="0" w:line="264" w:lineRule="auto"/>
        <w:tabs>
          <w:tab w:leader="none" w:pos="7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reasonably likely to result in a prospective material adverse change, in the condition, financial or otherwise, or in the earnings, business or operations of the Company, whether or not arising out of the ordinary course of business, from that set forth in the Time of Sale Prospectus.</w:t>
      </w:r>
    </w:p>
    <w:p>
      <w:pPr>
        <w:spacing w:after="0" w:line="181" w:lineRule="exact"/>
        <w:rPr>
          <w:rFonts w:ascii="Arial" w:cs="Arial" w:eastAsia="Arial" w:hAnsi="Arial"/>
          <w:sz w:val="18"/>
          <w:szCs w:val="18"/>
          <w:color w:val="auto"/>
        </w:rPr>
      </w:pPr>
    </w:p>
    <w:p>
      <w:pPr>
        <w:ind w:left="-20" w:right="200" w:firstLine="444"/>
        <w:spacing w:after="0" w:line="312" w:lineRule="auto"/>
        <w:tabs>
          <w:tab w:leader="none" w:pos="80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accountants who certified the financial statements and supporting schedules included in the Registration Statement, the Time of Sale Prospectus and the Prospectus are independent public accountants as required by the Securities Act, the Exchange Act, the applicable rules and regulations of the Commission under the Securities Act and the Exchange Act, and the Public Company Accounting Oversight Board (United States).</w:t>
      </w:r>
    </w:p>
    <w:p>
      <w:pPr>
        <w:spacing w:after="0" w:line="146" w:lineRule="exact"/>
        <w:rPr>
          <w:rFonts w:ascii="Arial" w:cs="Arial" w:eastAsia="Arial" w:hAnsi="Arial"/>
          <w:sz w:val="16"/>
          <w:szCs w:val="16"/>
          <w:color w:val="auto"/>
        </w:rPr>
      </w:pPr>
    </w:p>
    <w:p>
      <w:pPr>
        <w:ind w:left="-20" w:right="140" w:firstLine="444"/>
        <w:spacing w:after="0" w:line="277" w:lineRule="auto"/>
        <w:tabs>
          <w:tab w:leader="none" w:pos="7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to the Company’s knowledge, threatened to which the Company is a party or to which any of the properties of the Company is subject (i) other than proceedings accurately described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8" w:name="page9"/>
    <w:bookmarkEnd w:id="8"/>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all material respects in the Time of Sale Prospectus and proceedings that would not reasonably be expected to have a material adverse effect on the Company,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58" w:lineRule="exact"/>
        <w:rPr>
          <w:sz w:val="20"/>
          <w:szCs w:val="20"/>
          <w:color w:val="auto"/>
        </w:rPr>
      </w:pPr>
    </w:p>
    <w:p>
      <w:pPr>
        <w:ind w:right="380" w:firstLine="444"/>
        <w:spacing w:after="0" w:line="264" w:lineRule="auto"/>
        <w:tabs>
          <w:tab w:leader="none" w:pos="881"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81" w:lineRule="exact"/>
        <w:rPr>
          <w:rFonts w:ascii="Arial" w:cs="Arial" w:eastAsia="Arial" w:hAnsi="Arial"/>
          <w:sz w:val="18"/>
          <w:szCs w:val="18"/>
          <w:color w:val="auto"/>
        </w:rPr>
      </w:pPr>
    </w:p>
    <w:p>
      <w:pPr>
        <w:ind w:right="40" w:firstLine="444"/>
        <w:spacing w:after="0" w:line="264" w:lineRule="auto"/>
        <w:tabs>
          <w:tab w:leader="none" w:pos="8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81" w:lineRule="exact"/>
        <w:rPr>
          <w:rFonts w:ascii="Arial" w:cs="Arial" w:eastAsia="Arial" w:hAnsi="Arial"/>
          <w:sz w:val="18"/>
          <w:szCs w:val="18"/>
          <w:color w:val="auto"/>
        </w:rPr>
      </w:pPr>
    </w:p>
    <w:p>
      <w:pPr>
        <w:ind w:firstLine="444"/>
        <w:spacing w:after="0" w:line="268" w:lineRule="auto"/>
        <w:tabs>
          <w:tab w:leader="none" w:pos="831"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Time of Sale Prospectus and the Prospectus, or would not, singly or in the aggregate, reasonably be expected to result in a material adverse effect on the Company, (i)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has all permits, authorizations and approvals required under any applicable Environmental Laws and is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and (iv) to the Company’s knowledge, there are no events or circumstances that would reasonably be expected to form the basis of an order for clean-up or remediation, or an action, suit or proceeding by any private party or governmental entity, against or affecting the Company relating to Hazardous Materials or any Environmental Laws.</w:t>
      </w:r>
    </w:p>
    <w:p>
      <w:pPr>
        <w:spacing w:after="0" w:line="185" w:lineRule="exact"/>
        <w:rPr>
          <w:rFonts w:ascii="Arial" w:cs="Arial" w:eastAsia="Arial" w:hAnsi="Arial"/>
          <w:sz w:val="17"/>
          <w:szCs w:val="17"/>
          <w:color w:val="auto"/>
        </w:rPr>
      </w:pPr>
    </w:p>
    <w:p>
      <w:pPr>
        <w:ind w:right="260" w:firstLine="444"/>
        <w:spacing w:after="0" w:line="277" w:lineRule="auto"/>
        <w:tabs>
          <w:tab w:leader="none" w:pos="8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9" w:name="page10"/>
    <w:bookmarkEnd w:id="9"/>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approval, any related constraints on operating activities and any potential liabilities to third parties) which would, singly or in the aggregate, reasonably be expected to have a material adverse effect on the Company.</w:t>
      </w:r>
    </w:p>
    <w:p>
      <w:pPr>
        <w:spacing w:after="0" w:line="170" w:lineRule="exact"/>
        <w:rPr>
          <w:sz w:val="20"/>
          <w:szCs w:val="20"/>
          <w:color w:val="auto"/>
        </w:rPr>
      </w:pPr>
    </w:p>
    <w:p>
      <w:pPr>
        <w:ind w:right="140" w:firstLine="444"/>
        <w:spacing w:after="0" w:line="312" w:lineRule="auto"/>
        <w:tabs>
          <w:tab w:leader="none" w:pos="831" w:val="left"/>
        </w:tabs>
        <w:numPr>
          <w:ilvl w:val="1"/>
          <w:numId w:val="6"/>
        </w:numPr>
        <w:rPr>
          <w:rFonts w:ascii="Arial" w:cs="Arial" w:eastAsia="Arial" w:hAnsi="Arial"/>
          <w:sz w:val="16"/>
          <w:szCs w:val="16"/>
          <w:color w:val="auto"/>
        </w:rPr>
      </w:pPr>
      <w:r>
        <w:rPr>
          <w:rFonts w:ascii="Arial" w:cs="Arial" w:eastAsia="Arial" w:hAnsi="Arial"/>
          <w:sz w:val="16"/>
          <w:szCs w:val="16"/>
          <w:color w:val="auto"/>
        </w:rPr>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46" w:lineRule="exact"/>
        <w:rPr>
          <w:rFonts w:ascii="Arial" w:cs="Arial" w:eastAsia="Arial" w:hAnsi="Arial"/>
          <w:sz w:val="16"/>
          <w:szCs w:val="16"/>
          <w:color w:val="auto"/>
        </w:rPr>
      </w:pPr>
    </w:p>
    <w:p>
      <w:pPr>
        <w:ind w:right="80" w:firstLine="444"/>
        <w:spacing w:after="0" w:line="284" w:lineRule="auto"/>
        <w:tabs>
          <w:tab w:leader="none" w:pos="800" w:val="left"/>
        </w:tabs>
        <w:numPr>
          <w:ilvl w:val="1"/>
          <w:numId w:val="6"/>
        </w:numPr>
        <w:rPr>
          <w:rFonts w:ascii="Arial" w:cs="Arial" w:eastAsia="Arial" w:hAnsi="Arial"/>
          <w:sz w:val="16"/>
          <w:szCs w:val="16"/>
          <w:color w:val="auto"/>
        </w:rPr>
      </w:pPr>
      <w:r>
        <w:rPr>
          <w:rFonts w:ascii="Arial" w:cs="Arial" w:eastAsia="Arial" w:hAnsi="Arial"/>
          <w:sz w:val="16"/>
          <w:szCs w:val="16"/>
          <w:color w:val="auto"/>
        </w:rPr>
        <w:t>(i) None of the Company or any director or officer thereof, or, to the Company’s knowledge, any affiliate, employee, agent or representative of the Company or of any of its affiliates, has taken or has any plans to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its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w:t>
      </w:r>
    </w:p>
    <w:p>
      <w:pPr>
        <w:spacing w:after="0" w:line="1" w:lineRule="exact"/>
        <w:rPr>
          <w:rFonts w:ascii="Arial" w:cs="Arial" w:eastAsia="Arial" w:hAnsi="Arial"/>
          <w:sz w:val="16"/>
          <w:szCs w:val="16"/>
          <w:color w:val="auto"/>
        </w:rPr>
      </w:pPr>
    </w:p>
    <w:p>
      <w:pPr>
        <w:ind w:right="60" w:firstLine="4"/>
        <w:spacing w:after="0" w:line="290"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will not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61" w:lineRule="exact"/>
        <w:rPr>
          <w:rFonts w:ascii="Arial" w:cs="Arial" w:eastAsia="Arial" w:hAnsi="Arial"/>
          <w:sz w:val="17"/>
          <w:szCs w:val="17"/>
          <w:color w:val="auto"/>
        </w:rPr>
      </w:pPr>
    </w:p>
    <w:p>
      <w:pPr>
        <w:ind w:firstLine="444"/>
        <w:spacing w:after="0" w:line="271" w:lineRule="auto"/>
        <w:tabs>
          <w:tab w:leader="none" w:pos="811" w:val="left"/>
        </w:tabs>
        <w:numPr>
          <w:ilvl w:val="1"/>
          <w:numId w:val="7"/>
        </w:numPr>
        <w:rPr>
          <w:rFonts w:ascii="Arial" w:cs="Arial" w:eastAsia="Arial" w:hAnsi="Arial"/>
          <w:sz w:val="17"/>
          <w:szCs w:val="17"/>
          <w:color w:val="auto"/>
        </w:rPr>
      </w:pPr>
      <w:r>
        <w:rPr>
          <w:rFonts w:ascii="Arial" w:cs="Arial" w:eastAsia="Arial" w:hAnsi="Arial"/>
          <w:sz w:val="17"/>
          <w:szCs w:val="17"/>
          <w:color w:val="auto"/>
        </w:rPr>
        <w:t>None of the Company or any director or officer thereof, or, to the Company’s knowledge, any affiliate, employee, agent or representative of the Company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7"/>
          <w:szCs w:val="17"/>
          <w:b w:val="1"/>
          <w:bCs w:val="1"/>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has conducted its businesses in compliance with the FCPA and have instituted and maintain policies and procedures designed to ensure, and which are reasonably expected to continue to ensure, continued compliance therewith.</w:t>
      </w:r>
    </w:p>
    <w:p>
      <w:pPr>
        <w:spacing w:after="0" w:line="178" w:lineRule="exact"/>
        <w:rPr>
          <w:rFonts w:ascii="Arial" w:cs="Arial" w:eastAsia="Arial" w:hAnsi="Arial"/>
          <w:sz w:val="17"/>
          <w:szCs w:val="17"/>
          <w:color w:val="auto"/>
        </w:rPr>
      </w:pPr>
    </w:p>
    <w:p>
      <w:pPr>
        <w:ind w:right="100" w:firstLine="444"/>
        <w:spacing w:after="0" w:line="264" w:lineRule="auto"/>
        <w:tabs>
          <w:tab w:leader="none" w:pos="83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Anti-Money Laundering Laws is pending or, to the best knowledge of the Company, threatened.</w:t>
      </w:r>
    </w:p>
    <w:p>
      <w:pPr>
        <w:spacing w:after="0" w:line="188" w:lineRule="exact"/>
        <w:rPr>
          <w:sz w:val="20"/>
          <w:szCs w:val="20"/>
          <w:color w:val="auto"/>
        </w:rPr>
      </w:pPr>
    </w:p>
    <w:p>
      <w:pPr>
        <w:ind w:firstLine="444"/>
        <w:spacing w:after="0" w:line="277" w:lineRule="auto"/>
        <w:tabs>
          <w:tab w:leader="none" w:pos="831" w:val="left"/>
        </w:tabs>
        <w:numPr>
          <w:ilvl w:val="1"/>
          <w:numId w:val="8"/>
        </w:numPr>
        <w:rPr>
          <w:rFonts w:ascii="Arial" w:cs="Arial" w:eastAsia="Arial" w:hAnsi="Arial"/>
          <w:sz w:val="18"/>
          <w:szCs w:val="18"/>
          <w:color w:val="auto"/>
        </w:rPr>
      </w:pPr>
      <w:r>
        <w:rPr>
          <w:rFonts w:ascii="Arial" w:cs="Arial" w:eastAsia="Arial" w:hAnsi="Arial"/>
          <w:sz w:val="18"/>
          <w:szCs w:val="18"/>
          <w:color w:val="auto"/>
        </w:rPr>
        <w:t>(i) None of the Company any director or officer thereof, nor, to the Company’s knowledge, any employee, agent, affiliate or representative of the Company,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62" w:lineRule="exact"/>
        <w:rPr>
          <w:rFonts w:ascii="Arial" w:cs="Arial" w:eastAsia="Arial" w:hAnsi="Arial"/>
          <w:sz w:val="18"/>
          <w:szCs w:val="18"/>
          <w:color w:val="auto"/>
        </w:rPr>
      </w:pPr>
    </w:p>
    <w:p>
      <w:pPr>
        <w:ind w:left="880" w:right="120" w:firstLine="411"/>
        <w:spacing w:after="0" w:line="264" w:lineRule="auto"/>
        <w:tabs>
          <w:tab w:leader="none" w:pos="1580" w:val="left"/>
        </w:tabs>
        <w:numPr>
          <w:ilvl w:val="3"/>
          <w:numId w:val="8"/>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880" w:right="20" w:firstLine="411"/>
        <w:spacing w:after="0" w:line="277" w:lineRule="auto"/>
        <w:tabs>
          <w:tab w:leader="none" w:pos="1570" w:val="left"/>
        </w:tabs>
        <w:numPr>
          <w:ilvl w:val="3"/>
          <w:numId w:val="8"/>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right="440" w:firstLine="885"/>
        <w:spacing w:after="0" w:line="277" w:lineRule="auto"/>
        <w:tabs>
          <w:tab w:leader="none" w:pos="1146"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880" w:right="140" w:firstLine="411"/>
        <w:spacing w:after="0" w:line="277" w:lineRule="auto"/>
        <w:tabs>
          <w:tab w:leader="none" w:pos="1580" w:val="left"/>
        </w:tabs>
        <w:numPr>
          <w:ilvl w:val="3"/>
          <w:numId w:val="8"/>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880" w:right="200" w:firstLine="411"/>
        <w:spacing w:after="0" w:line="277" w:lineRule="auto"/>
        <w:tabs>
          <w:tab w:leader="none" w:pos="1570" w:val="left"/>
        </w:tabs>
        <w:numPr>
          <w:ilvl w:val="3"/>
          <w:numId w:val="8"/>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right="240" w:firstLine="885"/>
        <w:spacing w:after="0" w:line="342" w:lineRule="auto"/>
        <w:tabs>
          <w:tab w:leader="none" w:pos="1196" w:val="left"/>
        </w:tabs>
        <w:numPr>
          <w:ilvl w:val="2"/>
          <w:numId w:val="8"/>
        </w:numPr>
        <w:rPr>
          <w:rFonts w:ascii="Arial" w:cs="Arial" w:eastAsia="Arial" w:hAnsi="Arial"/>
          <w:sz w:val="16"/>
          <w:szCs w:val="16"/>
          <w:color w:val="auto"/>
        </w:rPr>
      </w:pPr>
      <w:r>
        <w:rPr>
          <w:rFonts w:ascii="Arial" w:cs="Arial" w:eastAsia="Arial" w:hAnsi="Arial"/>
          <w:sz w:val="16"/>
          <w:szCs w:val="16"/>
          <w:color w:val="auto"/>
        </w:rPr>
        <w:t>For the past 5 years, the Company has not knowingly engaged in, are not now knowingly engaged in, and will not engage in, any dealings or transactions with any Person, or in any country or territory, that at the time of the dealing or transaction is or was the subject of Sanctions.</w:t>
      </w:r>
    </w:p>
    <w:p>
      <w:pPr>
        <w:spacing w:after="0" w:line="123" w:lineRule="exact"/>
        <w:rPr>
          <w:rFonts w:ascii="Arial" w:cs="Arial" w:eastAsia="Arial" w:hAnsi="Arial"/>
          <w:sz w:val="16"/>
          <w:szCs w:val="16"/>
          <w:color w:val="auto"/>
        </w:rPr>
      </w:pPr>
    </w:p>
    <w:p>
      <w:pPr>
        <w:ind w:right="200" w:firstLine="444"/>
        <w:spacing w:after="0" w:line="291" w:lineRule="auto"/>
        <w:tabs>
          <w:tab w:leader="none" w:pos="831" w:val="left"/>
        </w:tabs>
        <w:numPr>
          <w:ilvl w:val="1"/>
          <w:numId w:val="8"/>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w:t>
      </w:r>
    </w:p>
    <w:p>
      <w:pPr>
        <w:ind w:right="360" w:firstLine="4"/>
        <w:spacing w:after="0" w:line="255"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not purchased any of its outstanding capital stock (other than pursuant to agreements that permit the Company to repurchase Common Stock upon an employee or service provider’s termination of employment or services or in exercise of the Company’s right of first refusal upon 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transfer), nor declared, paid or otherwise made any dividend or distribution of any kind on its capital stock other than ordinary and customary dividends; and (iii) there has not been any material change in the capital stock, short-term debt or long-term debt of the Company, except in each case as described in each of the Registration Statement, the Time of Sale Prospectus and the Prospectus, respectively.</w:t>
      </w:r>
    </w:p>
    <w:p>
      <w:pPr>
        <w:spacing w:after="0" w:line="166" w:lineRule="exact"/>
        <w:rPr>
          <w:sz w:val="20"/>
          <w:szCs w:val="20"/>
          <w:color w:val="auto"/>
        </w:rPr>
      </w:pPr>
    </w:p>
    <w:p>
      <w:pPr>
        <w:ind w:right="40" w:firstLine="444"/>
        <w:spacing w:after="0" w:line="293" w:lineRule="auto"/>
        <w:tabs>
          <w:tab w:leader="none" w:pos="86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does not own any real property. The Company has good and marketable title to all personal property owned by it that is material to the business of the Company, in each case free and clear of all liens, encumbrances and defects except such as are described in the Time of Sale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to the Company’s knowledge, enforceable leases with such exceptions as are not material and do not materially interfere with the use made and proposed to be made of such property and buildings by the Company, in each case except as described in the Time of Sale Prospectus.</w:t>
      </w:r>
    </w:p>
    <w:p>
      <w:pPr>
        <w:spacing w:after="0" w:line="164" w:lineRule="exact"/>
        <w:rPr>
          <w:rFonts w:ascii="Arial" w:cs="Arial" w:eastAsia="Arial" w:hAnsi="Arial"/>
          <w:sz w:val="16"/>
          <w:szCs w:val="16"/>
          <w:color w:val="auto"/>
        </w:rPr>
      </w:pPr>
    </w:p>
    <w:p>
      <w:pPr>
        <w:ind w:firstLine="444"/>
        <w:spacing w:after="0" w:line="286" w:lineRule="auto"/>
        <w:tabs>
          <w:tab w:leader="none" w:pos="8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owns or possesses, or can acquire on commercially reasonable terms, valid and enforceable rights to use all material patents, patent rights, licenses, inventions, copyrights, know-how (including trade secrets and other unpatented and/or unpatentable proprietary or confidential information, systems or procedures), software, databases, domain names, trademarks, service marks, trade names, and other intellectual property and similar 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reasonably necessary for the conduct of its business as currently conducted or as currently proposed to be conducted. Except as described in the Time of Sale Prospectus, (i) the Company has not received any notice of infringement of or conflict with asserted rights of others with respect to any of the foregoing and (ii) to the Company’s knowledge, the conduct of the Company’s business as currently conducted does not, and the Company’s business as currently proposed to be conducted would not reasonably be expected to, infringe, misappropriate or otherwise violate any such rights of others, which in either case, singly or in the aggregate, if the subject of an unfavorable decision, ruling or finding, would reasonably be expected to have a material adverse effect on the Company. The Company has taken reasonable steps to protect, maintain and safeguard the Intellectual Property owned by or, to the extent the Company has rights to do so, licensed to the Company, including, without limitation, the execution of appropriate nondisclosure and invention assignment agreements. There are no rights of third parties to any of the Intellectual Property owned by the Company, and there is no infringement by third parties of any Intellectual Property owned by or, to the Company’s knowledge, licensed to the Company, except as would not reasonably be expected to have a material adverse effect on the Company. There is no pending or to the Company’s knowledge threatened action, suit, proceeding or claim by others challenging the Company’s rights in or to any Intellectual Property, and the Company is unaware of any facts which could form a reasonable basis for any such action, suit, proceeding or claim.</w:t>
      </w:r>
    </w:p>
    <w:p>
      <w:pPr>
        <w:spacing w:after="0" w:line="168" w:lineRule="exact"/>
        <w:rPr>
          <w:rFonts w:ascii="Arial" w:cs="Arial" w:eastAsia="Arial" w:hAnsi="Arial"/>
          <w:sz w:val="16"/>
          <w:szCs w:val="16"/>
          <w:color w:val="auto"/>
        </w:rPr>
      </w:pPr>
    </w:p>
    <w:p>
      <w:pPr>
        <w:ind w:right="780" w:firstLine="444"/>
        <w:spacing w:after="0" w:line="277" w:lineRule="auto"/>
        <w:tabs>
          <w:tab w:leader="none" w:pos="8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exists, except as described in the Time of Sale Prospectus, or, to the knowledge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2" w:name="page13"/>
    <w:bookmarkEnd w:id="12"/>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imminent; and the Company is not aware of any existing, threatened or imminent labor disturbance by the employees of any of its principal suppliers, manufacturers or contractors (including, without limitation, Thyroid Cytopathology Partners, P.A. (“</w:t>
      </w:r>
      <w:r>
        <w:rPr>
          <w:rFonts w:ascii="Arial" w:cs="Arial" w:eastAsia="Arial" w:hAnsi="Arial"/>
          <w:sz w:val="18"/>
          <w:szCs w:val="18"/>
          <w:b w:val="1"/>
          <w:bCs w:val="1"/>
          <w:color w:val="auto"/>
        </w:rPr>
        <w:t>TCP</w:t>
      </w:r>
      <w:r>
        <w:rPr>
          <w:rFonts w:ascii="Arial" w:cs="Arial" w:eastAsia="Arial" w:hAnsi="Arial"/>
          <w:sz w:val="18"/>
          <w:szCs w:val="18"/>
          <w:color w:val="auto"/>
        </w:rPr>
        <w:t>”)) that would reasonably be expected to have a material adverse effect on the Company.</w:t>
      </w:r>
    </w:p>
    <w:p>
      <w:pPr>
        <w:spacing w:after="0" w:line="181" w:lineRule="exact"/>
        <w:rPr>
          <w:sz w:val="20"/>
          <w:szCs w:val="20"/>
          <w:color w:val="auto"/>
        </w:rPr>
      </w:pPr>
    </w:p>
    <w:p>
      <w:pPr>
        <w:jc w:val="both"/>
        <w:ind w:right="60" w:firstLine="444"/>
        <w:spacing w:after="0" w:line="276" w:lineRule="auto"/>
        <w:tabs>
          <w:tab w:leader="none" w:pos="81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is insured by insurers of recognized financial responsibility against such losses and risks and in such amounts as are, in the reasonable judgment of the Company, prudent and customary in the business in which it is engaged; the Company has not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except as described in the Time of Sale Prospectus.</w:t>
      </w:r>
    </w:p>
    <w:p>
      <w:pPr>
        <w:spacing w:after="0" w:line="173" w:lineRule="exact"/>
        <w:rPr>
          <w:sz w:val="20"/>
          <w:szCs w:val="20"/>
          <w:color w:val="auto"/>
        </w:rPr>
      </w:pPr>
    </w:p>
    <w:p>
      <w:pPr>
        <w:ind w:firstLine="444"/>
        <w:spacing w:after="0" w:line="290" w:lineRule="auto"/>
        <w:tabs>
          <w:tab w:leader="none" w:pos="8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possesses and, to the knowledge of the Company, TCP possesses all licenses, certificates, authorizations, registrations, clearances, approvals, exemptions, certifications, accreditations, provider or supplier numbers and permits (“</w:t>
      </w:r>
      <w:r>
        <w:rPr>
          <w:rFonts w:ascii="Arial" w:cs="Arial" w:eastAsia="Arial" w:hAnsi="Arial"/>
          <w:sz w:val="16"/>
          <w:szCs w:val="16"/>
          <w:b w:val="1"/>
          <w:bCs w:val="1"/>
          <w:color w:val="auto"/>
        </w:rPr>
        <w:t>Permits</w:t>
      </w:r>
      <w:r>
        <w:rPr>
          <w:rFonts w:ascii="Arial" w:cs="Arial" w:eastAsia="Arial" w:hAnsi="Arial"/>
          <w:sz w:val="16"/>
          <w:szCs w:val="16"/>
          <w:color w:val="auto"/>
        </w:rPr>
        <w:t>”) issued by the appropriate federal, state or foreign governmental or regulatory authorities (“</w:t>
      </w:r>
      <w:r>
        <w:rPr>
          <w:rFonts w:ascii="Arial" w:cs="Arial" w:eastAsia="Arial" w:hAnsi="Arial"/>
          <w:sz w:val="16"/>
          <w:szCs w:val="16"/>
          <w:b w:val="1"/>
          <w:bCs w:val="1"/>
          <w:color w:val="auto"/>
        </w:rPr>
        <w:t>Regulatory Authority</w:t>
      </w:r>
      <w:r>
        <w:rPr>
          <w:rFonts w:ascii="Arial" w:cs="Arial" w:eastAsia="Arial" w:hAnsi="Arial"/>
          <w:sz w:val="16"/>
          <w:szCs w:val="16"/>
          <w:color w:val="auto"/>
        </w:rPr>
        <w:t>”) necessary to conduct its business, including, without limitation, all such Permits required by any Regulatory Authority, except where the failure to obtain such Permits would not, singly or in the aggregate, be reasonably expected to have a material adverse effect on the Company; and the Company and, to the knowledge of the Company, TCP, have not received any notice of proceedings relating to the revocation, suspension, limitation or modification of any such Permit nor does the Company have any reason to believe that any such Permit will not be renewed in the future, which, singly or in the aggregate, if the subject of an unfavorable decision, ruling or finding, would reasonably be expected to have a material adverse effect on the Company, except as described in Time of Sale Prospectus.</w:t>
      </w:r>
    </w:p>
    <w:p>
      <w:pPr>
        <w:spacing w:after="0" w:line="166" w:lineRule="exact"/>
        <w:rPr>
          <w:rFonts w:ascii="Arial" w:cs="Arial" w:eastAsia="Arial" w:hAnsi="Arial"/>
          <w:sz w:val="16"/>
          <w:szCs w:val="16"/>
          <w:color w:val="auto"/>
        </w:rPr>
      </w:pPr>
    </w:p>
    <w:p>
      <w:pPr>
        <w:ind w:right="140" w:firstLine="444"/>
        <w:spacing w:after="0" w:line="270" w:lineRule="auto"/>
        <w:tabs>
          <w:tab w:leader="none" w:pos="91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financial statements included or incorporated by reference in the Registration Statement, the Time of Sale Prospectus and the Prospectus, together with the related schedules and notes, comply as to form in all material respects with Regulation S-X under the Securities Act and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involved, except as may be set forth in the related notes included or incorporated by reference in the Time of Sale Prospectus or in the case of unaudited, interim financial statements, subject to the normal year-end adjustments and the exclusion of certain footnotes. The supporting schedules, if any, present fairly, in all material respects, in accordance with GAAP the information required to be stated therein. Except as included therein, no historical or pro forma financial statements or supporting schedules are required to be included or incorporated by reference in the Registration Statement, the Time of Sale Prospectus and the Prospectus under the Securities Act or the rules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3" w:name="page14"/>
    <w:bookmarkEnd w:id="13"/>
    <w:p>
      <w:pPr>
        <w:ind w:right="2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thereunder. All disclosures contained in the Registration Statement, the Time of Sale Prospectus or the Prospectus, or incorporated by reference therein, regarding “non-GAAP financial measures” (as such term is defined by the rules and regulations of the Commission) comply with Regulation G of the Exchange Act, and Item 10 of Regulation S-K, to the extent applicable.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3" w:lineRule="exact"/>
        <w:rPr>
          <w:sz w:val="20"/>
          <w:szCs w:val="20"/>
          <w:color w:val="auto"/>
        </w:rPr>
      </w:pPr>
    </w:p>
    <w:p>
      <w:pPr>
        <w:ind w:firstLine="444"/>
        <w:spacing w:after="0" w:line="270" w:lineRule="auto"/>
        <w:tabs>
          <w:tab w:leader="none" w:pos="89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Registration Statement, the Time of Sale Prospectus or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181" w:lineRule="exact"/>
        <w:rPr>
          <w:rFonts w:ascii="Arial" w:cs="Arial" w:eastAsia="Arial" w:hAnsi="Arial"/>
          <w:sz w:val="17"/>
          <w:szCs w:val="17"/>
          <w:color w:val="auto"/>
        </w:rPr>
      </w:pPr>
    </w:p>
    <w:p>
      <w:pPr>
        <w:ind w:right="80" w:firstLine="444"/>
        <w:spacing w:after="0" w:line="259" w:lineRule="auto"/>
        <w:tabs>
          <w:tab w:leader="none" w:pos="9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stock option plans or other employee compensation plans or pursuant to outstanding options, rights or warrants.</w:t>
      </w:r>
    </w:p>
    <w:p>
      <w:pPr>
        <w:spacing w:after="0" w:line="186" w:lineRule="exact"/>
        <w:rPr>
          <w:rFonts w:ascii="Arial" w:cs="Arial" w:eastAsia="Arial" w:hAnsi="Arial"/>
          <w:sz w:val="18"/>
          <w:szCs w:val="18"/>
          <w:color w:val="auto"/>
        </w:rPr>
      </w:pPr>
    </w:p>
    <w:p>
      <w:pPr>
        <w:ind w:right="280" w:firstLine="444"/>
        <w:spacing w:after="0" w:line="277" w:lineRule="auto"/>
        <w:tabs>
          <w:tab w:leader="none" w:pos="8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does not have any securities rated by any “nationally recognized statistical rating organization,” as such term is defined in Section 3(a)(62) of the Exchange Act.</w:t>
      </w:r>
    </w:p>
    <w:p>
      <w:pPr>
        <w:spacing w:after="0" w:line="170" w:lineRule="exact"/>
        <w:rPr>
          <w:rFonts w:ascii="Arial" w:cs="Arial" w:eastAsia="Arial" w:hAnsi="Arial"/>
          <w:sz w:val="18"/>
          <w:szCs w:val="18"/>
          <w:color w:val="auto"/>
        </w:rPr>
      </w:pPr>
    </w:p>
    <w:p>
      <w:pPr>
        <w:ind w:right="40" w:firstLine="444"/>
        <w:spacing w:after="0" w:line="291" w:lineRule="auto"/>
        <w:tabs>
          <w:tab w:leader="none" w:pos="8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has filed all federal, state, local and foreign tax returns required to be filed through the date of this Agreement or has requested extensions thereof (except where the failure to file would not, individually or in the aggregate, be reasonably expected to have a material adverse effect on the Company) and have paid all taxes required to be paid thereon (except for cases in which the failure to pay would not be reasonably expected to have a material adverse effect on the Company or except as are currently being contested in good faith and for which reserves required by GAAP have been created in the financial statements of the Company), and no unpaid tax deficiency has been determined adversely to the Company which has had (nor does the Company have any notice or knowledge of any unpaid tax deficiency which could reasonably be expected to be determined adversely to the Company and which would reasonably be expected to have) a material adverse effect on the Company.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4" w:name="page15"/>
    <w:bookmarkEnd w:id="14"/>
    <w:p>
      <w:pPr>
        <w:ind w:left="-20" w:right="60" w:firstLine="444"/>
        <w:spacing w:after="0" w:line="279" w:lineRule="auto"/>
        <w:tabs>
          <w:tab w:leader="none" w:pos="891"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time of each sale of the Shares in connection with the offering when the Prospectus is not yet available to prospective purchasers, none of (i) the Time of Sale Prospectus and (ii) any free writing prospectus,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71" w:lineRule="exact"/>
        <w:rPr>
          <w:rFonts w:ascii="Arial" w:cs="Arial" w:eastAsia="Arial" w:hAnsi="Arial"/>
          <w:sz w:val="17"/>
          <w:szCs w:val="17"/>
          <w:color w:val="auto"/>
        </w:rPr>
      </w:pPr>
    </w:p>
    <w:p>
      <w:pPr>
        <w:ind w:left="-20" w:firstLine="444"/>
        <w:spacing w:after="0" w:line="284" w:lineRule="auto"/>
        <w:tabs>
          <w:tab w:leader="none" w:pos="8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to the knowledge of the Company, TCP, have operated and currently are in material compliance with all applicable health care laws, including, without limitation, the federal Anti-Kickback Statute (42 U.S.C. § 1320a-7b(b)), the Physician Payments Sunshine Act (42 U.S.C. § 1320a-7h), the Civil Monetary Penalties Law (42 U.S.C. § 1320a-7a), the civil False Claims Act (31 U.S.C. §§ 3729 et seq.), the criminal False Claims Law (42 U.S.C. § 1320a-7b(a)), the Stark Law (42 U.S.C. § 1395nn), all applicable criminal laws relating to healthcare fraud and abuse, including but not limited to 18 U.S.C. sections 286 and 287, the healthcare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 1320d et seq.), HIPAA, as amended by the Health Information Technology for Economic and Clinical Health Act (42 U.S.C. §§ 17921 et seq.), the exclusion laws (42 U.S.C. § 1320a-7), the Federal Food, Drug, and Cosmetic Act (21 U.S.C. §§ 301 et seq.), Medicare (Title XVIII of the Social Security Act), Medicaid (Title XIX of the Social Security Act), the Clinical Laboratory Improvement Amendments of 1998 (42 U.S.C. § 263a et seq.), and any other applicable similar local, state or federal laws or other applicable laws of federal, state and foreign governmental agencies or bodies engaged in regulation of clinical laboratories, and the applicable regulations promulgated pursuant to all such laws, each as amended from time to time (“</w:t>
      </w:r>
      <w:r>
        <w:rPr>
          <w:rFonts w:ascii="Arial" w:cs="Arial" w:eastAsia="Arial" w:hAnsi="Arial"/>
          <w:sz w:val="16"/>
          <w:szCs w:val="16"/>
          <w:b w:val="1"/>
          <w:bCs w:val="1"/>
          <w:color w:val="auto"/>
        </w:rPr>
        <w:t>Health Care Laws</w:t>
      </w:r>
      <w:r>
        <w:rPr>
          <w:rFonts w:ascii="Arial" w:cs="Arial" w:eastAsia="Arial" w:hAnsi="Arial"/>
          <w:sz w:val="16"/>
          <w:szCs w:val="16"/>
          <w:color w:val="auto"/>
        </w:rPr>
        <w:t>”). To the knowledge of the Company, neither the Company nor any of its officers, directors, employees or agents has engaged in activities which are, as applicable, cause for false claims liability, civil penalties, or mandatory or permissive exclusion from Medicare, Medicaid, or any other state or federal healthcare program (collectively, the “</w:t>
      </w:r>
      <w:r>
        <w:rPr>
          <w:rFonts w:ascii="Arial" w:cs="Arial" w:eastAsia="Arial" w:hAnsi="Arial"/>
          <w:sz w:val="16"/>
          <w:szCs w:val="16"/>
          <w:b w:val="1"/>
          <w:bCs w:val="1"/>
          <w:color w:val="auto"/>
        </w:rPr>
        <w:t>Programs</w:t>
      </w:r>
      <w:r>
        <w:rPr>
          <w:rFonts w:ascii="Arial" w:cs="Arial" w:eastAsia="Arial" w:hAnsi="Arial"/>
          <w:sz w:val="16"/>
          <w:szCs w:val="16"/>
          <w:color w:val="auto"/>
        </w:rPr>
        <w:t>”). Except as disclosed in the Time of Sale Prospectus, neither the Company nor, to the knowledge of the Company, TCP, has received any notice, correspondence or other communication, including notification of any pending or threatened claim, action, suit, audit, survey, proceeding, hearing, enforcement, investigation, arbitration or other action (“</w:t>
      </w:r>
      <w:r>
        <w:rPr>
          <w:rFonts w:ascii="Arial" w:cs="Arial" w:eastAsia="Arial" w:hAnsi="Arial"/>
          <w:sz w:val="16"/>
          <w:szCs w:val="16"/>
          <w:b w:val="1"/>
          <w:bCs w:val="1"/>
          <w:color w:val="auto"/>
        </w:rPr>
        <w:t>Action</w:t>
      </w:r>
      <w:r>
        <w:rPr>
          <w:rFonts w:ascii="Arial" w:cs="Arial" w:eastAsia="Arial" w:hAnsi="Arial"/>
          <w:sz w:val="16"/>
          <w:szCs w:val="16"/>
          <w:color w:val="auto"/>
        </w:rPr>
        <w:t>”) from any Regulatory Authority, of potential or actual non-compliance by, or liability of, the Company or TCP under any Health Care Laws, including, without limitation, FDA Form 483s, Warning Letters, untitled letters, or similar written correspondence from the FDA. To the knowledge of the Company, there are no facts or circumstances that would reasonably be expected to give rise to material liability of the Company under any Health Care Laws. The Company is not party to or has any ongoing reporting obligations pursuant to any corporate integrity agreement, deferred prosecution agreement, monitoring agreement, consent decree, settlement order, plan of correction or similar agreement imposed by any Regulatory Authority. None of the Company or, to the knowledge of the Company, TCP, or the Company’s employees, officers or directors,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15" w:name="page16"/>
    <w:bookmarkEnd w:id="15"/>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the Company, TCP’s employees, officers or directors, has been excluded, suspended or debarred from participation in any Program or, to the knowledge of the Company, is subject to a governmental inquiry, investigation, proceeding, or other similar action that could reasonably be expected to result in debarment, suspension, or exclusion.</w:t>
      </w:r>
    </w:p>
    <w:p>
      <w:pPr>
        <w:spacing w:after="0" w:line="181" w:lineRule="exact"/>
        <w:rPr>
          <w:sz w:val="20"/>
          <w:szCs w:val="20"/>
          <w:color w:val="auto"/>
        </w:rPr>
      </w:pPr>
    </w:p>
    <w:p>
      <w:pPr>
        <w:ind w:firstLine="444"/>
        <w:spacing w:after="0" w:line="289" w:lineRule="auto"/>
        <w:tabs>
          <w:tab w:leader="none" w:pos="8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not received, and is not aware of, any notice from any Regulatory Authority requiring the termination, suspension, clinical hold or material modification of any tests, studies or trials conducted by or on behalf of the Company or in which the Company’s products have participated. The clinical studies and tests and clinical trials conducted by on behalf of the Company or in which the Company’s products participated were and are being conducted in all material respects in accordance with experimental protocols, procedures and controls pursuant to any applicable professional and scientific standards for products and product candidates comparable to those being developed by the Company and all applicable laws, rules, and regulations, and the description of such studies, tests or trials, and the results thereof included in the Registration Statement, the Time of Sale Prospectus and the Prospectus are accurate and complete in all material respects. The Company is not aware of any tests, studies or trials not described in the Registration Statement, the Time of Sale Prospectus and the Prospectus, the results of which reasonably call into question the results of the tests, studies and trials described in the Registration Statement, the Time of Sale Prospectus and the Prospectus.</w:t>
      </w:r>
    </w:p>
    <w:p>
      <w:pPr>
        <w:spacing w:after="0" w:line="166" w:lineRule="exact"/>
        <w:rPr>
          <w:rFonts w:ascii="Arial" w:cs="Arial" w:eastAsia="Arial" w:hAnsi="Arial"/>
          <w:sz w:val="16"/>
          <w:szCs w:val="16"/>
          <w:color w:val="auto"/>
        </w:rPr>
      </w:pPr>
    </w:p>
    <w:p>
      <w:pPr>
        <w:ind w:firstLine="444"/>
        <w:spacing w:after="0" w:line="254" w:lineRule="auto"/>
        <w:tabs>
          <w:tab w:leader="none" w:pos="8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meets all Program requirements and conditions of participation and is a party to valid participation or other agreements required for payment by such Programs and other third-party payor programs. There are no material suspensions, offsets or recoupments of any Program or third-party payor payments being sought, requested or claimed, or to the Company’s knowledge, threatened against the Company. As of the date of this Agreement, the Company has not received any notice of denial of payment or overpayment from any Program or other third-party payor that would, individually or in the aggregate, reasonably be expected to have a material adverse effect on the Company. There is no Action pending or, to the knowledge of the Company, threatened, against the Company which relates to a violation of any applicable legal requirement pertaining to the Programs or which would reasonably be expected to result in the imposition of material penalties, termination or the exclusion of the Company from participation in any Programs.</w:t>
      </w:r>
    </w:p>
    <w:p>
      <w:pPr>
        <w:spacing w:after="0" w:line="192" w:lineRule="exact"/>
        <w:rPr>
          <w:rFonts w:ascii="Arial" w:cs="Arial" w:eastAsia="Arial" w:hAnsi="Arial"/>
          <w:sz w:val="18"/>
          <w:szCs w:val="18"/>
          <w:color w:val="auto"/>
        </w:rPr>
      </w:pPr>
    </w:p>
    <w:p>
      <w:pPr>
        <w:ind w:right="80" w:firstLine="444"/>
        <w:spacing w:after="0" w:line="273" w:lineRule="auto"/>
        <w:tabs>
          <w:tab w:leader="none" w:pos="91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has complied, and is presently in compliance with its privacy policies regarding the collection, use, transfer, storage, protection, disposal and disclosure by the Company of personally identifiable information. The Company has taken commercially reasonable steps to protect its information technology systems and the data used in the operation of its business. The Company has used commercially reasonable efforts to establish, and has established, commercially reasonable disaster recovery and security plans and procedures for its business, including, without limitation, for its information technology systems. To its knowledge, the Company has not experienced a security breach or other compromise of its information technology systems or data requiring notice to any third party under applicable state or federal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ind w:left="-20" w:right="120" w:firstLine="444"/>
        <w:spacing w:after="0" w:line="272" w:lineRule="auto"/>
        <w:tabs>
          <w:tab w:leader="none" w:pos="817"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required under applicable rules, the Company maintains an effective system of disclosure controls and procedures (as defined in Rule 13a-15 under the Exchange Act and the rules and regulations thereunder), that comply with the requirements of the Exchange Act and the rules and regulations thereunder; such disclosure controls and procedures have been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and such disclosure controls and procedures are effective in all material respects.</w:t>
      </w:r>
    </w:p>
    <w:p>
      <w:pPr>
        <w:spacing w:after="0" w:line="177" w:lineRule="exact"/>
        <w:rPr>
          <w:rFonts w:ascii="Arial" w:cs="Arial" w:eastAsia="Arial" w:hAnsi="Arial"/>
          <w:sz w:val="17"/>
          <w:szCs w:val="17"/>
          <w:color w:val="auto"/>
        </w:rPr>
      </w:pPr>
    </w:p>
    <w:p>
      <w:pPr>
        <w:ind w:left="-20" w:right="20" w:firstLine="444"/>
        <w:spacing w:after="0" w:line="302" w:lineRule="auto"/>
        <w:tabs>
          <w:tab w:leader="none" w:pos="9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to the Company’s knowledge, any of the Company’s directors or officers, in their capacities as such, to comply in all material respects with the provisions of the Sarbanes-Oxley Act of 2002 and the rules and regulations promulgated in connection therewith (the “</w:t>
      </w:r>
      <w:r>
        <w:rPr>
          <w:rFonts w:ascii="Arial" w:cs="Arial" w:eastAsia="Arial" w:hAnsi="Arial"/>
          <w:sz w:val="16"/>
          <w:szCs w:val="16"/>
          <w:b w:val="1"/>
          <w:bCs w:val="1"/>
          <w:color w:val="auto"/>
        </w:rPr>
        <w:t>Sarbanes-Oxley Act</w:t>
      </w:r>
      <w:r>
        <w:rPr>
          <w:rFonts w:ascii="Arial" w:cs="Arial" w:eastAsia="Arial" w:hAnsi="Arial"/>
          <w:sz w:val="16"/>
          <w:szCs w:val="16"/>
          <w:color w:val="auto"/>
        </w:rPr>
        <w:t>”) currently applicable to it, and the Company is taking steps to ensure that it will be in compliance with the provisions of the Sarbanes-Oxley Act that are, or will become, applicable to the Company after the date hereof.</w:t>
      </w:r>
    </w:p>
    <w:p>
      <w:pPr>
        <w:spacing w:after="0" w:line="154" w:lineRule="exact"/>
        <w:rPr>
          <w:rFonts w:ascii="Arial" w:cs="Arial" w:eastAsia="Arial" w:hAnsi="Arial"/>
          <w:sz w:val="16"/>
          <w:szCs w:val="16"/>
          <w:color w:val="auto"/>
        </w:rPr>
      </w:pPr>
    </w:p>
    <w:p>
      <w:pPr>
        <w:ind w:left="-20" w:firstLine="444"/>
        <w:spacing w:after="0" w:line="259" w:lineRule="auto"/>
        <w:tabs>
          <w:tab w:leader="none" w:pos="9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statements of the Company filed with the Commission as part of the Registration Statement and included in each of the Registration Statement, the Time of Sale Prospectus and the Prospectus present fairly the financial position of the Company as of the dates indicated therein and the results of its operations and cash flows for the periods specified therein. Such financial statements have been prepared in conformity with GAAP and applied on a consistent basis throughout the periods involved.</w:t>
      </w:r>
    </w:p>
    <w:p>
      <w:pPr>
        <w:spacing w:after="0" w:line="186" w:lineRule="exact"/>
        <w:rPr>
          <w:rFonts w:ascii="Arial" w:cs="Arial" w:eastAsia="Arial" w:hAnsi="Arial"/>
          <w:sz w:val="18"/>
          <w:szCs w:val="18"/>
          <w:color w:val="auto"/>
        </w:rPr>
      </w:pPr>
    </w:p>
    <w:p>
      <w:pPr>
        <w:ind w:left="-20" w:right="20" w:firstLine="444"/>
        <w:spacing w:after="0" w:line="264" w:lineRule="auto"/>
        <w:tabs>
          <w:tab w:leader="none" w:pos="8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statistical, industry related and market related data included in the Registration Statement, the Time of Sale Prospectus and the Prospectus are based on or derived from sources which the Company reasonably and in good faith believes are reliable and are accurate, and such data is consistent with the sources from which they are derived.</w:t>
      </w:r>
    </w:p>
    <w:p>
      <w:pPr>
        <w:spacing w:after="0" w:line="181" w:lineRule="exact"/>
        <w:rPr>
          <w:rFonts w:ascii="Arial" w:cs="Arial" w:eastAsia="Arial" w:hAnsi="Arial"/>
          <w:sz w:val="18"/>
          <w:szCs w:val="18"/>
          <w:color w:val="auto"/>
        </w:rPr>
      </w:pPr>
    </w:p>
    <w:p>
      <w:pPr>
        <w:ind w:left="-20" w:right="140" w:firstLine="444"/>
        <w:spacing w:after="0" w:line="308" w:lineRule="auto"/>
        <w:tabs>
          <w:tab w:leader="none" w:pos="89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are no contracts or documents which are required to be described in the Registration Statement, the Time of Sale Prospectus and the Prospectus or to be filed as exhibits to the Registration Statement which have not been so described and filed as required.</w:t>
      </w:r>
    </w:p>
    <w:p>
      <w:pPr>
        <w:spacing w:after="0" w:line="146" w:lineRule="exact"/>
        <w:rPr>
          <w:rFonts w:ascii="Arial" w:cs="Arial" w:eastAsia="Arial" w:hAnsi="Arial"/>
          <w:sz w:val="17"/>
          <w:szCs w:val="17"/>
          <w:color w:val="auto"/>
        </w:rPr>
      </w:pPr>
    </w:p>
    <w:p>
      <w:pPr>
        <w:ind w:left="900" w:hanging="47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notice of issuance, on The Nasdaq Global Market.</w:t>
      </w:r>
    </w:p>
    <w:p>
      <w:pPr>
        <w:spacing w:after="0" w:line="225" w:lineRule="exact"/>
        <w:rPr>
          <w:rFonts w:ascii="Arial" w:cs="Arial" w:eastAsia="Arial" w:hAnsi="Arial"/>
          <w:sz w:val="18"/>
          <w:szCs w:val="18"/>
          <w:color w:val="auto"/>
        </w:rPr>
      </w:pPr>
    </w:p>
    <w:p>
      <w:pPr>
        <w:ind w:left="-20" w:right="40" w:firstLine="444"/>
        <w:spacing w:after="0" w:line="259"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affiliate of the Company has taken, nor will the Company or, to the Company’s knowledge, any 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60" w:top="274" w:right="439" w:bottom="1440" w:gutter="0" w:footer="0" w:header="0"/>
        </w:sectPr>
      </w:pPr>
    </w:p>
    <w:bookmarkStart w:id="17" w:name="page18"/>
    <w:bookmarkEnd w:id="17"/>
    <w:p>
      <w:pPr>
        <w:ind w:right="180" w:firstLine="444"/>
        <w:spacing w:after="0" w:line="264" w:lineRule="auto"/>
        <w:tabs>
          <w:tab w:leader="none" w:pos="881"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Registration Statement, the Time of Sale Prospectus and the Prospectus, the Company (i) does not have any material lending or other relationship with any banking or lending affiliate of any Underwriter and (ii) does not intend to use any of the proceeds from the sale of the Shares to repay any outstanding debt owed to any affiliate of any Underwriter.</w:t>
      </w:r>
    </w:p>
    <w:p>
      <w:pPr>
        <w:spacing w:after="0" w:line="181" w:lineRule="exact"/>
        <w:rPr>
          <w:rFonts w:ascii="Arial" w:cs="Arial" w:eastAsia="Arial" w:hAnsi="Arial"/>
          <w:sz w:val="18"/>
          <w:szCs w:val="18"/>
          <w:color w:val="auto"/>
        </w:rPr>
      </w:pPr>
    </w:p>
    <w:p>
      <w:pPr>
        <w:ind w:right="160" w:firstLine="444"/>
        <w:spacing w:after="0" w:line="264" w:lineRule="auto"/>
        <w:tabs>
          <w:tab w:leader="none" w:pos="8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disclosed in the Time of Sale Prospectus, there are no contracts, agreements or understandings between the Company and any person that would give rise to a valid claim against the Company or any Underwriter for a brokerage commission, finder’s fee or other like payment in connection with the offering of the Shares contemplated hereby.</w:t>
      </w:r>
    </w:p>
    <w:p>
      <w:pPr>
        <w:spacing w:after="0" w:line="181" w:lineRule="exact"/>
        <w:rPr>
          <w:sz w:val="20"/>
          <w:szCs w:val="20"/>
          <w:color w:val="auto"/>
        </w:rPr>
      </w:pPr>
    </w:p>
    <w:p>
      <w:pPr>
        <w:ind w:firstLine="444"/>
        <w:spacing w:after="0" w:line="259" w:lineRule="auto"/>
        <w:tabs>
          <w:tab w:leader="none" w:pos="75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Agreements to Sell and Purchase. </w:t>
      </w:r>
      <w:r>
        <w:rPr>
          <w:rFonts w:ascii="Arial" w:cs="Arial" w:eastAsia="Arial" w:hAnsi="Arial"/>
          <w:sz w:val="18"/>
          <w:szCs w:val="18"/>
          <w:color w:val="auto"/>
        </w:rPr>
        <w:t>The Company hereby agrees to sell to the several Underwriters, and each Underwriter, upon the basis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herein contained, but subject to the conditions hereinafter stated, agrees, severally and not jointly, to purchase from the Company the respective numbers of Firm Shares set forth in Schedule II hereto opposite its name at the purchase price set forth in Schedule I hereto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the number of Additional Shares set forth in Schedule I hereto at the Purchase Price, provided, however, that the amount paid by the Underwriters for any Additional Shares shall be reduced by an amount per share equal to any dividends declared by the Company and payable on the Firm Shares but not payable on such Additional Shares. The Managers may exercise this right on behalf of the Underwriters in whole or from time to time in part by giving written notice not later than 30 days after the date of the Prospectus.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sales of shares in excess of the number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Managers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spacing w:after="0" w:line="175" w:lineRule="exact"/>
        <w:rPr>
          <w:sz w:val="20"/>
          <w:szCs w:val="20"/>
          <w:color w:val="auto"/>
        </w:rPr>
      </w:pPr>
    </w:p>
    <w:p>
      <w:pPr>
        <w:ind w:right="600" w:firstLine="444"/>
        <w:spacing w:after="0" w:line="277" w:lineRule="auto"/>
        <w:tabs>
          <w:tab w:leader="none" w:pos="75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Company is advised by the Managers that the Underwriters propose to make a public offering of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portions of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8" w:name="page19"/>
    <w:bookmarkEnd w:id="18"/>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after the Registration Statement and this Agreement have become effective as in the Managers’ judgment is advisable. The Company is further advised by the Managers that the Shares are to be offered to the public upon the terms set forth in the Prospectus.</w:t>
      </w:r>
    </w:p>
    <w:p>
      <w:pPr>
        <w:spacing w:after="0" w:line="170" w:lineRule="exact"/>
        <w:rPr>
          <w:sz w:val="20"/>
          <w:szCs w:val="20"/>
          <w:color w:val="auto"/>
        </w:rPr>
      </w:pPr>
    </w:p>
    <w:p>
      <w:pPr>
        <w:ind w:right="20" w:firstLine="444"/>
        <w:spacing w:after="0" w:line="259" w:lineRule="auto"/>
        <w:tabs>
          <w:tab w:leader="none" w:pos="75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on the closing date and time set forth in Schedule I hereto, or at such other time on the same or such other date, not later than the fifth business day thereafter, as may be designated in writing by the Managers. The time and date of such payment are hereinafter referred to as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8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on the date specified in the corresponding notice described in Section 2 or at such other time on the same or on such other date, in any event not later than the tenth business day thereafter, as may be designated in writing by the Managers.</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Firm Shares and the Additional Shares shall be registered in such names and in such denominations as the Managers shall request in writing not later than one full business day prior to the Closing Date or the applicable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87" w:lineRule="exact"/>
        <w:rPr>
          <w:sz w:val="20"/>
          <w:szCs w:val="20"/>
          <w:color w:val="auto"/>
        </w:rPr>
      </w:pPr>
    </w:p>
    <w:p>
      <w:pPr>
        <w:ind w:right="260" w:firstLine="444"/>
        <w:spacing w:after="0" w:line="312" w:lineRule="auto"/>
        <w:tabs>
          <w:tab w:leader="none" w:pos="75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Conditions to the Underwriters’ Obligations</w:t>
      </w:r>
      <w:r>
        <w:rPr>
          <w:rFonts w:ascii="Arial" w:cs="Arial" w:eastAsia="Arial" w:hAnsi="Arial"/>
          <w:sz w:val="16"/>
          <w:szCs w:val="16"/>
          <w:color w:val="auto"/>
        </w:rPr>
        <w:t>. The obligations of the several Underwriters hereunder are subject to the accuracy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of the Company contained herein or in certificates of any officer of the Company delivered pursuant to the provisions hereof, to the performance by the Company of its covenants and other obligations hereunder, and to the following further conditions:</w:t>
      </w:r>
    </w:p>
    <w:p>
      <w:pPr>
        <w:spacing w:after="0" w:line="147" w:lineRule="exact"/>
        <w:rPr>
          <w:sz w:val="20"/>
          <w:szCs w:val="20"/>
          <w:color w:val="auto"/>
        </w:rPr>
      </w:pPr>
    </w:p>
    <w:p>
      <w:pPr>
        <w:ind w:right="100" w:firstLine="444"/>
        <w:spacing w:after="0" w:line="271"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has become effective and, as of the Closing Date, no stop order</w:t>
      </w:r>
      <w:r>
        <w:rPr>
          <w:rFonts w:ascii="Arial" w:cs="Arial" w:eastAsia="Arial" w:hAnsi="Arial"/>
          <w:sz w:val="17"/>
          <w:szCs w:val="17"/>
          <w:i w:val="1"/>
          <w:iCs w:val="1"/>
          <w:color w:val="auto"/>
        </w:rPr>
        <w:t xml:space="preserve"> </w:t>
      </w:r>
      <w:r>
        <w:rPr>
          <w:rFonts w:ascii="Arial" w:cs="Arial" w:eastAsia="Arial" w:hAnsi="Arial"/>
          <w:sz w:val="17"/>
          <w:szCs w:val="17"/>
          <w:color w:val="auto"/>
        </w:rPr>
        <w:t>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A prospectus containing the information omitted pursuant to Rule 430B under the Securities Act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w:t>
      </w:r>
    </w:p>
    <w:p>
      <w:pPr>
        <w:spacing w:after="0" w:line="178" w:lineRule="exact"/>
        <w:rPr>
          <w:rFonts w:ascii="Arial" w:cs="Arial" w:eastAsia="Arial" w:hAnsi="Arial"/>
          <w:sz w:val="17"/>
          <w:szCs w:val="17"/>
          <w:color w:val="auto"/>
        </w:rPr>
      </w:pPr>
    </w:p>
    <w:p>
      <w:pPr>
        <w:ind w:right="100" w:firstLine="444"/>
        <w:spacing w:after="0" w:line="264" w:lineRule="auto"/>
        <w:tabs>
          <w:tab w:leader="none" w:pos="83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The Managers shall have received the opinion and negative assurance letter, each dated as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Fenwick &amp; West LLP, counsel for the Company, in form and substance satisfactory to counsel for the Underwriters, together with signed or reproduced copies of such letter for each of the other Underwriters.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19" w:name="page20"/>
    <w:bookmarkEnd w:id="19"/>
    <w:p>
      <w:pPr>
        <w:ind w:left="-60" w:right="160" w:firstLine="444"/>
        <w:spacing w:after="0" w:line="264"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of Intellectual Property Counsel for the Company</w:t>
      </w:r>
      <w:r>
        <w:rPr>
          <w:rFonts w:ascii="Arial" w:cs="Arial" w:eastAsia="Arial" w:hAnsi="Arial"/>
          <w:sz w:val="18"/>
          <w:szCs w:val="18"/>
          <w:color w:val="auto"/>
        </w:rPr>
        <w:t>. The Managers shall have received the opinion, dated as of the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Wilson, Sonsini, Goodrich &amp; Rosati, P.C., intellectual property counsel for the Company, in form and substance satisfactory to counsel for the Underwriters, together with signed or reproduced copies of such letter for each of the other Underwriters.</w:t>
      </w:r>
    </w:p>
    <w:p>
      <w:pPr>
        <w:spacing w:after="0" w:line="181" w:lineRule="exact"/>
        <w:rPr>
          <w:rFonts w:ascii="Arial" w:cs="Arial" w:eastAsia="Arial" w:hAnsi="Arial"/>
          <w:sz w:val="18"/>
          <w:szCs w:val="18"/>
          <w:color w:val="auto"/>
        </w:rPr>
      </w:pPr>
    </w:p>
    <w:p>
      <w:pPr>
        <w:ind w:left="-60" w:firstLine="444"/>
        <w:spacing w:after="0" w:line="255" w:lineRule="auto"/>
        <w:tabs>
          <w:tab w:leader="none" w:pos="77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The Managers shall have received the opinion, and negative assurance letter, each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of Latham &amp; Watkins LLP, counsel for the Underwriters, together with signed or reproduced copies of such letter for each of the other Underwriters with respect to such matters as the Managers may reasonably request.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Managers. Such counsel may also state that, insofar as such opinion involves factual matters, they have relied, to the extent they deem proper, upon certificates of officers and other representatives of the Company and certificates of public officials.</w:t>
      </w:r>
    </w:p>
    <w:p>
      <w:pPr>
        <w:spacing w:after="0" w:line="189" w:lineRule="exact"/>
        <w:rPr>
          <w:rFonts w:ascii="Arial" w:cs="Arial" w:eastAsia="Arial" w:hAnsi="Arial"/>
          <w:sz w:val="18"/>
          <w:szCs w:val="18"/>
          <w:color w:val="auto"/>
        </w:rPr>
      </w:pPr>
    </w:p>
    <w:p>
      <w:pPr>
        <w:ind w:left="-60" w:right="40" w:firstLine="444"/>
        <w:spacing w:after="0" w:line="289"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There shall not have been, since the date hereof or since the respective dates as of which information is given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or the Time of Sale Prospectus, any material adverse change in the condition, financial or otherwise, or in the earnings, business affairs or business prospects of the Company, whether or not arising in the ordinary course of business, and the Managers shall have received a certificate of the principal executive officer of the Company and of the principal financial officer of the Company, dated as of the Closing Date, to the effect that (i) there has been no such material adverse change, (ii) the representations and warranties of the Company in this Agreement are true and correct with the same force and effect as though expressly made as of the Closing Date, (iii) the Company has complied with all agreements and satisfied all conditions on its part to be performed or satisfied on or prior to the Closing Date, and (iv) no stop order suspending the effectiveness of the Registration Statement under the Securities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66" w:lineRule="exact"/>
        <w:rPr>
          <w:rFonts w:ascii="Arial" w:cs="Arial" w:eastAsia="Arial" w:hAnsi="Arial"/>
          <w:sz w:val="16"/>
          <w:szCs w:val="16"/>
          <w:color w:val="auto"/>
        </w:rPr>
      </w:pPr>
    </w:p>
    <w:p>
      <w:pPr>
        <w:ind w:left="-60" w:right="40" w:firstLine="444"/>
        <w:spacing w:after="0" w:line="302"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Managers shall have received from Ernst &amp; Young LLP a</w:t>
      </w:r>
      <w:r>
        <w:rPr>
          <w:rFonts w:ascii="Arial" w:cs="Arial" w:eastAsia="Arial" w:hAnsi="Arial"/>
          <w:sz w:val="16"/>
          <w:szCs w:val="16"/>
          <w:i w:val="1"/>
          <w:iCs w:val="1"/>
          <w:color w:val="auto"/>
        </w:rPr>
        <w:t xml:space="preserve"> </w:t>
      </w:r>
      <w:r>
        <w:rPr>
          <w:rFonts w:ascii="Arial" w:cs="Arial" w:eastAsia="Arial" w:hAnsi="Arial"/>
          <w:sz w:val="16"/>
          <w:szCs w:val="16"/>
          <w:color w:val="auto"/>
        </w:rPr>
        <w:t>letter, dated such date, in form and substance satisfactory to the Managers,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Time of Sale Prospectus.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500" w:top="274" w:right="499" w:bottom="1440" w:gutter="0" w:footer="0" w:header="0"/>
        </w:sectPr>
      </w:pPr>
    </w:p>
    <w:bookmarkStart w:id="20" w:name="page21"/>
    <w:bookmarkEnd w:id="20"/>
    <w:p>
      <w:pPr>
        <w:jc w:val="both"/>
        <w:ind w:right="140" w:firstLine="444"/>
        <w:spacing w:after="0" w:line="264" w:lineRule="auto"/>
        <w:tabs>
          <w:tab w:leader="none" w:pos="83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Bring-down Comfort Letter</w:t>
      </w:r>
      <w:r>
        <w:rPr>
          <w:rFonts w:ascii="Arial" w:cs="Arial" w:eastAsia="Arial" w:hAnsi="Arial"/>
          <w:sz w:val="18"/>
          <w:szCs w:val="18"/>
          <w:color w:val="auto"/>
        </w:rPr>
        <w:t>. The Managers shall have received from Ernst &amp; Young LLP a letter, dated as of the Closing Date, to the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they reaffirm the statements made in the letter furnished pursuant to subsection (f) of this Section 5, except that the specified date referred to shall be a date not more than three business days prior to the Closing Date.</w:t>
      </w:r>
    </w:p>
    <w:p>
      <w:pPr>
        <w:spacing w:after="0" w:line="181" w:lineRule="exact"/>
        <w:rPr>
          <w:rFonts w:ascii="Arial" w:cs="Arial" w:eastAsia="Arial" w:hAnsi="Arial"/>
          <w:sz w:val="18"/>
          <w:szCs w:val="18"/>
          <w:color w:val="auto"/>
        </w:rPr>
      </w:pPr>
    </w:p>
    <w:p>
      <w:pPr>
        <w:ind w:left="840" w:hanging="396"/>
        <w:spacing w:after="0"/>
        <w:tabs>
          <w:tab w:leader="none" w:pos="8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Approval of Listing</w:t>
      </w:r>
      <w:r>
        <w:rPr>
          <w:rFonts w:ascii="Arial" w:cs="Arial" w:eastAsia="Arial" w:hAnsi="Arial"/>
          <w:sz w:val="17"/>
          <w:szCs w:val="17"/>
          <w:color w:val="auto"/>
        </w:rPr>
        <w:t>. The Shares shall have been approved for listing on The Nasdaq Global Market, subject only to official notice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issuance.</w:t>
      </w:r>
    </w:p>
    <w:p>
      <w:pPr>
        <w:spacing w:after="0" w:line="210" w:lineRule="exact"/>
        <w:rPr>
          <w:rFonts w:ascii="Arial" w:cs="Arial" w:eastAsia="Arial" w:hAnsi="Arial"/>
          <w:sz w:val="17"/>
          <w:szCs w:val="17"/>
          <w:color w:val="auto"/>
        </w:rPr>
      </w:pPr>
    </w:p>
    <w:p>
      <w:pPr>
        <w:jc w:val="both"/>
        <w:ind w:right="40" w:firstLine="444"/>
        <w:spacing w:after="0" w:line="264" w:lineRule="auto"/>
        <w:tabs>
          <w:tab w:leader="none" w:pos="79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If any filing with FINRA under FINRA Rule 5110 is required with respect to the offering of the Shares, FINRA has confirmed</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has not raised any objection with respect to the fairness and reasonableness of the underwriting terms and arrangements relating to the offering of the Shares.</w:t>
      </w:r>
    </w:p>
    <w:p>
      <w:pPr>
        <w:spacing w:after="0" w:line="181" w:lineRule="exact"/>
        <w:rPr>
          <w:rFonts w:ascii="Arial" w:cs="Arial" w:eastAsia="Arial" w:hAnsi="Arial"/>
          <w:sz w:val="18"/>
          <w:szCs w:val="18"/>
          <w:color w:val="auto"/>
        </w:rPr>
      </w:pPr>
    </w:p>
    <w:p>
      <w:pPr>
        <w:ind w:right="340" w:firstLine="444"/>
        <w:spacing w:after="0" w:line="277" w:lineRule="auto"/>
        <w:tabs>
          <w:tab w:leader="none" w:pos="79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Manager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signed by certain stockholders and all of the Company’s directors and executive officers.</w:t>
      </w:r>
    </w:p>
    <w:p>
      <w:pPr>
        <w:spacing w:after="0" w:line="170" w:lineRule="exact"/>
        <w:rPr>
          <w:rFonts w:ascii="Arial" w:cs="Arial" w:eastAsia="Arial" w:hAnsi="Arial"/>
          <w:sz w:val="18"/>
          <w:szCs w:val="18"/>
          <w:color w:val="auto"/>
        </w:rPr>
      </w:pPr>
    </w:p>
    <w:p>
      <w:pPr>
        <w:ind w:right="100" w:firstLine="444"/>
        <w:spacing w:after="0" w:line="259" w:lineRule="auto"/>
        <w:tabs>
          <w:tab w:leader="none" w:pos="83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Conditions to Purchase of Additional Shares</w:t>
      </w:r>
      <w:r>
        <w:rPr>
          <w:rFonts w:ascii="Arial" w:cs="Arial" w:eastAsia="Arial" w:hAnsi="Arial"/>
          <w:sz w:val="18"/>
          <w:szCs w:val="18"/>
          <w:color w:val="auto"/>
        </w:rPr>
        <w:t>. In the event that the Underwriters exercise their option provided in Section 2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Additional Shares, the representations and warranties of the Company contained herein and the statements in any certificates furnished by the Company hereunder shall be true and correct as of each Option Closing Date and, on the relevant Option Closing Date, the Managers shall have received:</w:t>
      </w:r>
    </w:p>
    <w:p>
      <w:pPr>
        <w:spacing w:after="0" w:line="78" w:lineRule="exact"/>
        <w:rPr>
          <w:rFonts w:ascii="Arial" w:cs="Arial" w:eastAsia="Arial" w:hAnsi="Arial"/>
          <w:sz w:val="18"/>
          <w:szCs w:val="18"/>
          <w:color w:val="auto"/>
        </w:rPr>
      </w:pPr>
    </w:p>
    <w:p>
      <w:pPr>
        <w:ind w:left="440" w:right="240" w:firstLine="428"/>
        <w:spacing w:after="0" w:line="264" w:lineRule="auto"/>
        <w:tabs>
          <w:tab w:leader="none" w:pos="1213"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A certificate, dated such Option Closing Date, of the principal executive officer of the Company and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financial officer of the Company confirming that the certificate delivered on the Closing Date pursuant to Section 5(e) hereof remains true and correct as of such Option Closing Date.</w:t>
      </w:r>
    </w:p>
    <w:p>
      <w:pPr>
        <w:spacing w:after="0" w:line="73" w:lineRule="exact"/>
        <w:rPr>
          <w:rFonts w:ascii="Arial" w:cs="Arial" w:eastAsia="Arial" w:hAnsi="Arial"/>
          <w:sz w:val="18"/>
          <w:szCs w:val="18"/>
          <w:color w:val="auto"/>
        </w:rPr>
      </w:pPr>
    </w:p>
    <w:p>
      <w:pPr>
        <w:ind w:left="440" w:right="60" w:firstLine="428"/>
        <w:spacing w:after="0" w:line="259" w:lineRule="auto"/>
        <w:tabs>
          <w:tab w:leader="none" w:pos="1263"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If requested by the Managers, the opinion and negative assurance letter, of Fenwick &amp; West LLP,</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for the Company, in form and substance reasonably satisfactory to counsel for the Underwriters, dated such Option Closing Date, relating to the Additional Shares to be purchased on such Option Closing Date and otherwise to the same effect as the opinion and negative assurance letter required by Section 5(b) hereof.</w:t>
      </w:r>
    </w:p>
    <w:p>
      <w:pPr>
        <w:spacing w:after="0" w:line="78" w:lineRule="exact"/>
        <w:rPr>
          <w:rFonts w:ascii="Arial" w:cs="Arial" w:eastAsia="Arial" w:hAnsi="Arial"/>
          <w:sz w:val="18"/>
          <w:szCs w:val="18"/>
          <w:color w:val="auto"/>
        </w:rPr>
      </w:pPr>
    </w:p>
    <w:p>
      <w:pPr>
        <w:jc w:val="both"/>
        <w:ind w:left="440" w:right="40" w:firstLine="428"/>
        <w:spacing w:after="0" w:line="264" w:lineRule="auto"/>
        <w:tabs>
          <w:tab w:leader="none" w:pos="1313"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Opinion of Intellectual Property Counsel for the Company</w:t>
      </w:r>
      <w:r>
        <w:rPr>
          <w:rFonts w:ascii="Arial" w:cs="Arial" w:eastAsia="Arial" w:hAnsi="Arial"/>
          <w:sz w:val="18"/>
          <w:szCs w:val="18"/>
          <w:color w:val="auto"/>
        </w:rPr>
        <w:t>. If requested by the Managers, the opinion of Wilson, Sonsini, Goodrich &amp;</w:t>
      </w:r>
      <w:r>
        <w:rPr>
          <w:rFonts w:ascii="Arial" w:cs="Arial" w:eastAsia="Arial" w:hAnsi="Arial"/>
          <w:sz w:val="18"/>
          <w:szCs w:val="18"/>
          <w:i w:val="1"/>
          <w:iCs w:val="1"/>
          <w:color w:val="auto"/>
        </w:rPr>
        <w:t xml:space="preserve"> </w:t>
      </w:r>
      <w:r>
        <w:rPr>
          <w:rFonts w:ascii="Arial" w:cs="Arial" w:eastAsia="Arial" w:hAnsi="Arial"/>
          <w:sz w:val="18"/>
          <w:szCs w:val="18"/>
          <w:color w:val="auto"/>
        </w:rPr>
        <w:t>Rosati, P.C., intellectual property counsel for the Company, in form and substance satisfactory to counsel for the Underwriters, dated such Option Closing Date, to the same effect as the opinion required by Section 5(c) hereof.</w:t>
      </w:r>
    </w:p>
    <w:p>
      <w:pPr>
        <w:spacing w:after="0" w:line="73" w:lineRule="exact"/>
        <w:rPr>
          <w:rFonts w:ascii="Arial" w:cs="Arial" w:eastAsia="Arial" w:hAnsi="Arial"/>
          <w:sz w:val="18"/>
          <w:szCs w:val="18"/>
          <w:color w:val="auto"/>
        </w:rPr>
      </w:pPr>
    </w:p>
    <w:p>
      <w:pPr>
        <w:ind w:left="440" w:firstLine="428"/>
        <w:spacing w:after="0" w:line="286" w:lineRule="auto"/>
        <w:tabs>
          <w:tab w:leader="none" w:pos="1303"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Opinion of Counsel for Underwriters</w:t>
      </w:r>
      <w:r>
        <w:rPr>
          <w:rFonts w:ascii="Arial" w:cs="Arial" w:eastAsia="Arial" w:hAnsi="Arial"/>
          <w:sz w:val="17"/>
          <w:szCs w:val="17"/>
          <w:color w:val="auto"/>
        </w:rPr>
        <w:t>. If requested by the Managers, the opinion, and negative assurance letter, of Latham &amp; Watkins</w:t>
      </w:r>
      <w:r>
        <w:rPr>
          <w:rFonts w:ascii="Arial" w:cs="Arial" w:eastAsia="Arial" w:hAnsi="Arial"/>
          <w:sz w:val="17"/>
          <w:szCs w:val="17"/>
          <w:i w:val="1"/>
          <w:iCs w:val="1"/>
          <w:color w:val="auto"/>
        </w:rPr>
        <w:t xml:space="preserve"> </w:t>
      </w:r>
      <w:r>
        <w:rPr>
          <w:rFonts w:ascii="Arial" w:cs="Arial" w:eastAsia="Arial" w:hAnsi="Arial"/>
          <w:sz w:val="17"/>
          <w:szCs w:val="17"/>
          <w:color w:val="auto"/>
        </w:rPr>
        <w:t>LLP counsel for the Underwriters, each dated such Option Closing Date, relating to the Additional Shares to be purchased on such Option Closing Date and otherwise to the same effect as the opinion and negative assurance letter required by Section 5(d) hereof.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 w:name="page22"/>
    <w:bookmarkEnd w:id="21"/>
    <w:p>
      <w:pPr>
        <w:ind w:left="380" w:right="80" w:firstLine="428"/>
        <w:spacing w:after="0" w:line="259" w:lineRule="auto"/>
        <w:tabs>
          <w:tab w:leader="none" w:pos="1193"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Bring-down Comfort Letter</w:t>
      </w:r>
      <w:r>
        <w:rPr>
          <w:rFonts w:ascii="Arial" w:cs="Arial" w:eastAsia="Arial" w:hAnsi="Arial"/>
          <w:sz w:val="18"/>
          <w:szCs w:val="18"/>
          <w:color w:val="auto"/>
        </w:rPr>
        <w:t>. If requested by the Managers, a letter from Ernst &amp; Young LLP, in form and substance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Managers and dated such Option Closing Date, substantially in the same form and substance as the letter furnished to the Managers pursuant to Section 5(f), except that the “specified date” in the letter furnished pursuant to this paragraph shall be a date not more than three business days prior to such Option Closing Date.</w:t>
      </w:r>
    </w:p>
    <w:p>
      <w:pPr>
        <w:spacing w:after="0" w:line="186" w:lineRule="exact"/>
        <w:rPr>
          <w:rFonts w:ascii="Arial" w:cs="Arial" w:eastAsia="Arial" w:hAnsi="Arial"/>
          <w:sz w:val="18"/>
          <w:szCs w:val="18"/>
          <w:color w:val="auto"/>
        </w:rPr>
      </w:pPr>
    </w:p>
    <w:p>
      <w:pPr>
        <w:ind w:left="-60" w:right="40" w:firstLine="444"/>
        <w:spacing w:after="0" w:line="276" w:lineRule="auto"/>
        <w:tabs>
          <w:tab w:leader="none" w:pos="73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On the Closing Date and each Option Closing Date (if any) counsel for the Underwriters shall have been furnished</w:t>
      </w:r>
      <w:r>
        <w:rPr>
          <w:rFonts w:ascii="Arial" w:cs="Arial" w:eastAsia="Arial" w:hAnsi="Arial"/>
          <w:sz w:val="17"/>
          <w:szCs w:val="17"/>
          <w:i w:val="1"/>
          <w:iCs w:val="1"/>
          <w:color w:val="auto"/>
        </w:rPr>
        <w:t xml:space="preserve"> </w:t>
      </w:r>
      <w:r>
        <w:rPr>
          <w:rFonts w:ascii="Arial" w:cs="Arial" w:eastAsia="Arial" w:hAnsi="Arial"/>
          <w:sz w:val="17"/>
          <w:szCs w:val="17"/>
          <w:color w:val="auto"/>
        </w:rPr>
        <w:t>with such documents and opinions as they may reasonably require for the purpose of enabling them to pass upon the issuance and sale of the Shares as herein contemplated, or in order to evidence the accuracy of any of the representations or warranties, or the fulfillment of any of the conditions, herein contained; and all proceedings taken by the Company in connection with the issuance and sale of the Shares as herein contemplated shall be reasonably satisfactory in form and substance to the Managers and counsel for the Underwriters.</w:t>
      </w:r>
    </w:p>
    <w:p>
      <w:pPr>
        <w:spacing w:after="0" w:line="173"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i w:val="1"/>
          <w:iCs w:val="1"/>
          <w:color w:val="auto"/>
        </w:rPr>
        <w:t>Covenants of the Company</w:t>
      </w:r>
      <w:r>
        <w:rPr>
          <w:rFonts w:ascii="Arial" w:cs="Arial" w:eastAsia="Arial" w:hAnsi="Arial"/>
          <w:sz w:val="16"/>
          <w:szCs w:val="16"/>
          <w:color w:val="auto"/>
        </w:rPr>
        <w:t>. The Company covenants with each Underwriter as follows:</w:t>
      </w:r>
    </w:p>
    <w:p>
      <w:pPr>
        <w:spacing w:after="0" w:line="225" w:lineRule="exact"/>
        <w:rPr>
          <w:sz w:val="20"/>
          <w:szCs w:val="20"/>
          <w:color w:val="auto"/>
        </w:rPr>
      </w:pPr>
    </w:p>
    <w:p>
      <w:pPr>
        <w:ind w:left="-60" w:firstLine="444"/>
        <w:spacing w:after="0" w:line="259" w:lineRule="auto"/>
        <w:tabs>
          <w:tab w:leader="none" w:pos="7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furnish to the Managers, without charge, a signed copy of the Registration Statement (including exhibits thereto and documents incorporated by reference therein) and to deliver to each of the Underwriters during the period mentioned in Section 6(e) or 6(f) below, as many copies of the Time of Sale Prospectus, the Prospectus, any documents incorporated by reference therein and any supplements and amendments thereto or to the Registration Statement as the Managers may reasonably request.</w:t>
      </w:r>
    </w:p>
    <w:p>
      <w:pPr>
        <w:spacing w:after="0" w:line="186" w:lineRule="exact"/>
        <w:rPr>
          <w:rFonts w:ascii="Arial" w:cs="Arial" w:eastAsia="Arial" w:hAnsi="Arial"/>
          <w:sz w:val="18"/>
          <w:szCs w:val="18"/>
          <w:color w:val="auto"/>
        </w:rPr>
      </w:pPr>
    </w:p>
    <w:p>
      <w:pPr>
        <w:jc w:val="both"/>
        <w:ind w:left="-60" w:right="100" w:firstLine="444"/>
        <w:spacing w:after="0" w:line="264" w:lineRule="auto"/>
        <w:tabs>
          <w:tab w:leader="none" w:pos="7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Managers a copy of each such proposed amendment or supplement and not to file any such proposed amendment or supplement to which the Managers reasonably object.</w:t>
      </w:r>
    </w:p>
    <w:p>
      <w:pPr>
        <w:spacing w:after="0" w:line="181" w:lineRule="exact"/>
        <w:rPr>
          <w:rFonts w:ascii="Arial" w:cs="Arial" w:eastAsia="Arial" w:hAnsi="Arial"/>
          <w:sz w:val="18"/>
          <w:szCs w:val="18"/>
          <w:color w:val="auto"/>
        </w:rPr>
      </w:pPr>
    </w:p>
    <w:p>
      <w:pPr>
        <w:ind w:left="-60" w:right="120" w:firstLine="444"/>
        <w:spacing w:after="0" w:line="277" w:lineRule="auto"/>
        <w:tabs>
          <w:tab w:leader="none" w:pos="7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furnish to the Managers a copy of each proposed free writing prospectus to be prepared by or on behalf of, used by, or referred to by the Company and not to use or refer to any proposed free writing prospectus to which the Managers reasonably object.</w:t>
      </w:r>
    </w:p>
    <w:p>
      <w:pPr>
        <w:spacing w:after="0" w:line="170" w:lineRule="exact"/>
        <w:rPr>
          <w:rFonts w:ascii="Arial" w:cs="Arial" w:eastAsia="Arial" w:hAnsi="Arial"/>
          <w:sz w:val="18"/>
          <w:szCs w:val="18"/>
          <w:color w:val="auto"/>
        </w:rPr>
      </w:pPr>
    </w:p>
    <w:p>
      <w:pPr>
        <w:ind w:left="-60" w:right="260" w:firstLine="444"/>
        <w:spacing w:after="0" w:line="264" w:lineRule="auto"/>
        <w:tabs>
          <w:tab w:leader="none" w:pos="7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1" w:lineRule="exact"/>
        <w:rPr>
          <w:rFonts w:ascii="Arial" w:cs="Arial" w:eastAsia="Arial" w:hAnsi="Arial"/>
          <w:sz w:val="18"/>
          <w:szCs w:val="18"/>
          <w:color w:val="auto"/>
        </w:rPr>
      </w:pPr>
    </w:p>
    <w:p>
      <w:pPr>
        <w:ind w:left="-60" w:right="780" w:firstLine="444"/>
        <w:spacing w:after="0" w:line="308"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500" w:top="274" w:right="499" w:bottom="1440" w:gutter="0" w:footer="0" w:header="0"/>
        </w:sectPr>
      </w:pPr>
    </w:p>
    <w:bookmarkStart w:id="22" w:name="page23"/>
    <w:bookmarkEnd w:id="22"/>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79" w:lineRule="exact"/>
        <w:rPr>
          <w:sz w:val="20"/>
          <w:szCs w:val="20"/>
          <w:color w:val="auto"/>
        </w:rPr>
      </w:pPr>
    </w:p>
    <w:p>
      <w:pPr>
        <w:ind w:firstLine="444"/>
        <w:spacing w:after="0" w:line="288" w:lineRule="auto"/>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Managers will furnish to the Company) to which Shares may have been sold by the Managers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69" w:lineRule="exact"/>
        <w:rPr>
          <w:rFonts w:ascii="Arial" w:cs="Arial" w:eastAsia="Arial" w:hAnsi="Arial"/>
          <w:sz w:val="16"/>
          <w:szCs w:val="16"/>
          <w:color w:val="auto"/>
        </w:rPr>
      </w:pPr>
    </w:p>
    <w:p>
      <w:pPr>
        <w:ind w:right="660" w:firstLine="444"/>
        <w:spacing w:after="0" w:line="277" w:lineRule="auto"/>
        <w:tabs>
          <w:tab w:leader="none" w:pos="8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endeavor to qualify the Shares for offer and sale under the securities or Blue Sky laws of such jurisdictions as the Managers shall reasonably request.</w:t>
      </w:r>
    </w:p>
    <w:p>
      <w:pPr>
        <w:spacing w:after="0" w:line="170" w:lineRule="exact"/>
        <w:rPr>
          <w:rFonts w:ascii="Arial" w:cs="Arial" w:eastAsia="Arial" w:hAnsi="Arial"/>
          <w:sz w:val="18"/>
          <w:szCs w:val="18"/>
          <w:color w:val="auto"/>
        </w:rPr>
      </w:pPr>
    </w:p>
    <w:p>
      <w:pPr>
        <w:ind w:right="80" w:firstLine="444"/>
        <w:spacing w:after="0" w:line="286" w:lineRule="auto"/>
        <w:tabs>
          <w:tab w:leader="none" w:pos="82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and to the Managers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65" w:lineRule="exact"/>
        <w:rPr>
          <w:rFonts w:ascii="Arial" w:cs="Arial" w:eastAsia="Arial" w:hAnsi="Arial"/>
          <w:sz w:val="17"/>
          <w:szCs w:val="17"/>
          <w:color w:val="auto"/>
        </w:rPr>
      </w:pPr>
    </w:p>
    <w:p>
      <w:pPr>
        <w:ind w:right="60" w:firstLine="444"/>
        <w:spacing w:after="0" w:line="286" w:lineRule="auto"/>
        <w:tabs>
          <w:tab w:leader="none" w:pos="787"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or not the transactions contemplated in this Agreement are consummated or this Agreement is terminated, to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3" w:name="page24"/>
    <w:bookmarkEnd w:id="23"/>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preparation, printing and delivery to the Underwriters of copies of each preliminary prospectus, each free writing prospectus and the Prospectus and any amendments or supplements thereto and any costs associated with electronic delivery of any of the foregoing by the Underwriters to investors, (iii) the preparation, issuance and delivery of the certificates, if any, for the Shares to the Underwriters, including any stock or other transfer taxes and any stamp or other duties payable upon the sale, issuance or delivery of the Shares to the Underwriters, (iv) the fees and disbursements of the Company’s counsel, accountants and other advisors, (v) the qualification of the Shares under securities laws in accordance with the provisions of Section 6(g) hereof, including filing fees and the reasonable and documented fees and disbursements of counsel for the Underwriters in connection therewith and in connection with the preparation of a “Blue Sky Survey” and any supplement thereto (up to a maximum aggregate amount of $2,500 for the reasonable and documented fees and disbursements of counsel for the Underwriters), (vi) the fees and expenses of any transfer agent or registrar for the Shares,</w:t>
      </w:r>
    </w:p>
    <w:p>
      <w:pPr>
        <w:spacing w:after="0" w:line="1" w:lineRule="exact"/>
        <w:rPr>
          <w:sz w:val="20"/>
          <w:szCs w:val="20"/>
          <w:color w:val="auto"/>
        </w:rPr>
      </w:pPr>
    </w:p>
    <w:p>
      <w:pPr>
        <w:ind w:firstLine="4"/>
        <w:spacing w:after="0" w:line="281" w:lineRule="auto"/>
        <w:tabs>
          <w:tab w:leader="none" w:pos="3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costs and expenses of the Company relating to investor presentations on any “road show” undertaken in connection with the marketing of the Shares,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one-half of the cost of aircraft and other transportation chartered in connection with the road show, (viii) the filing fees incident to, and the reasonable and documented fees and disbursements of counsel to the Underwriters in connection with, the review by FINRA of the terms of the sale of the Shares (up to a maximum aggregate amount of $15,000 for the reasonable and documented fees and disbursements of counsel for the Underwriters), (ix) the fees and expenses incurred in connection with the listing of the Shares on The Nasdaq Global Market, and</w:t>
      </w:r>
    </w:p>
    <w:p>
      <w:pPr>
        <w:spacing w:after="0" w:line="4" w:lineRule="exact"/>
        <w:rPr>
          <w:rFonts w:ascii="Arial" w:cs="Arial" w:eastAsia="Arial" w:hAnsi="Arial"/>
          <w:sz w:val="16"/>
          <w:szCs w:val="16"/>
          <w:color w:val="auto"/>
        </w:rPr>
      </w:pPr>
    </w:p>
    <w:p>
      <w:pPr>
        <w:ind w:right="40" w:firstLine="4"/>
        <w:spacing w:after="0" w:line="273"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76" w:lineRule="exact"/>
        <w:rPr>
          <w:rFonts w:ascii="Arial" w:cs="Arial" w:eastAsia="Arial" w:hAnsi="Arial"/>
          <w:sz w:val="17"/>
          <w:szCs w:val="17"/>
          <w:color w:val="auto"/>
        </w:rPr>
      </w:pPr>
    </w:p>
    <w:p>
      <w:pPr>
        <w:ind w:right="100" w:firstLine="444"/>
        <w:spacing w:after="0" w:line="259" w:lineRule="auto"/>
        <w:tabs>
          <w:tab w:leader="none" w:pos="791"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third anniversary of the initial effective date of the Registration Statement occurs before all the Shares have been sold by the Underwriters, prior to the third anniversary to file a new shelf registration statement and to take any other action necessary to permit the public offering of the Shares to continue without interruption; references herein to the Registration Statement shall include the new registration statement declared effective by the Commission or which goes effective automatically upon filing.</w:t>
      </w:r>
    </w:p>
    <w:p>
      <w:pPr>
        <w:spacing w:after="0" w:line="186" w:lineRule="exact"/>
        <w:rPr>
          <w:rFonts w:ascii="Arial" w:cs="Arial" w:eastAsia="Arial" w:hAnsi="Arial"/>
          <w:sz w:val="18"/>
          <w:szCs w:val="18"/>
          <w:color w:val="auto"/>
        </w:rPr>
      </w:pPr>
    </w:p>
    <w:p>
      <w:pPr>
        <w:jc w:val="both"/>
        <w:ind w:right="160" w:firstLine="444"/>
        <w:spacing w:after="0" w:line="286" w:lineRule="auto"/>
        <w:tabs>
          <w:tab w:leader="none" w:pos="831" w:val="left"/>
        </w:tabs>
        <w:numPr>
          <w:ilvl w:val="1"/>
          <w:numId w:val="30"/>
        </w:numPr>
        <w:rPr>
          <w:rFonts w:ascii="Arial" w:cs="Arial" w:eastAsia="Arial" w:hAnsi="Arial"/>
          <w:sz w:val="17"/>
          <w:szCs w:val="17"/>
          <w:color w:val="auto"/>
        </w:rPr>
      </w:pPr>
      <w:r>
        <w:rPr>
          <w:rFonts w:ascii="Arial" w:cs="Arial" w:eastAsia="Arial" w:hAnsi="Arial"/>
          <w:sz w:val="17"/>
          <w:szCs w:val="17"/>
          <w:color w:val="auto"/>
        </w:rPr>
        <w:t>If requested by the Managers, to prepare a final term sheet relating to the offering of the Shares, containing only information that describes the final terms of the offering in a form consented to by the Managers, and to file such final term sheet within the period required by Rule 433(d)(5)(ii) under the Securities Act following the date the final terms have been established for the offering of the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4" w:name="page25"/>
    <w:bookmarkEnd w:id="24"/>
    <w:p>
      <w:pPr>
        <w:ind w:right="420" w:firstLine="444"/>
        <w:spacing w:after="0" w:line="259" w:lineRule="auto"/>
        <w:tabs>
          <w:tab w:leader="none" w:pos="791"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requested by the Managers,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6" w:lineRule="exact"/>
        <w:rPr>
          <w:rFonts w:ascii="Arial" w:cs="Arial" w:eastAsia="Arial" w:hAnsi="Arial"/>
          <w:sz w:val="18"/>
          <w:szCs w:val="18"/>
          <w:color w:val="auto"/>
        </w:rPr>
      </w:pPr>
    </w:p>
    <w:p>
      <w:pPr>
        <w:ind w:right="440" w:firstLine="444"/>
        <w:spacing w:after="0" w:line="277" w:lineRule="auto"/>
        <w:tabs>
          <w:tab w:leader="none" w:pos="8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Shares in all material respects in the manner specified in the Registration Statement and the Time of Sale Prospectus under the heading “Use of Proceeds.”</w:t>
      </w:r>
    </w:p>
    <w:p>
      <w:pPr>
        <w:spacing w:after="0" w:line="170" w:lineRule="exact"/>
        <w:rPr>
          <w:sz w:val="20"/>
          <w:szCs w:val="20"/>
          <w:color w:val="auto"/>
        </w:rPr>
      </w:pPr>
    </w:p>
    <w:p>
      <w:pPr>
        <w:ind w:firstLine="441"/>
        <w:spacing w:after="0" w:line="282" w:lineRule="auto"/>
        <w:rPr>
          <w:sz w:val="20"/>
          <w:szCs w:val="20"/>
          <w:color w:val="auto"/>
        </w:rPr>
      </w:pPr>
      <w:r>
        <w:rPr>
          <w:rFonts w:ascii="Arial" w:cs="Arial" w:eastAsia="Arial" w:hAnsi="Arial"/>
          <w:sz w:val="16"/>
          <w:szCs w:val="16"/>
          <w:color w:val="auto"/>
        </w:rPr>
        <w:t>The Company also covenants with each Underwriter that, without the prior written consent of the Managers identified in Schedule I with the authorization to release this lock-up on behalf of the Underwriters, it will not, during the restricted period set forth in Schedule I hereto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(1) offer, pledge, sell, contract to sell, sell any option or contract to purchase, purchase any option or contract to sell, grant any option, right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sentence shall not apply to (a) the Shares to be sold hereunder, (b) the issuance by the Company of shares of Common Stock upon the exercise of an option or warrant or the conversion of a security outstanding on the date hereof of which the Underwriters have been advised in writing, (c) any shares of Common Stock issued or options to purchase Common Stock or restricted stock units granted pursuant to existing employee benefit plans of the Company referred to in the Registration Statement or the Time of Sale Prospectus; (d) any shares of Common Stock issued pursuant to any existing non-employee director stock plan or dividend reinvestment plan referred to in the Registration Statement and the Time of Sale Prospectus; (e) the sale or issuance of or entry into an agreement providing for the issuance of shares of Common Stock or any security convertible into or exercisable for shares of Common Stock in connection with the acquisition by the Company of the securities, business or assets of another person or entity or pursuant to an employee benefit plan assumed by the Company in connection with such acquisition, or in connection with joint ventures, commercial relationships or other strategic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or other securities to execute and deliver to the Managers, on or prior to such issuance, a lock-up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2" w:lineRule="exact"/>
        <w:rPr>
          <w:sz w:val="20"/>
          <w:szCs w:val="20"/>
          <w:color w:val="auto"/>
        </w:rPr>
      </w:pPr>
    </w:p>
    <w:p>
      <w:pPr>
        <w:ind w:left="5420" w:right="3820" w:hanging="5416"/>
        <w:spacing w:after="0" w:line="433" w:lineRule="auto"/>
        <w:tabs>
          <w:tab w:leader="none" w:pos="2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21</w:t>
      </w:r>
    </w:p>
    <w:p>
      <w:pPr>
        <w:sectPr>
          <w:pgSz w:w="11900" w:h="16838" w:orient="portrait"/>
          <w:cols w:equalWidth="0" w:num="1">
            <w:col w:w="11020"/>
          </w:cols>
          <w:pgMar w:left="440" w:top="274"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existing employee benefit plans of the Company referred to in the Registration Statement and the Time of Sale Prospectus; or</w:t>
      </w:r>
    </w:p>
    <w:p>
      <w:pPr>
        <w:spacing w:after="0" w:line="23" w:lineRule="exact"/>
        <w:rPr>
          <w:sz w:val="20"/>
          <w:szCs w:val="20"/>
          <w:color w:val="auto"/>
        </w:rPr>
      </w:pPr>
    </w:p>
    <w:p>
      <w:pPr>
        <w:ind w:right="160" w:firstLine="4"/>
        <w:spacing w:after="0" w:line="295" w:lineRule="auto"/>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61" w:lineRule="exact"/>
        <w:rPr>
          <w:rFonts w:ascii="Arial" w:cs="Arial" w:eastAsia="Arial" w:hAnsi="Arial"/>
          <w:sz w:val="16"/>
          <w:szCs w:val="16"/>
          <w:color w:val="auto"/>
        </w:rPr>
      </w:pPr>
    </w:p>
    <w:p>
      <w:pPr>
        <w:ind w:right="360" w:firstLine="444"/>
        <w:spacing w:after="0" w:line="286" w:lineRule="auto"/>
        <w:tabs>
          <w:tab w:leader="none" w:pos="756"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65" w:lineRule="exact"/>
        <w:rPr>
          <w:rFonts w:ascii="Arial" w:cs="Arial" w:eastAsia="Arial" w:hAnsi="Arial"/>
          <w:sz w:val="17"/>
          <w:szCs w:val="17"/>
          <w:color w:val="auto"/>
        </w:rPr>
      </w:pPr>
    </w:p>
    <w:p>
      <w:pPr>
        <w:ind w:firstLine="444"/>
        <w:spacing w:after="0" w:line="287" w:lineRule="auto"/>
        <w:tabs>
          <w:tab w:leader="none" w:pos="756"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Indemnity and Contribution. </w:t>
      </w:r>
      <w:r>
        <w:rPr>
          <w:rFonts w:ascii="Arial" w:cs="Arial" w:eastAsia="Arial" w:hAnsi="Arial"/>
          <w:sz w:val="16"/>
          <w:szCs w:val="16"/>
          <w:color w:val="auto"/>
        </w:rPr>
        <w:t>(a) The Company agrees to indemnify and hold harmless each Underwriter, each person, if any, who controls any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Managers expressly for use therein.</w:t>
      </w:r>
    </w:p>
    <w:p>
      <w:pPr>
        <w:spacing w:after="0" w:line="173" w:lineRule="exact"/>
        <w:rPr>
          <w:sz w:val="20"/>
          <w:szCs w:val="20"/>
          <w:color w:val="auto"/>
        </w:rPr>
      </w:pPr>
    </w:p>
    <w:p>
      <w:pPr>
        <w:ind w:firstLine="444"/>
        <w:spacing w:after="0" w:line="255" w:lineRule="auto"/>
        <w:tabs>
          <w:tab w:leader="none" w:pos="8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Managers expressly for use in the Registration Statement, any preliminary prospectus, the Time of Sale Prospectus, any issuer free writing prospectus, road show, or the Prospectus or any amendment or supplement thereto.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6" w:name="page27"/>
    <w:bookmarkEnd w:id="26"/>
    <w:p>
      <w:pPr>
        <w:ind w:left="-60" w:firstLine="444"/>
        <w:spacing w:after="0" w:line="284"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Managers authorized to appoint counsel under this Section set forth in Schedule I hereto,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8" w:lineRule="exact"/>
        <w:rPr>
          <w:rFonts w:ascii="Arial" w:cs="Arial" w:eastAsia="Arial" w:hAnsi="Arial"/>
          <w:sz w:val="16"/>
          <w:szCs w:val="16"/>
          <w:color w:val="auto"/>
        </w:rPr>
      </w:pPr>
    </w:p>
    <w:p>
      <w:pPr>
        <w:jc w:val="both"/>
        <w:ind w:left="-60" w:right="60" w:firstLine="444"/>
        <w:spacing w:after="0" w:line="259" w:lineRule="auto"/>
        <w:tabs>
          <w:tab w:leader="none" w:pos="7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500" w:top="274" w:right="499" w:bottom="1440" w:gutter="0" w:footer="0" w:header="0"/>
        </w:sectPr>
      </w:pPr>
    </w:p>
    <w:bookmarkStart w:id="27" w:name="page28"/>
    <w:bookmarkEnd w:id="2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bear to the aggregate initial public offering price of the Shares set forth in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69" w:lineRule="exact"/>
        <w:rPr>
          <w:sz w:val="20"/>
          <w:szCs w:val="20"/>
          <w:color w:val="auto"/>
        </w:rPr>
      </w:pPr>
    </w:p>
    <w:p>
      <w:pPr>
        <w:ind w:firstLine="444"/>
        <w:spacing w:after="0" w:line="269" w:lineRule="auto"/>
        <w:tabs>
          <w:tab w:leader="none" w:pos="817"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Company and the Underwriters agree that it would not be just or equitable if contribution pursuant to this Section 8 were determined by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allocation (even if the Underwriters were treated as one entity for such purpose) or by any other method of allocation that does not take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82" w:lineRule="exact"/>
        <w:rPr>
          <w:rFonts w:ascii="Arial" w:cs="Arial" w:eastAsia="Arial" w:hAnsi="Arial"/>
          <w:sz w:val="17"/>
          <w:szCs w:val="17"/>
          <w:color w:val="auto"/>
        </w:rPr>
      </w:pPr>
    </w:p>
    <w:p>
      <w:pPr>
        <w:ind w:right="60" w:firstLine="444"/>
        <w:spacing w:after="0" w:line="279" w:lineRule="auto"/>
        <w:tabs>
          <w:tab w:leader="none" w:pos="79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8" w:name="page29"/>
    <w:bookmarkEnd w:id="28"/>
    <w:p>
      <w:pPr>
        <w:ind w:right="60" w:firstLine="444"/>
        <w:spacing w:after="0" w:line="285" w:lineRule="auto"/>
        <w:tabs>
          <w:tab w:leader="none" w:pos="756"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16"/>
          <w:szCs w:val="16"/>
          <w:color w:val="auto"/>
        </w:rPr>
        <w:t>. The Underwriters may terminate this Agreement by notice given by the Managers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NYSE MKT, or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w:t>
      </w:r>
    </w:p>
    <w:p>
      <w:pPr>
        <w:spacing w:after="0" w:line="2" w:lineRule="exact"/>
        <w:rPr>
          <w:rFonts w:ascii="Arial" w:cs="Arial" w:eastAsia="Arial" w:hAnsi="Arial"/>
          <w:sz w:val="16"/>
          <w:szCs w:val="16"/>
          <w:color w:val="auto"/>
        </w:rPr>
      </w:pPr>
    </w:p>
    <w:p>
      <w:pPr>
        <w:ind w:firstLine="4"/>
        <w:spacing w:after="0" w:line="295" w:lineRule="auto"/>
        <w:tabs>
          <w:tab w:leader="none" w:pos="3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moratorium on commercial banking activities shall have been declared by Federal or New York State authorities or (v) there shall have occurred any outbreak or escalation of hostilities, or any change in financial markets, or any calamity or crisis that, in the Managers’ judgment, is material and adverse and which, singly or together with any other event specified in this clause (v), makes it, in the Managers’ judgment, impracticable or inadvisable to proceed with the offer, sale or delivery of the Shares on the terms and in the manner contemplated in the Time of Sale Prospectus or the Prospectus.</w:t>
      </w:r>
    </w:p>
    <w:p>
      <w:pPr>
        <w:spacing w:after="0" w:line="161" w:lineRule="exact"/>
        <w:rPr>
          <w:rFonts w:ascii="Arial" w:cs="Arial" w:eastAsia="Arial" w:hAnsi="Arial"/>
          <w:sz w:val="16"/>
          <w:szCs w:val="16"/>
          <w:color w:val="auto"/>
        </w:rPr>
      </w:pPr>
    </w:p>
    <w:p>
      <w:pPr>
        <w:ind w:left="840" w:hanging="396"/>
        <w:spacing w:after="0"/>
        <w:tabs>
          <w:tab w:leader="none" w:pos="840"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the Managers may specify, to purchase the Shares which such defaulting Underwriter or Underwriters agreed but failed or refused to purchase on such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event shall the number of Shares that any Underwriter has agreed to purchase pursuant to this Agreement be increased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Managers and the Company for the purchase of such Firm Shares are not made within 36 hours after such default, this Agreement shall terminate without liability on the part of any non-defaulting Underwriter or the Company. In any such case either the Managers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9" w:name="page30"/>
    <w:bookmarkEnd w:id="2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93"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8" w:lineRule="exact"/>
        <w:rPr>
          <w:sz w:val="20"/>
          <w:szCs w:val="20"/>
          <w:color w:val="auto"/>
        </w:rPr>
      </w:pPr>
    </w:p>
    <w:p>
      <w:pPr>
        <w:ind w:right="40" w:firstLine="444"/>
        <w:spacing w:after="0" w:line="259" w:lineRule="auto"/>
        <w:tabs>
          <w:tab w:leader="none" w:pos="839"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87" w:lineRule="exact"/>
        <w:rPr>
          <w:sz w:val="20"/>
          <w:szCs w:val="20"/>
          <w:color w:val="auto"/>
        </w:rPr>
      </w:pPr>
    </w:p>
    <w:p>
      <w:pPr>
        <w:ind w:firstLine="444"/>
        <w:spacing w:after="0" w:line="276" w:lineRule="auto"/>
        <w:tabs>
          <w:tab w:leader="none" w:pos="82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73" w:lineRule="exact"/>
        <w:rPr>
          <w:sz w:val="20"/>
          <w:szCs w:val="20"/>
          <w:color w:val="auto"/>
        </w:rPr>
      </w:pPr>
    </w:p>
    <w:p>
      <w:pPr>
        <w:ind w:right="120" w:firstLine="444"/>
        <w:spacing w:after="0" w:line="279" w:lineRule="auto"/>
        <w:tabs>
          <w:tab w:leader="none" w:pos="846"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63" w:lineRule="exact"/>
        <w:rPr>
          <w:sz w:val="20"/>
          <w:szCs w:val="20"/>
          <w:color w:val="auto"/>
        </w:rPr>
      </w:pPr>
    </w:p>
    <w:p>
      <w:pPr>
        <w:ind w:left="440" w:right="40" w:firstLine="4"/>
        <w:spacing w:after="0" w:line="27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0" w:name="page31"/>
    <w:bookmarkEnd w:id="30"/>
    <w:p>
      <w:pPr>
        <w:jc w:val="both"/>
        <w:ind w:left="44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ind w:right="100" w:firstLine="444"/>
        <w:spacing w:after="0" w:line="277" w:lineRule="auto"/>
        <w:tabs>
          <w:tab w:leader="none" w:pos="846"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160" w:firstLine="444"/>
        <w:spacing w:after="0" w:line="277" w:lineRule="auto"/>
        <w:tabs>
          <w:tab w:leader="none" w:pos="846"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160" w:firstLine="444"/>
        <w:spacing w:after="0" w:line="264" w:lineRule="auto"/>
        <w:tabs>
          <w:tab w:leader="none" w:pos="846"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and if to the Underwriters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sent to the Managers at the address set forth in Schedule I hereto; and if to the Company shall be delivered, mailed or sent to the address set forth in Schedule I hereto.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1" w:name="page32"/>
    <w:bookmarkEnd w:id="31"/>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Keith Kennedy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the several Underwriters named in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II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David R. Horn</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-130810</wp:posOffset>
            </wp:positionV>
            <wp:extent cx="26073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SVB Leerink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Ryan A.B. Lindquist</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Ryan A.B. Lindquist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-130810</wp:posOffset>
            </wp:positionV>
            <wp:extent cx="26073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019"/>
          </w:cols>
          <w:pgMar w:left="440" w:top="274" w:right="1440" w:bottom="1440" w:gutter="0" w:footer="0" w:header="0"/>
        </w:sectPr>
      </w:pPr>
    </w:p>
    <w:bookmarkStart w:id="32" w:name="page33"/>
    <w:bookmarkEnd w:id="32"/>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Managers: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Manager authorized to release lock-up under Section 6:</w:t>
      </w:r>
    </w:p>
    <w:p>
      <w:pPr>
        <w:spacing w:after="0" w:line="3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Manager authorized to appoint counsel under Section 8(c):</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File No.: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Time of Sale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Lock-up Restricted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of Shares to be purchased: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Selling Concession: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Reallowance: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Closing Date and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 to Underwriters: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-213360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SVB Leerink LLC</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SVB Leerink LLC</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333-231173</w:t>
      </w:r>
    </w:p>
    <w:p>
      <w:pPr>
        <w:spacing w:after="0" w:line="117" w:lineRule="exact"/>
        <w:rPr>
          <w:sz w:val="20"/>
          <w:szCs w:val="20"/>
          <w:color w:val="auto"/>
        </w:rPr>
      </w:pPr>
    </w:p>
    <w:p>
      <w:pPr>
        <w:ind w:left="800" w:hanging="348"/>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Prospectus dated May 2, 2019 relating to the Shelf Shares.</w:t>
      </w:r>
    </w:p>
    <w:p>
      <w:pPr>
        <w:spacing w:after="0" w:line="130" w:lineRule="exact"/>
        <w:rPr>
          <w:rFonts w:ascii="Arial" w:cs="Arial" w:eastAsia="Arial" w:hAnsi="Arial"/>
          <w:sz w:val="18"/>
          <w:szCs w:val="18"/>
          <w:color w:val="auto"/>
        </w:rPr>
      </w:pPr>
    </w:p>
    <w:p>
      <w:pPr>
        <w:ind w:left="820" w:right="580" w:hanging="368"/>
        <w:spacing w:after="0" w:line="277" w:lineRule="auto"/>
        <w:tabs>
          <w:tab w:leader="none" w:pos="8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preliminary prospectus supplement dated May 2, 2019 relating to the Shares.</w:t>
      </w:r>
    </w:p>
    <w:p>
      <w:pPr>
        <w:spacing w:after="0" w:line="75" w:lineRule="exact"/>
        <w:rPr>
          <w:rFonts w:ascii="Arial" w:cs="Arial" w:eastAsia="Arial" w:hAnsi="Arial"/>
          <w:sz w:val="18"/>
          <w:szCs w:val="18"/>
          <w:color w:val="auto"/>
        </w:rPr>
      </w:pPr>
    </w:p>
    <w:p>
      <w:pPr>
        <w:ind w:left="820" w:right="400" w:hanging="368"/>
        <w:spacing w:after="0" w:line="277" w:lineRule="auto"/>
        <w:tabs>
          <w:tab w:leader="none" w:pos="8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Orally communicated pricing information including price per share and size of offering</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90 days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$0.001 par value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5,500,000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825,000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$21.8550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$23.25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$0.8370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$0.2790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7, 2019, 10:00 a.m.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10022</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Equity Capital Markets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I-1</w:t>
      </w:r>
    </w:p>
    <w:p>
      <w:pPr>
        <w:sectPr>
          <w:pgSz w:w="11900" w:h="16838" w:orient="portrait"/>
          <w:cols w:equalWidth="0" w:num="2">
            <w:col w:w="4680" w:space="720"/>
            <w:col w:w="5620"/>
          </w:cols>
          <w:pgMar w:left="440" w:top="270" w:right="439" w:bottom="1440" w:gutter="0" w:footer="0" w:header="0"/>
        </w:sectPr>
      </w:pPr>
    </w:p>
    <w:bookmarkStart w:id="33" w:name="page34"/>
    <w:bookmarkEnd w:id="33"/>
    <w:p>
      <w:pPr>
        <w:ind w:left="5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p>
    <w:p>
      <w:pPr>
        <w:spacing w:after="0" w:line="13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Attention: Legal Department</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One Federal Street, 37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Boston, Massachusetts 01220</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Attention: John I. Fitzgerald, Esq.</w:t>
      </w:r>
    </w:p>
    <w:p>
      <w:pPr>
        <w:sectPr>
          <w:pgSz w:w="11900" w:h="16838" w:orient="portrait"/>
          <w:cols w:equalWidth="0" w:num="1">
            <w:col w:w="10019"/>
          </w:cols>
          <w:pgMar w:left="440" w:top="503" w:right="1440"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Notices to the Company: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California 94080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157" w:lineRule="exact"/>
        <w:rPr>
          <w:sz w:val="20"/>
          <w:szCs w:val="20"/>
          <w:color w:val="auto"/>
        </w:rPr>
      </w:pPr>
    </w:p>
    <w:p>
      <w:pPr>
        <w:sectPr>
          <w:pgSz w:w="11900" w:h="16838" w:orient="portrait"/>
          <w:cols w:equalWidth="0" w:num="2">
            <w:col w:w="5140" w:space="720"/>
            <w:col w:w="4159"/>
          </w:cols>
          <w:pgMar w:left="440" w:top="503" w:right="1440" w:bottom="1440" w:gutter="0" w:footer="0" w:header="0"/>
          <w:type w:val="continuous"/>
        </w:sectPr>
      </w:pPr>
    </w:p>
    <w:p>
      <w:pPr>
        <w:ind w:left="5400"/>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019"/>
          </w:cols>
          <w:pgMar w:left="440" w:top="503" w:right="1440"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540" w:type="dxa"/>
            <w:vAlign w:val="bottom"/>
            <w:gridSpan w:val="2"/>
          </w:tcPr>
          <w:p>
            <w:pPr>
              <w:ind w:left="34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69"/>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060" w:type="dxa"/>
            <w:vAlign w:val="bottom"/>
            <w:gridSpan w:val="3"/>
          </w:tcPr>
          <w:p>
            <w:pPr>
              <w:jc w:val="center"/>
              <w:ind w:left="3354"/>
              <w:spacing w:after="0"/>
              <w:rPr>
                <w:sz w:val="20"/>
                <w:szCs w:val="20"/>
                <w:color w:val="auto"/>
              </w:rPr>
            </w:pPr>
            <w:r>
              <w:rPr>
                <w:rFonts w:ascii="Arial" w:cs="Arial" w:eastAsia="Arial" w:hAnsi="Arial"/>
                <w:sz w:val="14"/>
                <w:szCs w:val="14"/>
                <w:b w:val="1"/>
                <w:bCs w:val="1"/>
                <w:color w:val="auto"/>
                <w:w w:val="94"/>
              </w:rPr>
              <w:t>Number of Firm Shares</w:t>
            </w:r>
          </w:p>
        </w:tc>
        <w:tc>
          <w:tcPr>
            <w:tcW w:w="0" w:type="dxa"/>
            <w:vAlign w:val="bottom"/>
          </w:tcPr>
          <w:p>
            <w:pPr>
              <w:spacing w:after="0"/>
              <w:rPr>
                <w:sz w:val="1"/>
                <w:szCs w:val="1"/>
                <w:color w:val="auto"/>
              </w:rPr>
            </w:pPr>
          </w:p>
        </w:tc>
      </w:tr>
      <w:tr>
        <w:trPr>
          <w:trHeight w:val="158"/>
        </w:trPr>
        <w:tc>
          <w:tcPr>
            <w:tcW w:w="5980" w:type="dxa"/>
            <w:vAlign w:val="bottom"/>
            <w:gridSpan w:val="3"/>
            <w:vMerge w:val="continue"/>
          </w:tcPr>
          <w:p>
            <w:pPr>
              <w:spacing w:after="0"/>
              <w:rPr>
                <w:sz w:val="13"/>
                <w:szCs w:val="13"/>
                <w:color w:val="auto"/>
              </w:rPr>
            </w:pPr>
          </w:p>
        </w:tc>
        <w:tc>
          <w:tcPr>
            <w:tcW w:w="3520" w:type="dxa"/>
            <w:vAlign w:val="bottom"/>
          </w:tcPr>
          <w:p>
            <w:pPr>
              <w:spacing w:after="0"/>
              <w:rPr>
                <w:sz w:val="13"/>
                <w:szCs w:val="13"/>
                <w:color w:val="auto"/>
              </w:rPr>
            </w:pPr>
          </w:p>
        </w:tc>
        <w:tc>
          <w:tcPr>
            <w:tcW w:w="15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To Be 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35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2,475,000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SVB Leerink LLC</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2,062,500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5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440" w:top="270" w:right="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9429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Managers for the several Underwriters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SVB Leerink LLC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The undersigned, a stockholder, officer and/or director of Veracyte,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understands that Morgan Stanley &amp; Co. LLC and SVB Leerink LLC (the “</w:t>
      </w:r>
      <w:r>
        <w:rPr>
          <w:rFonts w:ascii="Arial" w:cs="Arial" w:eastAsia="Arial" w:hAnsi="Arial"/>
          <w:sz w:val="16"/>
          <w:szCs w:val="16"/>
          <w:b w:val="1"/>
          <w:bCs w:val="1"/>
          <w:color w:val="auto"/>
        </w:rPr>
        <w:t>Managers</w:t>
      </w:r>
      <w:r>
        <w:rPr>
          <w:rFonts w:ascii="Arial" w:cs="Arial" w:eastAsia="Arial" w:hAnsi="Arial"/>
          <w:sz w:val="16"/>
          <w:szCs w:val="16"/>
          <w:color w:val="auto"/>
        </w:rPr>
        <w:t>”) propose to enter into an Underwriting Agreement (the “</w:t>
      </w:r>
      <w:r>
        <w:rPr>
          <w:rFonts w:ascii="Arial" w:cs="Arial" w:eastAsia="Arial" w:hAnsi="Arial"/>
          <w:sz w:val="16"/>
          <w:szCs w:val="16"/>
          <w:b w:val="1"/>
          <w:bCs w:val="1"/>
          <w:color w:val="auto"/>
        </w:rPr>
        <w:t>Underwriting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with the Company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of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Company’s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par value $0.001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that, during the period beginning on the date hereof and ending on the date that is 90 days from the date of the Underwriting Agreement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 undersigned will not, without the prior written consent of the Managers, on behalf of the Underwriters, directly or indirectly, (i) offer,</w:t>
      </w:r>
      <w:r>
        <w:rPr>
          <w:rFonts w:ascii="Arial" w:cs="Arial" w:eastAsia="Arial" w:hAnsi="Arial"/>
          <w:sz w:val="16"/>
          <w:szCs w:val="16"/>
          <w:b w:val="1"/>
          <w:bCs w:val="1"/>
          <w:color w:val="auto"/>
        </w:rPr>
        <w:t xml:space="preserve"> </w:t>
      </w:r>
      <w:r>
        <w:rPr>
          <w:rFonts w:ascii="Arial" w:cs="Arial" w:eastAsia="Arial" w:hAnsi="Arial"/>
          <w:sz w:val="16"/>
          <w:szCs w:val="16"/>
          <w:color w:val="auto"/>
        </w:rPr>
        <w:t>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Arial" w:cs="Arial" w:eastAsia="Arial" w:hAnsi="Arial"/>
          <w:sz w:val="16"/>
          <w:szCs w:val="16"/>
          <w:b w:val="1"/>
          <w:bCs w:val="1"/>
          <w:color w:val="auto"/>
        </w:rPr>
        <w:t>Lock-Up Securities</w:t>
      </w:r>
      <w:r>
        <w:rPr>
          <w:rFonts w:ascii="Arial" w:cs="Arial" w:eastAsia="Arial" w:hAnsi="Arial"/>
          <w:sz w:val="16"/>
          <w:szCs w:val="16"/>
          <w:color w:val="auto"/>
        </w:rPr>
        <w:t>”), or exercise any right with respect to the registration of any of the Lock-Up Securities, or file or cause to be filed any registration statement in connection therewith, under the Securities Act of 1933, as amended,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36" w:name="page37"/>
    <w:bookmarkEnd w:id="36"/>
    <w:p>
      <w:pPr>
        <w:jc w:val="both"/>
        <w:ind w:right="140" w:firstLine="4"/>
        <w:spacing w:after="0" w:line="286" w:lineRule="auto"/>
        <w:tabs>
          <w:tab w:leader="none" w:pos="265" w:val="left"/>
        </w:tabs>
        <w:numPr>
          <w:ilvl w:val="0"/>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or (iii) publicly announce the intention to effect any of the transactions covered in clauses (i) and (ii) above.</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Notwithstanding the foregoing, the undersigned may transfer Lock-Up Securities without the prior written consent of the Managers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follows: (a) transfers of shares of Common Stock or any security convertible into or exercisable or exchangeable for Common Stock (i) as a bona fide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gift or for bona fide estate planning purposes, (ii) to an immediate family member or a trust for the direct or indirect benefit of the undersigned or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immediate family member of the undersigned, or (iii) by will or intestacy, (b) (i) if the undersigned is a partnership, limited liability company,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or other business entity, distributions of shares of Common Stock or any security convertible into or exercisable or exchangeable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limited partners, limited liability company members, stockholders or other equity holders of the undersigned or transfers of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or any security convertible into or exercisable or exchangeable for Common Stock to another corporation, partnership or other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 that controls, is controlled by or is under common control with the undersigned or (ii) if the undersigned is a trust, transfers of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Stock or any security convertible into or exercisable or exchangeable for Common Stock to a trustor, trustee or beneficiary of the trust;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of any transfer or distribution pursuant to clause (a) or (b), (1) each transferee, donee or distributee shall sign and deliver a lock up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substantially in the form of this lock-up agreement and (2) no filing under Section 16(a) of the Securities Exchange Act of 1934,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or other public announcement reporting a reduction in beneficial ownership shall be required or shall be voluntarily made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Lock-Up Period, (c) the transfer of shares of Common Stock or any security convertible into Common Stock to the Company upon a vesting event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securities or upon the exercise of options to purchase the Company’s securities, in each case on a “cashless” or “net exercise” basis 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 tax withholding obligations of the undersigned in connection with such vesting or exercise; provided that, if the undersigned is required to file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 under Section 16(a) of the Exchange Act during the Lock-Up Period in connection with such vesting or exercise the undersigned shall clearly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indicate in the footnotes thereto that the filing relates to the circumstances described in this clause (c) (for the avoidance of doubt, it being understood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any subsequent transfer or distribution of the shares of Common Stock or other securities issued upon any exercise, conversion or vesting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subject to the restrictions set forth in this lock-up agreement), or (d) the transfer of shares of Common Stock or any security convertible into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exercisable or exchangeable for Common Stock that occurs pursuant to a qualified domestic order or in connection with a divorce settlement; </w:t>
      </w:r>
      <w:r>
        <w:rPr>
          <w:rFonts w:ascii="Arial" w:cs="Arial" w:eastAsia="Arial" w:hAnsi="Arial"/>
          <w:sz w:val="16"/>
          <w:szCs w:val="16"/>
          <w:i w:val="1"/>
          <w:iCs w:val="1"/>
          <w:color w:val="auto"/>
        </w:rPr>
        <w:t>provided</w:t>
      </w:r>
    </w:p>
    <w:p>
      <w:pPr>
        <w:spacing w:after="0" w:line="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that (1) each transferee shall sign and deliver a lock-up agreement substantially in the form of this lock-up agreement and (2) no filing under Section 16(a) of the Exchange Act reporting a reduction in beneficial ownership shall be voluntarily made during the Lock-Up Period and, if the undersigned is required to file a report under Section 16(a) of the Exchange Act during the Lock-Up Period, the undersigned shall clearly indicate in the footnotes thereto that the filing relates to the circumstances described in this clause (d).</w:t>
      </w:r>
    </w:p>
    <w:p>
      <w:pPr>
        <w:spacing w:after="0" w:line="190" w:lineRule="exact"/>
        <w:rPr>
          <w:sz w:val="20"/>
          <w:szCs w:val="20"/>
          <w:color w:val="auto"/>
        </w:rPr>
      </w:pPr>
    </w:p>
    <w:p>
      <w:pPr>
        <w:ind w:right="300" w:firstLine="881"/>
        <w:spacing w:after="0" w:line="277" w:lineRule="auto"/>
        <w:rPr>
          <w:sz w:val="20"/>
          <w:szCs w:val="20"/>
          <w:color w:val="auto"/>
        </w:rPr>
      </w:pPr>
      <w:r>
        <w:rPr>
          <w:rFonts w:ascii="Arial" w:cs="Arial" w:eastAsia="Arial" w:hAnsi="Arial"/>
          <w:sz w:val="18"/>
          <w:szCs w:val="18"/>
          <w:color w:val="auto"/>
        </w:rPr>
        <w:t>Furthermore, no provision in this lock-up agreement shall be deemed to restrict or prohibit (1) the transfer of the undersigned’s Lock-Up Securities to the Company in connection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37" w:name="page38"/>
    <w:bookmarkEnd w:id="3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termination of the undersigned’s services to the Company, provided that any filing under Section 16(a) of the Exchange Act made in connection with such transfer shall clearly indicate in the footnotes thereto that the filing relates to the circumstances described in this clause (1); (2) the transfer of Lock-Up Securities pursuant to a bona fide third-party tender offer, merger, consolidation or other similar transaction made to all holders of the Common Stock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lock-up agreement; provided further, that for purposes of clause (2), “change of control” shall mean the consummation of any bona fide third party tender offer, merger, consolidation or other similar transaction the result of which is that any “person” (as defined in Section 13(d)(3) of the Exchange Act), or group of persons, other than the Company or its subsidiaries, becomes the beneficial owner (as defined in Rules 13d-3 and 13d-5 of the Exchange Act) of more than 50% of total voting power of the voting stock of the Company; and (3) the exercise by the undersigned of any option to purchase shares of Common Stock or the vesting and settlement of restricted stock units for shares of Common Stock, pursuant to any stock option or other stock plan or arrangement; provided, however, that the underlying shares of Common Stock shall continue to be subject to the restrictions on transfer set forth in this lock-up agreement.</w:t>
      </w:r>
    </w:p>
    <w:p>
      <w:pPr>
        <w:spacing w:after="0" w:line="180"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Notwithstanding anything herein to the contrary, nothing herein shall prevent the undersigned from establishing a 10b5-1 trading plan that complies with Rule 10b5-1 under the Exchange Act (“</w:t>
      </w:r>
      <w:r>
        <w:rPr>
          <w:rFonts w:ascii="Arial" w:cs="Arial" w:eastAsia="Arial" w:hAnsi="Arial"/>
          <w:sz w:val="17"/>
          <w:szCs w:val="17"/>
          <w:b w:val="1"/>
          <w:bCs w:val="1"/>
          <w:color w:val="auto"/>
        </w:rPr>
        <w:t>10b5-1 Trading Plan</w:t>
      </w:r>
      <w:r>
        <w:rPr>
          <w:rFonts w:ascii="Arial" w:cs="Arial" w:eastAsia="Arial" w:hAnsi="Arial"/>
          <w:sz w:val="17"/>
          <w:szCs w:val="17"/>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and Exchange Commission, or otherwise and (ii) the undersigned does not otherwise voluntarily effect any public filing or report regarding the establishment or amendment of such plan during the Lock-Up Period.</w:t>
      </w:r>
    </w:p>
    <w:p>
      <w:pPr>
        <w:spacing w:after="0" w:line="178" w:lineRule="exact"/>
        <w:rPr>
          <w:sz w:val="20"/>
          <w:szCs w:val="20"/>
          <w:color w:val="auto"/>
        </w:rPr>
      </w:pPr>
    </w:p>
    <w:p>
      <w:pPr>
        <w:ind w:right="140" w:firstLine="881"/>
        <w:spacing w:after="0" w:line="279" w:lineRule="auto"/>
        <w:rPr>
          <w:sz w:val="20"/>
          <w:szCs w:val="20"/>
          <w:color w:val="auto"/>
        </w:rPr>
      </w:pPr>
      <w:r>
        <w:rPr>
          <w:rFonts w:ascii="Arial" w:cs="Arial" w:eastAsia="Arial" w:hAnsi="Arial"/>
          <w:sz w:val="17"/>
          <w:szCs w:val="17"/>
          <w:color w:val="auto"/>
        </w:rPr>
        <w:t>Notwithstanding anything herein to the contrary, nothing herein shall prevent the undersigned from sales of Common Stock made pursuant to a 10b5-1 Trading Plan entered into prior to the date of this lock-up agreement, provided that to the extent a public announcement or filing under the Exchange Act, if any, is required of or voluntary made by on or on behalf of the undersigned or the Company regarding any such sales, such announcement or filing shall include a statement to the effect that any sales were effected pursuant to such 10b5-1 Trading Plan.</w:t>
      </w:r>
    </w:p>
    <w:p>
      <w:pPr>
        <w:spacing w:after="0" w:line="171"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In addition, the undersigned agrees that, without the prior written consent of the Managers, on behalf of the Underwriters, it will not, during the Lock-Up Period, make any demand for or exercise any right with respect to, the registration of any Lock-Up Securities.</w:t>
      </w:r>
    </w:p>
    <w:p>
      <w:pPr>
        <w:spacing w:after="0" w:line="170"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Lock-Up Securities except in compliance with the foregoing restrictions.</w:t>
      </w:r>
    </w:p>
    <w:p>
      <w:pPr>
        <w:spacing w:after="0" w:line="170" w:lineRule="exact"/>
        <w:rPr>
          <w:sz w:val="20"/>
          <w:szCs w:val="20"/>
          <w:color w:val="auto"/>
        </w:rPr>
      </w:pPr>
    </w:p>
    <w:p>
      <w:pPr>
        <w:ind w:right="420" w:firstLine="881"/>
        <w:spacing w:after="0" w:line="277" w:lineRule="auto"/>
        <w:rPr>
          <w:sz w:val="20"/>
          <w:szCs w:val="20"/>
          <w:color w:val="auto"/>
        </w:rPr>
      </w:pPr>
      <w:r>
        <w:rPr>
          <w:rFonts w:ascii="Arial" w:cs="Arial" w:eastAsia="Arial" w:hAnsi="Arial"/>
          <w:sz w:val="18"/>
          <w:szCs w:val="18"/>
          <w:color w:val="auto"/>
        </w:rPr>
        <w:t>In the event that either of the Managers withdraws from or declines to participate in the Public Offering, all references to the Managers contained in this letter shall be deemed to refer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38" w:name="page39"/>
    <w:bookmarkEnd w:id="38"/>
    <w:p>
      <w:pPr>
        <w:ind w:right="16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sole Manager that continues to participate in the Public Offering (the “</w:t>
      </w:r>
      <w:r>
        <w:rPr>
          <w:rFonts w:ascii="Arial" w:cs="Arial" w:eastAsia="Arial" w:hAnsi="Arial"/>
          <w:sz w:val="18"/>
          <w:szCs w:val="18"/>
          <w:b w:val="1"/>
          <w:bCs w:val="1"/>
          <w:color w:val="auto"/>
        </w:rPr>
        <w:t>Sole Manager</w:t>
      </w:r>
      <w:r>
        <w:rPr>
          <w:rFonts w:ascii="Arial" w:cs="Arial" w:eastAsia="Arial" w:hAnsi="Arial"/>
          <w:sz w:val="18"/>
          <w:szCs w:val="18"/>
          <w:color w:val="auto"/>
        </w:rPr>
        <w:t>”) and this lock-up agreement shall remain in full force and effect. In such event, any written consent, waiver or notice given or delivered in connection with this letter by the Sole Manager shall be deemed to be sufficient and effective for all purposes under this lock-up agreement.</w:t>
      </w:r>
    </w:p>
    <w:p>
      <w:pPr>
        <w:spacing w:after="0" w:line="180"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This lock-up agreement shall automatically terminate, and the undersigned shall be released from the undersigned’s obligations hereunder, upon the earliest to occur, if any, of (i) prior to the execution of the Underwriting Agreement, the Company advises the Managers in writing that it has determined not to proceed with the Public Offering; (ii) the Underwriting Agreement is executed but is terminated prior to the closing of the Public Offering (other than the provisions thereof which survive termination), or (iii) May 31, 2019, in the event that the Underwriting Agreement has not been executed by such date.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80"/>
          </w:cols>
          <w:pgMar w:left="440" w:top="270" w:right="479" w:bottom="1440" w:gutter="0" w:footer="0" w:header="0"/>
        </w:sectPr>
      </w:pPr>
    </w:p>
    <w:bookmarkStart w:id="39" w:name="page40"/>
    <w:bookmarkEnd w:id="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If not signing in an individual capacity:</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(indicate capacity of person signing if signing as custodian,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trustee, or on behalf of an entity)</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9920"/>
          </w:cols>
          <w:pgMar w:left="1440" w:top="274" w:right="5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172085</wp:posOffset>
            </wp:positionV>
            <wp:extent cx="2958465" cy="797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5846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We deliver this opinion with respect to certain matters in connection with the offering by Veracyte,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up to 6,325,000 shares of the Company’s Common Stock, par value $0.001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to be issued pursuant to that certain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xml:space="preserve">”), dated as of even date herewith, by and among the Company and Morgan Stanley &amp; Co. LLC and SVB Leerink LLC, as representatives of the underwriters named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thereto. The Shares were registered pursuant to the Registration Statement on Form S-3 (File No. 333- 231173)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May 2, 2019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the prospectus dated May 2, 2019 included therein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the related prospectus supplement dated May 2, 2019, filed with the Commission pursuant to Rule 424(b) under the Securities Act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Shares are to be sold by the Company as described in the Registration Statement, the Prospectus and the Underwriting Agreement.</w:t>
      </w:r>
    </w:p>
    <w:p>
      <w:pPr>
        <w:spacing w:after="0" w:line="167"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In connection with our opinion expressed below we have examined originals or copies of the Company’s Restated Certificate of Incorporation filed with, and certified by, the Delaware Secretary of State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the Company’s Amended and Restated Bylaws (the “</w:t>
      </w:r>
      <w:r>
        <w:rPr>
          <w:rFonts w:ascii="Arial" w:cs="Arial" w:eastAsia="Arial" w:hAnsi="Arial"/>
          <w:sz w:val="18"/>
          <w:szCs w:val="18"/>
          <w:b w:val="1"/>
          <w:bCs w:val="1"/>
          <w:i w:val="1"/>
          <w:iCs w:val="1"/>
          <w:color w:val="auto"/>
        </w:rPr>
        <w:t>Restated Bylaws</w:t>
      </w:r>
      <w:r>
        <w:rPr>
          <w:rFonts w:ascii="Arial" w:cs="Arial" w:eastAsia="Arial" w:hAnsi="Arial"/>
          <w:sz w:val="18"/>
          <w:szCs w:val="18"/>
          <w:color w:val="auto"/>
        </w:rPr>
        <w:t>”), the Registration Statement, together with the Exhibits filed as a part thereof and all other documents incorporated therein by reference, the Prospectus, certain corporate proceedings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or a committee or committees thereof and the Company’s stockholders relating to the Registration Statement, and such other agreements, documents, certificates and statements of the Company, its transfer agent and public or government officials, as we have deemed advisable, and have examined such questions of law as we have considered necessary.</w:t>
      </w:r>
    </w:p>
    <w:p>
      <w:pPr>
        <w:spacing w:after="0" w:line="189"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We have assumed the authenticity of all documents submitted to us as originals, the genuineness of all signatures on documents submitted to us, the conformity to originals and completeness of all documents submitted to us as copies, the legal capacity of all persons or entities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May 2, 2019 and a management certificate addressed to us and dated of even date herewith executed by the Company containing certain factual representations by the Company.</w:t>
      </w:r>
    </w:p>
    <w:p>
      <w:pPr>
        <w:sectPr>
          <w:pgSz w:w="11900" w:h="16838" w:orient="portrait"/>
          <w:cols w:equalWidth="0" w:num="1">
            <w:col w:w="11020"/>
          </w:cols>
          <w:pgMar w:left="440" w:top="121" w:right="439" w:bottom="1440" w:gutter="0" w:footer="0" w:header="0"/>
        </w:sectPr>
      </w:pPr>
    </w:p>
    <w:bookmarkStart w:id="41" w:name="page42"/>
    <w:bookmarkEnd w:id="41"/>
    <w:p>
      <w:pPr>
        <w:ind w:right="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render this opinion only with respect to, and express no opinion herein concerning the application or effect of any laws other than, the existing Delaware General Corporation Law.</w:t>
      </w:r>
    </w:p>
    <w:p>
      <w:pPr>
        <w:spacing w:after="0" w:line="1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In connection with our opinions expressed below, we have assumed that, (i) at or prior to the time of the issuance and delivery of any of the Shares, there will not have occurred any change in the law or the facts affecting the validity of the Shares, any change in actions of the Board or the Company’s stockholders, or any amendments to the Restated Certificate or Restated Bylaws, and (ii) at the time of the offer, issuance and sale of any Shares, no stop order suspending the Registration Statement’s effectiveness will have been issued and remain in effect, and that the Registration Statement will not have been modified or rescinded. We also have assumed that the issuance and delivery of the Shares subsequent to the date hereof and the compliance by the Company with the terms of such Shares will not result in a violation of the Restated Certificate or any provision of any instrument or agreement then binding upon the Company or any restriction imposed by any court or governmental body then having jurisdiction over the Company.</w:t>
      </w:r>
    </w:p>
    <w:p>
      <w:pPr>
        <w:spacing w:after="0" w:line="192"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Based upon the foregoing, we are of the opinion that when the Shares are issued, sold and delivered in the manner and for the consideration stated in the Registration Statement, the Prospectus and the resolutions adopted by the Board or a committee thereof referenced above, such Shares will be validly issued, fully paid and nonassessable.</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We consent to the use of this opinion as an exhibit to the Form 8-K and further consent to all references to us, if any, in the Registration Statement, the Prospectus and any amendments or supplements thereto.</w:t>
      </w:r>
    </w:p>
    <w:p>
      <w:pPr>
        <w:spacing w:after="0" w:line="170"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This opinion is intended solely for use in connection with the issuance and sale of the Shares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8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 Fenwick &amp; West LLP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172085</wp:posOffset>
            </wp:positionV>
            <wp:extent cx="1115060" cy="737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50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Pricing of Public Offering of 5,500,000 Shares of Common Stock</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SOUTH SAN FRANCISCO, Calif.—(BUSINESS WIRE)—May 2, 2019—Veracyte, Inc. (Nasdaq: VCYT) (the “Company”) today announced the pricing of an underwritten public offering of 5,500,000 shares of its common stock at a public offering price of $23.25 per share. The gross proceeds to the Company from this offering, before deducting underwriting discounts and commissions and offering expenses payable by Veracyte, are expected to be $127.9 million. All of the shares are being offered by the Company. The offering is expected to close on or about May 7, 2019, subject to customary closing conditions. In addition, the Company granted to the underwriters participating in the offering a 30-day option to purchase up to an additional 825,000 shares of its common stock at the public offering price, less underwriting discounts and commissions.</w:t>
      </w:r>
    </w:p>
    <w:p>
      <w:pPr>
        <w:spacing w:after="0" w:line="16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Veracyte intends to use the net proceeds from the offering for working capital and other general corporate purposes. The Company also intends to use a portion of the net proceeds to repay approximately $12.4 million of its term loan. Veracyte may also use a portion of the net proceeds from the offering to acquire or invest in complementary businesses, technologies or other assets, although it has no present commitments or agreements to do so.</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Morgan Stanley and SVB Leerink are acting as lead book-running managers for the offering. William Blair is acting as a book-running manager and BTIG and Janney Montgomery Scott are acting as co-managers.</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shares will be issued pursuant to an effective shelf registration statement filed with the Securities and Exchange Commission (SEC) on May 2, 2019. A preliminary prospectus supplement and accompanying prospectus relating to the offering have been filed with the SEC and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 final prospectus supplement and accompanying prospectus will be filed with the SEC. A copy of the final prospectus supplement and accompanying prospectus relating to the offering, when available, may be obtained by contacting Morgan Stanley &amp; Co. LLC, Attention: Prospectus Department, 180 Varick Street, 2nd Floor, New York, New York 10014; or SVB Leerink LLC, Attention: Syndicate Department, One Federal Street, 37th Floor, Boston, Massachusetts 01220, by email at syndicate@svbleerink.com or by telephone at (800) 808-7525, ext. 6132.</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press release does not and shall not constitute an offer to sell or the solicitation of an offer to buy any securities, nor shall there be any sale of these securities in any state or other jurisdiction in which such offer, solicitation or sale would be unlawful prior to registration or qualification under the securities laws of any such state or other jurisdiction. Any offer, if at all, will be made only by means of a prospectus, including a prospectus supplement, forming a part of the effective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Know by Design, the Veracyte logo and the Afirma logo are trademarks of Veracyte,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Angie McCabe, (650) 243-6371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angie@veracyte.com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1"/>
    </w:lvl>
  </w:abstractNum>
  <w:abstractNum w:abstractNumId="2">
    <w:nsid w:val="75A2A8D4"/>
    <w:multiLevelType w:val="hybridMultilevel"/>
    <w:lvl w:ilvl="0">
      <w:lvlJc w:val="left"/>
      <w:lvlText w:val="(%1)"/>
      <w:numFmt w:val="lowerLetter"/>
      <w:start w:val="3"/>
    </w:lvl>
  </w:abstractNum>
  <w:abstractNum w:abstractNumId="3">
    <w:nsid w:val="8EDBDAB"/>
    <w:multiLevelType w:val="hybridMultilevel"/>
    <w:lvl w:ilvl="0">
      <w:lvlJc w:val="left"/>
      <w:lvlText w:val="(%1)"/>
      <w:numFmt w:val="lowerLetter"/>
      <w:start w:val="6"/>
    </w:lvl>
  </w:abstractNum>
  <w:abstractNum w:abstractNumId="4">
    <w:nsid w:val="79838CB2"/>
    <w:multiLevelType w:val="hybridMultilevel"/>
    <w:lvl w:ilvl="0">
      <w:lvlJc w:val="left"/>
      <w:lvlText w:val="(%1)"/>
      <w:numFmt w:val="lowerLetter"/>
      <w:start w:val="13"/>
    </w:lvl>
  </w:abstractNum>
  <w:abstractNum w:abstractNumId="5">
    <w:nsid w:val="4353D0CD"/>
    <w:multiLevelType w:val="hybridMultilevel"/>
    <w:lvl w:ilvl="0">
      <w:lvlJc w:val="left"/>
      <w:lvlText w:val="%1"/>
      <w:numFmt w:val="lowerLetter"/>
      <w:start w:val="1"/>
    </w:lvl>
    <w:lvl w:ilvl="1">
      <w:lvlJc w:val="left"/>
      <w:lvlText w:val="(%2)"/>
      <w:numFmt w:val="lowerLetter"/>
      <w:start w:val="17"/>
    </w:lvl>
  </w:abstractNum>
  <w:abstractNum w:abstractNumId="6">
    <w:nsid w:val="B03E0C6"/>
    <w:multiLevelType w:val="hybridMultilevel"/>
    <w:lvl w:ilvl="0">
      <w:lvlJc w:val="left"/>
      <w:lvlText w:val="(%1)"/>
      <w:numFmt w:val="lowerLetter"/>
      <w:start w:val="61"/>
    </w:lvl>
    <w:lvl w:ilvl="1">
      <w:lvlJc w:val="left"/>
      <w:lvlText w:val="(%2)"/>
      <w:numFmt w:val="lowerLetter"/>
      <w:start w:val="19"/>
    </w:lvl>
  </w:abstractNum>
  <w:abstractNum w:abstractNumId="7">
    <w:nsid w:val="189A769B"/>
    <w:multiLevelType w:val="hybridMultilevel"/>
    <w:lvl w:ilvl="0">
      <w:lvlJc w:val="left"/>
      <w:lvlText w:val="%1"/>
      <w:numFmt w:val="lowerLetter"/>
      <w:start w:val="1"/>
    </w:lvl>
    <w:lvl w:ilvl="1">
      <w:lvlJc w:val="left"/>
      <w:lvlText w:val="(%2)"/>
      <w:numFmt w:val="lowerLetter"/>
      <w:start w:val="21"/>
    </w:lvl>
    <w:lvl w:ilvl="2">
      <w:lvlJc w:val="left"/>
      <w:lvlText w:val="(%3)"/>
      <w:numFmt w:val="lowerRoman"/>
      <w:start w:val="1"/>
    </w:lvl>
    <w:lvl w:ilvl="3">
      <w:lvlJc w:val="left"/>
      <w:lvlText w:val="(%4)"/>
      <w:numFmt w:val="upperLetter"/>
      <w:start w:val="1"/>
    </w:lvl>
  </w:abstractNum>
  <w:abstractNum w:abstractNumId="8">
    <w:nsid w:val="54E49EB4"/>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
    <w:nsid w:val="71F32454"/>
    <w:multiLevelType w:val="hybridMultilevel"/>
    <w:lvl w:ilvl="0">
      <w:lvlJc w:val="left"/>
      <w:lvlText w:val="(%1)"/>
      <w:numFmt w:val="lowerLetter"/>
      <w:start w:val="23"/>
    </w:lvl>
  </w:abstractNum>
  <w:abstractNum w:abstractNumId="10">
    <w:nsid w:val="2CA88611"/>
    <w:multiLevelType w:val="hybridMultilevel"/>
    <w:lvl w:ilvl="0">
      <w:lvlJc w:val="left"/>
      <w:lvlText w:val="(%1)"/>
      <w:numFmt w:val="lowerLetter"/>
      <w:start w:val="26"/>
    </w:lvl>
  </w:abstractNum>
  <w:abstractNum w:abstractNumId="11">
    <w:nsid w:val="836C40E"/>
    <w:multiLevelType w:val="hybridMultilevel"/>
    <w:lvl w:ilvl="0">
      <w:lvlJc w:val="left"/>
      <w:lvlText w:val="(%1)"/>
      <w:numFmt w:val="lowerLetter"/>
      <w:start w:val="27"/>
    </w:lvl>
  </w:abstractNum>
  <w:abstractNum w:abstractNumId="12">
    <w:nsid w:val="2901D82"/>
    <w:multiLevelType w:val="hybridMultilevel"/>
    <w:lvl w:ilvl="0">
      <w:lvlJc w:val="left"/>
      <w:lvlText w:val="(%1)"/>
      <w:numFmt w:val="lowerLetter"/>
      <w:start w:val="29"/>
    </w:lvl>
  </w:abstractNum>
  <w:abstractNum w:abstractNumId="13">
    <w:nsid w:val="3A95F874"/>
    <w:multiLevelType w:val="hybridMultilevel"/>
    <w:lvl w:ilvl="0">
      <w:lvlJc w:val="left"/>
      <w:lvlText w:val="(%1)"/>
      <w:numFmt w:val="lowerLetter"/>
      <w:start w:val="33"/>
    </w:lvl>
  </w:abstractNum>
  <w:abstractNum w:abstractNumId="14">
    <w:nsid w:val="8138641"/>
    <w:multiLevelType w:val="hybridMultilevel"/>
    <w:lvl w:ilvl="0">
      <w:lvlJc w:val="left"/>
      <w:lvlText w:val="(%1)"/>
      <w:numFmt w:val="lowerLetter"/>
      <w:start w:val="35"/>
    </w:lvl>
  </w:abstractNum>
  <w:abstractNum w:abstractNumId="15">
    <w:nsid w:val="1E7FF521"/>
    <w:multiLevelType w:val="hybridMultilevel"/>
    <w:lvl w:ilvl="0">
      <w:lvlJc w:val="left"/>
      <w:lvlText w:val="(%1)"/>
      <w:numFmt w:val="lowerLetter"/>
      <w:start w:val="38"/>
    </w:lvl>
  </w:abstractNum>
  <w:abstractNum w:abstractNumId="16">
    <w:nsid w:val="7C3DBD3D"/>
    <w:multiLevelType w:val="hybridMultilevel"/>
    <w:lvl w:ilvl="0">
      <w:lvlJc w:val="left"/>
      <w:lvlText w:val="(%1)"/>
      <w:numFmt w:val="lowerLetter"/>
      <w:start w:val="45"/>
    </w:lvl>
  </w:abstractNum>
  <w:abstractNum w:abstractNumId="17">
    <w:nsid w:val="737B8DDC"/>
    <w:multiLevelType w:val="hybridMultilevel"/>
    <w:lvl w:ilvl="0">
      <w:lvlJc w:val="left"/>
      <w:lvlText w:val="%1."/>
      <w:numFmt w:val="decimal"/>
      <w:start w:val="2"/>
    </w:lvl>
  </w:abstractNum>
  <w:abstractNum w:abstractNumId="18">
    <w:nsid w:val="6CEAF087"/>
    <w:multiLevelType w:val="hybridMultilevel"/>
    <w:lvl w:ilvl="0">
      <w:lvlJc w:val="left"/>
      <w:lvlText w:val="%1."/>
      <w:numFmt w:val="decimal"/>
      <w:start w:val="3"/>
    </w:lvl>
  </w:abstractNum>
  <w:abstractNum w:abstractNumId="19">
    <w:nsid w:val="22221A70"/>
    <w:multiLevelType w:val="hybridMultilevel"/>
    <w:lvl w:ilvl="0">
      <w:lvlJc w:val="left"/>
      <w:lvlText w:val="%1."/>
      <w:numFmt w:val="decimal"/>
      <w:start w:val="4"/>
    </w:lvl>
  </w:abstractNum>
  <w:abstractNum w:abstractNumId="20">
    <w:nsid w:val="4516DDE9"/>
    <w:multiLevelType w:val="hybridMultilevel"/>
    <w:lvl w:ilvl="0">
      <w:lvlJc w:val="left"/>
      <w:lvlText w:val="%1."/>
      <w:numFmt w:val="decimal"/>
      <w:start w:val="5"/>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3"/>
    </w:lvl>
  </w:abstractNum>
  <w:abstractNum w:abstractNumId="23">
    <w:nsid w:val="419AC241"/>
    <w:multiLevelType w:val="hybridMultilevel"/>
    <w:lvl w:ilvl="0">
      <w:lvlJc w:val="left"/>
      <w:lvlText w:val="(%1)"/>
      <w:numFmt w:val="lowerLetter"/>
      <w:start w:val="7"/>
    </w:lvl>
    <w:lvl w:ilvl="1">
      <w:lvlJc w:val="left"/>
      <w:lvlText w:val="(%2)"/>
      <w:numFmt w:val="lowerRoman"/>
      <w:start w:val="1"/>
    </w:lvl>
  </w:abstractNum>
  <w:abstractNum w:abstractNumId="24">
    <w:nsid w:val="5577F8E1"/>
    <w:multiLevelType w:val="hybridMultilevel"/>
    <w:lvl w:ilvl="0">
      <w:lvlJc w:val="left"/>
      <w:lvlText w:val="%1"/>
      <w:numFmt w:val="lowerLetter"/>
      <w:start w:val="1"/>
    </w:lvl>
    <w:lvl w:ilvl="1">
      <w:lvlJc w:val="left"/>
      <w:lvlText w:val="(%2)"/>
      <w:numFmt w:val="lowerLetter"/>
      <w:start w:val="22"/>
    </w:lvl>
  </w:abstractNum>
  <w:abstractNum w:abstractNumId="25">
    <w:nsid w:val="440BADFC"/>
    <w:multiLevelType w:val="hybridMultilevel"/>
    <w:lvl w:ilvl="0">
      <w:lvlJc w:val="left"/>
      <w:lvlText w:val="(%1)"/>
      <w:numFmt w:val="lowerLetter"/>
      <w:start w:val="12"/>
    </w:lvl>
    <w:lvl w:ilvl="1">
      <w:lvlJc w:val="left"/>
      <w:lvlText w:val="%2"/>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6"/>
    </w:lvl>
  </w:abstractNum>
  <w:abstractNum w:abstractNumId="28">
    <w:nsid w:val="77465F01"/>
    <w:multiLevelType w:val="hybridMultilevel"/>
    <w:lvl w:ilvl="0">
      <w:lvlJc w:val="left"/>
      <w:lvlText w:val="(%1)"/>
      <w:numFmt w:val="lowerRoman"/>
      <w:start w:val="7"/>
    </w:lvl>
    <w:lvl w:ilvl="1">
      <w:lvlJc w:val="left"/>
      <w:lvlText w:val="%2"/>
      <w:numFmt w:val="lowerLetter"/>
      <w:start w:val="1"/>
    </w:lvl>
  </w:abstractNum>
  <w:abstractNum w:abstractNumId="29">
    <w:nsid w:val="7724C67E"/>
    <w:multiLevelType w:val="hybridMultilevel"/>
    <w:lvl w:ilvl="0">
      <w:lvlJc w:val="left"/>
      <w:lvlText w:val="(%1)"/>
      <w:numFmt w:val="lowerRoman"/>
      <w:start w:val="10"/>
    </w:lvl>
    <w:lvl w:ilvl="1">
      <w:lvlJc w:val="left"/>
      <w:lvlText w:val="(%2)"/>
      <w:numFmt w:val="lowerLetter"/>
      <w:start w:val="10"/>
    </w:lvl>
  </w:abstractNum>
  <w:abstractNum w:abstractNumId="30">
    <w:nsid w:val="5C482A97"/>
    <w:multiLevelType w:val="hybridMultilevel"/>
    <w:lvl w:ilvl="0">
      <w:lvlJc w:val="left"/>
      <w:lvlText w:val="(%1)"/>
      <w:numFmt w:val="lowerLetter"/>
      <w:start w:val="12"/>
    </w:lvl>
  </w:abstractNum>
  <w:abstractNum w:abstractNumId="31">
    <w:nsid w:val="2463B9EA"/>
    <w:multiLevelType w:val="hybridMultilevel"/>
    <w:lvl w:ilvl="0">
      <w:lvlJc w:val="left"/>
      <w:lvlText w:val="(%1)"/>
      <w:numFmt w:val="lowerLetter"/>
      <w:start w:val="6"/>
    </w:lvl>
  </w:abstractNum>
  <w:abstractNum w:abstractNumId="32">
    <w:nsid w:val="5E884ADC"/>
    <w:multiLevelType w:val="hybridMultilevel"/>
    <w:lvl w:ilvl="0">
      <w:lvlJc w:val="left"/>
      <w:lvlText w:val="(%1)"/>
      <w:numFmt w:val="lowerLetter"/>
      <w:start w:val="7"/>
    </w:lvl>
    <w:lvl w:ilvl="1">
      <w:lvlJc w:val="left"/>
      <w:lvlText w:val="%2."/>
      <w:numFmt w:val="decimal"/>
      <w:start w:val="7"/>
    </w:lvl>
  </w:abstractNum>
  <w:abstractNum w:abstractNumId="33">
    <w:nsid w:val="51EAD36B"/>
    <w:multiLevelType w:val="hybridMultilevel"/>
    <w:lvl w:ilvl="0">
      <w:lvlJc w:val="left"/>
      <w:lvlText w:val="(%1)"/>
      <w:numFmt w:val="lowerLetter"/>
      <w:start w:val="2"/>
    </w:lvl>
  </w:abstractNum>
  <w:abstractNum w:abstractNumId="34">
    <w:nsid w:val="2D517796"/>
    <w:multiLevelType w:val="hybridMultilevel"/>
    <w:lvl w:ilvl="0">
      <w:lvlJc w:val="left"/>
      <w:lvlText w:val="(%1)"/>
      <w:numFmt w:val="lowerLetter"/>
      <w:start w:val="3"/>
    </w:lvl>
  </w:abstractNum>
  <w:abstractNum w:abstractNumId="35">
    <w:nsid w:val="580BD78F"/>
    <w:multiLevelType w:val="hybridMultilevel"/>
    <w:lvl w:ilvl="0">
      <w:lvlJc w:val="left"/>
      <w:lvlText w:val="(%1)"/>
      <w:numFmt w:val="lowerLetter"/>
      <w:start w:val="5"/>
    </w:lvl>
  </w:abstractNum>
  <w:abstractNum w:abstractNumId="36">
    <w:nsid w:val="153EA438"/>
    <w:multiLevelType w:val="hybridMultilevel"/>
    <w:lvl w:ilvl="0">
      <w:lvlJc w:val="left"/>
      <w:lvlText w:val="%1"/>
      <w:numFmt w:val="lowerRoman"/>
      <w:start w:val="1"/>
    </w:lvl>
    <w:lvl w:ilvl="1">
      <w:lvlJc w:val="left"/>
      <w:lvlText w:val="%2."/>
      <w:numFmt w:val="decimal"/>
      <w:start w:val="9"/>
    </w:lvl>
  </w:abstractNum>
  <w:abstractNum w:abstractNumId="37">
    <w:nsid w:val="3855585C"/>
    <w:multiLevelType w:val="hybridMultilevel"/>
    <w:lvl w:ilvl="0">
      <w:lvlJc w:val="left"/>
      <w:lvlText w:val="(%1)"/>
      <w:numFmt w:val="lowerRoman"/>
      <w:start w:val="4"/>
    </w:lvl>
    <w:lvl w:ilvl="1">
      <w:lvlJc w:val="left"/>
      <w:lvlText w:val="%2."/>
      <w:numFmt w:val="decimal"/>
      <w:start w:val="10"/>
    </w:lvl>
  </w:abstractNum>
  <w:abstractNum w:abstractNumId="38">
    <w:nsid w:val="70A64E2A"/>
    <w:multiLevelType w:val="hybridMultilevel"/>
    <w:lvl w:ilvl="0">
      <w:lvlJc w:val="left"/>
      <w:lvlText w:val="%1."/>
      <w:numFmt w:val="decimal"/>
      <w:start w:val="1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decimal"/>
      <w:start w:val="12"/>
    </w:lvl>
  </w:abstractNum>
  <w:abstractNum w:abstractNumId="41">
    <w:nsid w:val="1D4ED43B"/>
    <w:multiLevelType w:val="hybridMultilevel"/>
    <w:lvl w:ilvl="0">
      <w:lvlJc w:val="left"/>
      <w:lvlText w:val="(%1)"/>
      <w:numFmt w:val="lowerLetter"/>
      <w:start w:val="2"/>
    </w:lvl>
  </w:abstractNum>
  <w:abstractNum w:abstractNumId="42">
    <w:nsid w:val="725A06FB"/>
    <w:multiLevelType w:val="hybridMultilevel"/>
    <w:lvl w:ilvl="0">
      <w:lvlJc w:val="left"/>
      <w:lvlText w:val="%1."/>
      <w:numFmt w:val="decimal"/>
      <w:start w:val="13"/>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2019-12-28T12:57:30Z</dcterms:created>
  <dcterms:modified xsi:type="dcterms:W3CDTF">2019-12-28T12:57:30Z</dcterms:modified>
</cp:coreProperties>
</file>