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As filed with the Securities and Exchange Commission on February 28, 2022</w:t>
      </w:r>
    </w:p>
    <w:p>
      <w:pPr>
        <w:spacing w:after="0" w:line="36"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36" w:lineRule="exact"/>
        <w:rPr>
          <w:sz w:val="24"/>
          <w:szCs w:val="24"/>
          <w:color w:val="auto"/>
        </w:rPr>
      </w:pPr>
    </w:p>
    <w:p>
      <w:pPr>
        <w:ind w:left="4720"/>
        <w:spacing w:after="0"/>
        <w:rPr>
          <w:sz w:val="20"/>
          <w:szCs w:val="20"/>
          <w:color w:val="auto"/>
        </w:rPr>
      </w:pPr>
      <w:r>
        <w:rPr>
          <w:rFonts w:ascii="Arial" w:cs="Arial" w:eastAsia="Arial" w:hAnsi="Arial"/>
          <w:sz w:val="18"/>
          <w:szCs w:val="18"/>
          <w:color w:val="auto"/>
        </w:rPr>
        <w:t>____________________</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 S-8</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REGISTRATION STATEMENT</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UNDER</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SECURITIES ACT OF 1933</w:t>
      </w:r>
    </w:p>
    <w:p>
      <w:pPr>
        <w:spacing w:after="0" w:line="36" w:lineRule="exact"/>
        <w:rPr>
          <w:sz w:val="24"/>
          <w:szCs w:val="24"/>
          <w:color w:val="auto"/>
        </w:rPr>
      </w:pPr>
    </w:p>
    <w:p>
      <w:pPr>
        <w:ind w:left="4720"/>
        <w:spacing w:after="0"/>
        <w:rPr>
          <w:sz w:val="20"/>
          <w:szCs w:val="20"/>
          <w:color w:val="auto"/>
        </w:rPr>
      </w:pPr>
      <w:r>
        <w:rPr>
          <w:rFonts w:ascii="Arial" w:cs="Arial" w:eastAsia="Arial" w:hAnsi="Arial"/>
          <w:sz w:val="18"/>
          <w:szCs w:val="18"/>
          <w:color w:val="auto"/>
        </w:rPr>
        <w:t>____________________</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36"/>
          <w:szCs w:val="36"/>
          <w:color w:val="auto"/>
        </w:rPr>
        <w:t>Veracyte, Inc.</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75" w:lineRule="exact"/>
        <w:rPr>
          <w:sz w:val="24"/>
          <w:szCs w:val="24"/>
          <w:color w:val="auto"/>
        </w:rPr>
      </w:pPr>
    </w:p>
    <w:tbl>
      <w:tblPr>
        <w:tblLayout w:type="fixed"/>
        <w:tblInd w:w="1360" w:type="dxa"/>
        <w:tblCellMar>
          <w:top w:w="0" w:type="dxa"/>
          <w:left w:w="0" w:type="dxa"/>
          <w:bottom w:w="0" w:type="dxa"/>
          <w:right w:w="0" w:type="dxa"/>
        </w:tblCellMar>
      </w:tblPr>
      <w:tr>
        <w:trPr>
          <w:trHeight w:val="216"/>
        </w:trPr>
        <w:tc>
          <w:tcPr>
            <w:tcW w:w="5880" w:type="dxa"/>
            <w:vAlign w:val="bottom"/>
          </w:tcPr>
          <w:p>
            <w:pPr>
              <w:jc w:val="center"/>
              <w:ind w:right="2870"/>
              <w:spacing w:after="0"/>
              <w:rPr>
                <w:sz w:val="20"/>
                <w:szCs w:val="20"/>
                <w:color w:val="auto"/>
              </w:rPr>
            </w:pPr>
            <w:r>
              <w:rPr>
                <w:rFonts w:ascii="Arial" w:cs="Arial" w:eastAsia="Arial" w:hAnsi="Arial"/>
                <w:sz w:val="18"/>
                <w:szCs w:val="18"/>
                <w:color w:val="auto"/>
                <w:w w:val="89"/>
              </w:rPr>
              <w:t>Delaware</w:t>
            </w: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20-5455398</w:t>
            </w:r>
          </w:p>
        </w:tc>
      </w:tr>
      <w:tr>
        <w:trPr>
          <w:trHeight w:val="216"/>
        </w:trPr>
        <w:tc>
          <w:tcPr>
            <w:tcW w:w="5880" w:type="dxa"/>
            <w:vAlign w:val="bottom"/>
          </w:tcPr>
          <w:p>
            <w:pPr>
              <w:jc w:val="center"/>
              <w:ind w:right="2870"/>
              <w:spacing w:after="0"/>
              <w:rPr>
                <w:sz w:val="20"/>
                <w:szCs w:val="20"/>
                <w:color w:val="auto"/>
              </w:rPr>
            </w:pPr>
            <w:r>
              <w:rPr>
                <w:rFonts w:ascii="Arial" w:cs="Arial" w:eastAsia="Arial" w:hAnsi="Arial"/>
                <w:sz w:val="18"/>
                <w:szCs w:val="18"/>
                <w:color w:val="auto"/>
                <w:w w:val="92"/>
              </w:rPr>
              <w:t>(State or other jurisdiction of</w:t>
            </w:r>
          </w:p>
        </w:tc>
        <w:tc>
          <w:tcPr>
            <w:tcW w:w="1680" w:type="dxa"/>
            <w:vAlign w:val="bottom"/>
          </w:tcPr>
          <w:p>
            <w:pPr>
              <w:jc w:val="center"/>
              <w:ind w:left="290"/>
              <w:spacing w:after="0"/>
              <w:rPr>
                <w:sz w:val="20"/>
                <w:szCs w:val="20"/>
                <w:color w:val="auto"/>
              </w:rPr>
            </w:pPr>
            <w:r>
              <w:rPr>
                <w:rFonts w:ascii="Arial" w:cs="Arial" w:eastAsia="Arial" w:hAnsi="Arial"/>
                <w:sz w:val="18"/>
                <w:szCs w:val="18"/>
                <w:color w:val="auto"/>
                <w:w w:val="92"/>
              </w:rPr>
              <w:t>(I.R.S. Employer</w:t>
            </w:r>
          </w:p>
        </w:tc>
      </w:tr>
      <w:tr>
        <w:trPr>
          <w:trHeight w:val="230"/>
        </w:trPr>
        <w:tc>
          <w:tcPr>
            <w:tcW w:w="5880" w:type="dxa"/>
            <w:vAlign w:val="bottom"/>
          </w:tcPr>
          <w:p>
            <w:pPr>
              <w:jc w:val="center"/>
              <w:ind w:right="2870"/>
              <w:spacing w:after="0"/>
              <w:rPr>
                <w:sz w:val="20"/>
                <w:szCs w:val="20"/>
                <w:color w:val="auto"/>
              </w:rPr>
            </w:pPr>
            <w:r>
              <w:rPr>
                <w:rFonts w:ascii="Arial" w:cs="Arial" w:eastAsia="Arial" w:hAnsi="Arial"/>
                <w:sz w:val="18"/>
                <w:szCs w:val="18"/>
                <w:color w:val="auto"/>
                <w:w w:val="92"/>
              </w:rPr>
              <w:t>incorporation or organization)</w:t>
            </w:r>
          </w:p>
        </w:tc>
        <w:tc>
          <w:tcPr>
            <w:tcW w:w="1680" w:type="dxa"/>
            <w:vAlign w:val="bottom"/>
          </w:tcPr>
          <w:p>
            <w:pPr>
              <w:jc w:val="center"/>
              <w:ind w:left="250"/>
              <w:spacing w:after="0"/>
              <w:rPr>
                <w:sz w:val="20"/>
                <w:szCs w:val="20"/>
                <w:color w:val="auto"/>
              </w:rPr>
            </w:pPr>
            <w:r>
              <w:rPr>
                <w:rFonts w:ascii="Arial" w:cs="Arial" w:eastAsia="Arial" w:hAnsi="Arial"/>
                <w:sz w:val="18"/>
                <w:szCs w:val="18"/>
                <w:color w:val="auto"/>
                <w:w w:val="95"/>
              </w:rPr>
              <w:t>Identification No.)</w:t>
            </w:r>
          </w:p>
        </w:tc>
      </w:tr>
      <w:tr>
        <w:trPr>
          <w:trHeight w:val="485"/>
        </w:trPr>
        <w:tc>
          <w:tcPr>
            <w:tcW w:w="5880" w:type="dxa"/>
            <w:vAlign w:val="bottom"/>
          </w:tcPr>
          <w:p>
            <w:pPr>
              <w:jc w:val="center"/>
              <w:ind w:right="2870"/>
              <w:spacing w:after="0"/>
              <w:rPr>
                <w:sz w:val="20"/>
                <w:szCs w:val="20"/>
                <w:color w:val="auto"/>
              </w:rPr>
            </w:pPr>
            <w:r>
              <w:rPr>
                <w:rFonts w:ascii="Arial" w:cs="Arial" w:eastAsia="Arial" w:hAnsi="Arial"/>
                <w:sz w:val="18"/>
                <w:szCs w:val="18"/>
                <w:color w:val="auto"/>
                <w:w w:val="90"/>
              </w:rPr>
              <w:t>6000 Shoreline Court, Suite 300</w:t>
            </w:r>
          </w:p>
        </w:tc>
        <w:tc>
          <w:tcPr>
            <w:tcW w:w="1680" w:type="dxa"/>
            <w:vAlign w:val="bottom"/>
          </w:tcPr>
          <w:p>
            <w:pPr>
              <w:spacing w:after="0"/>
              <w:rPr>
                <w:sz w:val="24"/>
                <w:szCs w:val="24"/>
                <w:color w:val="auto"/>
              </w:rPr>
            </w:pPr>
          </w:p>
        </w:tc>
      </w:tr>
      <w:tr>
        <w:trPr>
          <w:trHeight w:val="216"/>
        </w:trPr>
        <w:tc>
          <w:tcPr>
            <w:tcW w:w="5880" w:type="dxa"/>
            <w:vAlign w:val="bottom"/>
          </w:tcPr>
          <w:p>
            <w:pPr>
              <w:jc w:val="center"/>
              <w:ind w:right="2850"/>
              <w:spacing w:after="0"/>
              <w:rPr>
                <w:sz w:val="20"/>
                <w:szCs w:val="20"/>
                <w:color w:val="auto"/>
              </w:rPr>
            </w:pPr>
            <w:r>
              <w:rPr>
                <w:rFonts w:ascii="Arial" w:cs="Arial" w:eastAsia="Arial" w:hAnsi="Arial"/>
                <w:sz w:val="18"/>
                <w:szCs w:val="18"/>
                <w:color w:val="auto"/>
                <w:w w:val="90"/>
              </w:rPr>
              <w:t>South San Francisco, California</w:t>
            </w:r>
          </w:p>
        </w:tc>
        <w:tc>
          <w:tcPr>
            <w:tcW w:w="1680" w:type="dxa"/>
            <w:vAlign w:val="bottom"/>
          </w:tcPr>
          <w:p>
            <w:pPr>
              <w:jc w:val="right"/>
              <w:ind w:right="350"/>
              <w:spacing w:after="0"/>
              <w:rPr>
                <w:sz w:val="20"/>
                <w:szCs w:val="20"/>
                <w:color w:val="auto"/>
              </w:rPr>
            </w:pPr>
            <w:r>
              <w:rPr>
                <w:rFonts w:ascii="Arial" w:cs="Arial" w:eastAsia="Arial" w:hAnsi="Arial"/>
                <w:sz w:val="18"/>
                <w:szCs w:val="18"/>
                <w:color w:val="auto"/>
              </w:rPr>
              <w:t>94080</w:t>
            </w:r>
          </w:p>
        </w:tc>
      </w:tr>
      <w:tr>
        <w:trPr>
          <w:trHeight w:val="257"/>
        </w:trPr>
        <w:tc>
          <w:tcPr>
            <w:tcW w:w="5880" w:type="dxa"/>
            <w:vAlign w:val="bottom"/>
          </w:tcPr>
          <w:p>
            <w:pPr>
              <w:jc w:val="center"/>
              <w:ind w:right="2850"/>
              <w:spacing w:after="0"/>
              <w:rPr>
                <w:sz w:val="20"/>
                <w:szCs w:val="20"/>
                <w:color w:val="auto"/>
              </w:rPr>
            </w:pPr>
            <w:r>
              <w:rPr>
                <w:rFonts w:ascii="Arial" w:cs="Arial" w:eastAsia="Arial" w:hAnsi="Arial"/>
                <w:sz w:val="18"/>
                <w:szCs w:val="18"/>
                <w:color w:val="auto"/>
                <w:w w:val="92"/>
              </w:rPr>
              <w:t>(Address of Principal Executive Offices)</w:t>
            </w:r>
          </w:p>
        </w:tc>
        <w:tc>
          <w:tcPr>
            <w:tcW w:w="1680" w:type="dxa"/>
            <w:vAlign w:val="bottom"/>
          </w:tcPr>
          <w:p>
            <w:pPr>
              <w:jc w:val="center"/>
              <w:ind w:left="250"/>
              <w:spacing w:after="0"/>
              <w:rPr>
                <w:sz w:val="20"/>
                <w:szCs w:val="20"/>
                <w:color w:val="auto"/>
              </w:rPr>
            </w:pPr>
            <w:r>
              <w:rPr>
                <w:rFonts w:ascii="Arial" w:cs="Arial" w:eastAsia="Arial" w:hAnsi="Arial"/>
                <w:sz w:val="18"/>
                <w:szCs w:val="18"/>
                <w:color w:val="auto"/>
                <w:w w:val="91"/>
              </w:rPr>
              <w:t>(Zip Code)</w:t>
            </w:r>
          </w:p>
        </w:tc>
      </w:tr>
      <w:tr>
        <w:trPr>
          <w:trHeight w:val="270"/>
        </w:trPr>
        <w:tc>
          <w:tcPr>
            <w:tcW w:w="5880" w:type="dxa"/>
            <w:vAlign w:val="bottom"/>
          </w:tcPr>
          <w:p>
            <w:pPr>
              <w:jc w:val="center"/>
              <w:ind w:left="2210"/>
              <w:spacing w:after="0"/>
              <w:rPr>
                <w:sz w:val="20"/>
                <w:szCs w:val="20"/>
                <w:color w:val="auto"/>
              </w:rPr>
            </w:pPr>
            <w:r>
              <w:rPr>
                <w:rFonts w:ascii="Arial" w:cs="Arial" w:eastAsia="Arial" w:hAnsi="Arial"/>
                <w:sz w:val="18"/>
                <w:szCs w:val="18"/>
                <w:color w:val="auto"/>
                <w:w w:val="90"/>
              </w:rPr>
              <w:t>Veracyte, Inc. 2013 Stock Incentive Plan</w:t>
            </w:r>
          </w:p>
        </w:tc>
        <w:tc>
          <w:tcPr>
            <w:tcW w:w="1680" w:type="dxa"/>
            <w:vAlign w:val="bottom"/>
          </w:tcPr>
          <w:p>
            <w:pPr>
              <w:spacing w:after="0"/>
              <w:rPr>
                <w:sz w:val="23"/>
                <w:szCs w:val="23"/>
                <w:color w:val="auto"/>
              </w:rPr>
            </w:pPr>
          </w:p>
        </w:tc>
      </w:tr>
      <w:tr>
        <w:trPr>
          <w:trHeight w:val="270"/>
        </w:trPr>
        <w:tc>
          <w:tcPr>
            <w:tcW w:w="5880" w:type="dxa"/>
            <w:vAlign w:val="bottom"/>
          </w:tcPr>
          <w:p>
            <w:pPr>
              <w:jc w:val="center"/>
              <w:ind w:left="2210"/>
              <w:spacing w:after="0"/>
              <w:rPr>
                <w:sz w:val="20"/>
                <w:szCs w:val="20"/>
                <w:color w:val="auto"/>
              </w:rPr>
            </w:pPr>
            <w:r>
              <w:rPr>
                <w:rFonts w:ascii="Arial" w:cs="Arial" w:eastAsia="Arial" w:hAnsi="Arial"/>
                <w:sz w:val="18"/>
                <w:szCs w:val="18"/>
                <w:color w:val="auto"/>
                <w:w w:val="94"/>
              </w:rPr>
              <w:t>(Full title of the plan)</w:t>
            </w:r>
          </w:p>
        </w:tc>
        <w:tc>
          <w:tcPr>
            <w:tcW w:w="1680" w:type="dxa"/>
            <w:vAlign w:val="bottom"/>
          </w:tcPr>
          <w:p>
            <w:pPr>
              <w:spacing w:after="0"/>
              <w:rPr>
                <w:sz w:val="23"/>
                <w:szCs w:val="23"/>
                <w:color w:val="auto"/>
              </w:rPr>
            </w:pPr>
          </w:p>
        </w:tc>
      </w:tr>
    </w:tbl>
    <w:p>
      <w:pPr>
        <w:spacing w:after="0" w:line="8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Bonnie H. Anderson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6000 Shoreline Court, Suite 300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South San Francisco, California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and address agent for service)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(650) 243-6300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Copies to:</w:t>
      </w:r>
    </w:p>
    <w:p>
      <w:pPr>
        <w:spacing w:after="0" w:line="116" w:lineRule="exact"/>
        <w:rPr>
          <w:sz w:val="24"/>
          <w:szCs w:val="24"/>
          <w:color w:val="auto"/>
        </w:rPr>
      </w:pPr>
    </w:p>
    <w:tbl>
      <w:tblPr>
        <w:tblLayout w:type="fixed"/>
        <w:tblInd w:w="1400" w:type="dxa"/>
        <w:tblCellMar>
          <w:top w:w="0" w:type="dxa"/>
          <w:left w:w="0" w:type="dxa"/>
          <w:bottom w:w="0" w:type="dxa"/>
          <w:right w:w="0" w:type="dxa"/>
        </w:tblCellMar>
      </w:tblPr>
      <w:tr>
        <w:trPr>
          <w:trHeight w:val="216"/>
        </w:trPr>
        <w:tc>
          <w:tcPr>
            <w:tcW w:w="4140" w:type="dxa"/>
            <w:vAlign w:val="bottom"/>
          </w:tcPr>
          <w:p>
            <w:pPr>
              <w:jc w:val="center"/>
              <w:ind w:right="1190"/>
              <w:spacing w:after="0"/>
              <w:rPr>
                <w:sz w:val="20"/>
                <w:szCs w:val="20"/>
                <w:color w:val="auto"/>
              </w:rPr>
            </w:pPr>
            <w:r>
              <w:rPr>
                <w:rFonts w:ascii="Arial" w:cs="Arial" w:eastAsia="Arial" w:hAnsi="Arial"/>
                <w:sz w:val="18"/>
                <w:szCs w:val="18"/>
                <w:color w:val="auto"/>
                <w:w w:val="89"/>
              </w:rPr>
              <w:t>Ran Ben-Tzur, Esq.</w:t>
            </w:r>
          </w:p>
        </w:tc>
        <w:tc>
          <w:tcPr>
            <w:tcW w:w="4100" w:type="dxa"/>
            <w:vAlign w:val="bottom"/>
          </w:tcPr>
          <w:p>
            <w:pPr>
              <w:jc w:val="center"/>
              <w:ind w:left="1230"/>
              <w:spacing w:after="0"/>
              <w:rPr>
                <w:sz w:val="20"/>
                <w:szCs w:val="20"/>
                <w:color w:val="auto"/>
              </w:rPr>
            </w:pPr>
            <w:r>
              <w:rPr>
                <w:rFonts w:ascii="Arial" w:cs="Arial" w:eastAsia="Arial" w:hAnsi="Arial"/>
                <w:sz w:val="18"/>
                <w:szCs w:val="18"/>
                <w:color w:val="auto"/>
                <w:w w:val="86"/>
              </w:rPr>
              <w:t>Rebecca Chambers</w:t>
            </w:r>
          </w:p>
        </w:tc>
      </w:tr>
      <w:tr>
        <w:trPr>
          <w:trHeight w:val="216"/>
        </w:trPr>
        <w:tc>
          <w:tcPr>
            <w:tcW w:w="4140" w:type="dxa"/>
            <w:vAlign w:val="bottom"/>
          </w:tcPr>
          <w:p>
            <w:pPr>
              <w:jc w:val="center"/>
              <w:ind w:right="1210"/>
              <w:spacing w:after="0"/>
              <w:rPr>
                <w:sz w:val="20"/>
                <w:szCs w:val="20"/>
                <w:color w:val="auto"/>
              </w:rPr>
            </w:pPr>
            <w:r>
              <w:rPr>
                <w:rFonts w:ascii="Arial" w:cs="Arial" w:eastAsia="Arial" w:hAnsi="Arial"/>
                <w:sz w:val="18"/>
                <w:szCs w:val="18"/>
                <w:color w:val="auto"/>
                <w:w w:val="93"/>
              </w:rPr>
              <w:t>Fenwick &amp; West LLP</w:t>
            </w:r>
          </w:p>
        </w:tc>
        <w:tc>
          <w:tcPr>
            <w:tcW w:w="4100" w:type="dxa"/>
            <w:vAlign w:val="bottom"/>
          </w:tcPr>
          <w:p>
            <w:pPr>
              <w:jc w:val="center"/>
              <w:ind w:left="1230"/>
              <w:spacing w:after="0"/>
              <w:rPr>
                <w:sz w:val="20"/>
                <w:szCs w:val="20"/>
                <w:color w:val="auto"/>
              </w:rPr>
            </w:pPr>
            <w:r>
              <w:rPr>
                <w:rFonts w:ascii="Arial" w:cs="Arial" w:eastAsia="Arial" w:hAnsi="Arial"/>
                <w:sz w:val="18"/>
                <w:szCs w:val="18"/>
                <w:color w:val="auto"/>
                <w:w w:val="93"/>
              </w:rPr>
              <w:t>Chief Financial Officer</w:t>
            </w:r>
          </w:p>
        </w:tc>
      </w:tr>
      <w:tr>
        <w:trPr>
          <w:trHeight w:val="216"/>
        </w:trPr>
        <w:tc>
          <w:tcPr>
            <w:tcW w:w="4140" w:type="dxa"/>
            <w:vAlign w:val="bottom"/>
          </w:tcPr>
          <w:p>
            <w:pPr>
              <w:jc w:val="center"/>
              <w:ind w:right="1210"/>
              <w:spacing w:after="0"/>
              <w:rPr>
                <w:sz w:val="20"/>
                <w:szCs w:val="20"/>
                <w:color w:val="auto"/>
              </w:rPr>
            </w:pPr>
            <w:r>
              <w:rPr>
                <w:rFonts w:ascii="Arial" w:cs="Arial" w:eastAsia="Arial" w:hAnsi="Arial"/>
                <w:sz w:val="18"/>
                <w:szCs w:val="18"/>
                <w:color w:val="auto"/>
                <w:w w:val="90"/>
              </w:rPr>
              <w:t>228 Santa Monica Boulevard Suite 300</w:t>
            </w:r>
          </w:p>
        </w:tc>
        <w:tc>
          <w:tcPr>
            <w:tcW w:w="4100" w:type="dxa"/>
            <w:vAlign w:val="bottom"/>
          </w:tcPr>
          <w:p>
            <w:pPr>
              <w:jc w:val="center"/>
              <w:ind w:left="1230"/>
              <w:spacing w:after="0"/>
              <w:rPr>
                <w:sz w:val="20"/>
                <w:szCs w:val="20"/>
                <w:color w:val="auto"/>
              </w:rPr>
            </w:pPr>
            <w:r>
              <w:rPr>
                <w:rFonts w:ascii="Arial" w:cs="Arial" w:eastAsia="Arial" w:hAnsi="Arial"/>
                <w:sz w:val="18"/>
                <w:szCs w:val="18"/>
                <w:color w:val="auto"/>
                <w:w w:val="89"/>
              </w:rPr>
              <w:t>Veracyte, Inc.</w:t>
            </w:r>
          </w:p>
        </w:tc>
      </w:tr>
      <w:tr>
        <w:trPr>
          <w:trHeight w:val="216"/>
        </w:trPr>
        <w:tc>
          <w:tcPr>
            <w:tcW w:w="4140" w:type="dxa"/>
            <w:vAlign w:val="bottom"/>
          </w:tcPr>
          <w:p>
            <w:pPr>
              <w:jc w:val="center"/>
              <w:ind w:right="1210"/>
              <w:spacing w:after="0"/>
              <w:rPr>
                <w:sz w:val="20"/>
                <w:szCs w:val="20"/>
                <w:color w:val="auto"/>
              </w:rPr>
            </w:pPr>
            <w:r>
              <w:rPr>
                <w:rFonts w:ascii="Arial" w:cs="Arial" w:eastAsia="Arial" w:hAnsi="Arial"/>
                <w:sz w:val="18"/>
                <w:szCs w:val="18"/>
                <w:color w:val="auto"/>
                <w:w w:val="92"/>
              </w:rPr>
              <w:t>Santa Monica, California 90401</w:t>
            </w:r>
          </w:p>
        </w:tc>
        <w:tc>
          <w:tcPr>
            <w:tcW w:w="4100" w:type="dxa"/>
            <w:vAlign w:val="bottom"/>
          </w:tcPr>
          <w:p>
            <w:pPr>
              <w:jc w:val="center"/>
              <w:ind w:left="1230"/>
              <w:spacing w:after="0"/>
              <w:rPr>
                <w:sz w:val="20"/>
                <w:szCs w:val="20"/>
                <w:color w:val="auto"/>
              </w:rPr>
            </w:pPr>
            <w:r>
              <w:rPr>
                <w:rFonts w:ascii="Arial" w:cs="Arial" w:eastAsia="Arial" w:hAnsi="Arial"/>
                <w:sz w:val="18"/>
                <w:szCs w:val="18"/>
                <w:color w:val="auto"/>
                <w:w w:val="91"/>
              </w:rPr>
              <w:t>6000 Shoreline Court, Suite 300</w:t>
            </w:r>
          </w:p>
        </w:tc>
      </w:tr>
      <w:tr>
        <w:trPr>
          <w:trHeight w:val="216"/>
        </w:trPr>
        <w:tc>
          <w:tcPr>
            <w:tcW w:w="4140" w:type="dxa"/>
            <w:vAlign w:val="bottom"/>
          </w:tcPr>
          <w:p>
            <w:pPr>
              <w:spacing w:after="0"/>
              <w:rPr>
                <w:sz w:val="18"/>
                <w:szCs w:val="18"/>
                <w:color w:val="auto"/>
              </w:rPr>
            </w:pPr>
          </w:p>
        </w:tc>
        <w:tc>
          <w:tcPr>
            <w:tcW w:w="4100" w:type="dxa"/>
            <w:vAlign w:val="bottom"/>
          </w:tcPr>
          <w:p>
            <w:pPr>
              <w:jc w:val="center"/>
              <w:ind w:left="1230"/>
              <w:spacing w:after="0"/>
              <w:rPr>
                <w:sz w:val="20"/>
                <w:szCs w:val="20"/>
                <w:color w:val="auto"/>
              </w:rPr>
            </w:pPr>
            <w:r>
              <w:rPr>
                <w:rFonts w:ascii="Arial" w:cs="Arial" w:eastAsia="Arial" w:hAnsi="Arial"/>
                <w:sz w:val="18"/>
                <w:szCs w:val="18"/>
                <w:color w:val="auto"/>
                <w:w w:val="90"/>
              </w:rPr>
              <w:t>South San Francisco, California 94080</w:t>
            </w:r>
          </w:p>
        </w:tc>
      </w:tr>
      <w:tr>
        <w:trPr>
          <w:trHeight w:val="230"/>
        </w:trPr>
        <w:tc>
          <w:tcPr>
            <w:tcW w:w="4140" w:type="dxa"/>
            <w:vAlign w:val="bottom"/>
          </w:tcPr>
          <w:p>
            <w:pPr>
              <w:spacing w:after="0"/>
              <w:rPr>
                <w:sz w:val="20"/>
                <w:szCs w:val="20"/>
                <w:color w:val="auto"/>
              </w:rPr>
            </w:pPr>
          </w:p>
        </w:tc>
        <w:tc>
          <w:tcPr>
            <w:tcW w:w="4100" w:type="dxa"/>
            <w:vAlign w:val="bottom"/>
          </w:tcPr>
          <w:p>
            <w:pPr>
              <w:jc w:val="center"/>
              <w:ind w:left="1230"/>
              <w:spacing w:after="0"/>
              <w:rPr>
                <w:sz w:val="20"/>
                <w:szCs w:val="20"/>
                <w:color w:val="auto"/>
              </w:rPr>
            </w:pPr>
            <w:r>
              <w:rPr>
                <w:rFonts w:ascii="Arial" w:cs="Arial" w:eastAsia="Arial" w:hAnsi="Arial"/>
                <w:sz w:val="18"/>
                <w:szCs w:val="18"/>
                <w:color w:val="auto"/>
                <w:w w:val="92"/>
              </w:rPr>
              <w:t>(650) 243-6300</w:t>
            </w:r>
          </w:p>
        </w:tc>
      </w:tr>
    </w:tbl>
    <w:p>
      <w:pPr>
        <w:spacing w:after="0" w:line="200" w:lineRule="exact"/>
        <w:rPr>
          <w:sz w:val="24"/>
          <w:szCs w:val="24"/>
          <w:color w:val="auto"/>
        </w:rPr>
      </w:pPr>
    </w:p>
    <w:p>
      <w:pPr>
        <w:spacing w:after="0" w:line="285" w:lineRule="exact"/>
        <w:rPr>
          <w:sz w:val="24"/>
          <w:szCs w:val="24"/>
          <w:color w:val="auto"/>
        </w:rPr>
      </w:pPr>
    </w:p>
    <w:p>
      <w:pPr>
        <w:ind w:right="3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4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860" w:type="dxa"/>
            <w:vAlign w:val="bottom"/>
          </w:tcPr>
          <w:p>
            <w:pPr>
              <w:ind w:left="780"/>
              <w:spacing w:after="0" w:line="181" w:lineRule="exact"/>
              <w:rPr>
                <w:sz w:val="20"/>
                <w:szCs w:val="20"/>
                <w:color w:val="auto"/>
              </w:rPr>
            </w:pPr>
            <w:r>
              <w:rPr>
                <w:rFonts w:ascii="MS PGothic" w:cs="MS PGothic" w:eastAsia="MS PGothic" w:hAnsi="MS PGothic"/>
                <w:sz w:val="18"/>
                <w:szCs w:val="18"/>
                <w:color w:val="auto"/>
              </w:rPr>
              <w:t>☑</w:t>
            </w:r>
          </w:p>
        </w:tc>
        <w:tc>
          <w:tcPr>
            <w:tcW w:w="4480" w:type="dxa"/>
            <w:vAlign w:val="bottom"/>
          </w:tcPr>
          <w:p>
            <w:pPr>
              <w:ind w:left="1900"/>
              <w:spacing w:after="0"/>
              <w:rPr>
                <w:sz w:val="20"/>
                <w:szCs w:val="20"/>
                <w:color w:val="auto"/>
              </w:rPr>
            </w:pPr>
            <w:r>
              <w:rPr>
                <w:rFonts w:ascii="Arial" w:cs="Arial" w:eastAsia="Arial" w:hAnsi="Arial"/>
                <w:sz w:val="18"/>
                <w:szCs w:val="18"/>
                <w:color w:val="auto"/>
              </w:rPr>
              <w:t>Accelerated filer</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420" w:type="dxa"/>
            <w:vAlign w:val="bottom"/>
          </w:tcPr>
          <w:p>
            <w:pPr>
              <w:spacing w:after="0"/>
              <w:rPr>
                <w:sz w:val="20"/>
                <w:szCs w:val="20"/>
                <w:color w:val="auto"/>
              </w:rPr>
            </w:pPr>
            <w:r>
              <w:rPr>
                <w:rFonts w:ascii="Arial" w:cs="Arial" w:eastAsia="Arial" w:hAnsi="Arial"/>
                <w:sz w:val="18"/>
                <w:szCs w:val="18"/>
                <w:color w:val="auto"/>
              </w:rPr>
              <w:t>Non-accelerated filer</w:t>
            </w:r>
          </w:p>
        </w:tc>
        <w:tc>
          <w:tcPr>
            <w:tcW w:w="2860" w:type="dxa"/>
            <w:vAlign w:val="bottom"/>
          </w:tcPr>
          <w:p>
            <w:pPr>
              <w:ind w:left="780"/>
              <w:spacing w:after="0" w:line="181" w:lineRule="exact"/>
              <w:rPr>
                <w:sz w:val="20"/>
                <w:szCs w:val="20"/>
                <w:color w:val="auto"/>
              </w:rPr>
            </w:pPr>
            <w:r>
              <w:rPr>
                <w:rFonts w:ascii="MS PGothic" w:cs="MS PGothic" w:eastAsia="MS PGothic" w:hAnsi="MS PGothic"/>
                <w:sz w:val="18"/>
                <w:szCs w:val="18"/>
                <w:color w:val="auto"/>
              </w:rPr>
              <w:t>☐</w:t>
            </w:r>
          </w:p>
        </w:tc>
        <w:tc>
          <w:tcPr>
            <w:tcW w:w="4480" w:type="dxa"/>
            <w:vAlign w:val="bottom"/>
          </w:tcPr>
          <w:p>
            <w:pPr>
              <w:ind w:left="1900"/>
              <w:spacing w:after="0"/>
              <w:rPr>
                <w:sz w:val="20"/>
                <w:szCs w:val="20"/>
                <w:color w:val="auto"/>
              </w:rPr>
            </w:pPr>
            <w:r>
              <w:rPr>
                <w:rFonts w:ascii="Arial" w:cs="Arial" w:eastAsia="Arial" w:hAnsi="Arial"/>
                <w:sz w:val="18"/>
                <w:szCs w:val="18"/>
                <w:color w:val="auto"/>
              </w:rPr>
              <w:t>Smaller reporting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480" w:type="dxa"/>
            <w:vAlign w:val="bottom"/>
          </w:tcPr>
          <w:p>
            <w:pPr>
              <w:ind w:left="1900"/>
              <w:spacing w:after="0"/>
              <w:rPr>
                <w:sz w:val="20"/>
                <w:szCs w:val="20"/>
                <w:color w:val="auto"/>
              </w:rPr>
            </w:pPr>
            <w:r>
              <w:rPr>
                <w:rFonts w:ascii="Arial" w:cs="Arial" w:eastAsia="Arial" w:hAnsi="Arial"/>
                <w:sz w:val="18"/>
                <w:szCs w:val="18"/>
                <w:color w:val="auto"/>
              </w:rPr>
              <w:t>Emerging growth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0" w:lineRule="exact"/>
        <w:rPr>
          <w:sz w:val="24"/>
          <w:szCs w:val="24"/>
          <w:color w:val="auto"/>
        </w:rPr>
      </w:pPr>
    </w:p>
    <w:p>
      <w:pPr>
        <w:spacing w:after="0" w:line="238" w:lineRule="exact"/>
        <w:rPr>
          <w:sz w:val="24"/>
          <w:szCs w:val="24"/>
          <w:color w:val="auto"/>
        </w:rPr>
      </w:pPr>
    </w:p>
    <w:p>
      <w:pPr>
        <w:ind w:right="16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ectPr>
          <w:pgSz w:w="11900" w:h="16838" w:orient="portrait"/>
          <w:cols w:equalWidth="0" w:num="1">
            <w:col w:w="11240"/>
          </w:cols>
          <w:pgMar w:left="320" w:top="1016"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PROSPECTUS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Instruction E Information</w:t>
      </w:r>
    </w:p>
    <w:p>
      <w:pPr>
        <w:spacing w:after="0" w:line="24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7"/>
          <w:szCs w:val="17"/>
          <w:color w:val="auto"/>
        </w:rPr>
        <w:t>Pursuant to General Instruction E of Form S-8, Veracyte, Inc. (“Registrant”) is filing this Registration Statement on Form S-8 with the U.S. Securities and Exchange Commission (the “Commission”) to register 2,844,924 additional shares of the Registrant’s Common Stock for issuance under the Registrant’s 2013 Stock Incentive Plan, as amended (the “2013 Plan”), pursuant to the provisions of the 2013 Plan that provide for an automatic annual increase in the number of shares reserved for issuance under the 2013 Plan. The Registrant’s Registration Statements on Form S-8 filed with the Commission on October 30, 2013 (File No. 333-191992), March 30, 2015 (File No. 333-203097), March 14, 2016 (File No. 333-210185), March 2, 2017 (File No. 333-216388), February 28, 2018 (File No. 333-223292), February 25, 2019 (File No. 333-229848), February 25, 2020 (File No. 333-236630) and February 22, 2021 (File No. 333-253363), excluding reports that the Registrant filed with the Commission that were incorporated into the Form S-8 Registration Statements in order to maintain current information about the Registrant, are hereby incorporated by reference into this Registration Statement pursuant to General Instruction E of Form S-8. In accordance with the instructional note to Part I of Form S-8 as promulgated by the Commission, the information specified by Part I of Form S-8 has been omitted from this Registration Statement.</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documents filed by the Registrant with the Commission are hereby incorporated by reference in this Registration Statement:</w:t>
      </w:r>
    </w:p>
    <w:p>
      <w:pPr>
        <w:spacing w:after="0" w:line="237" w:lineRule="exact"/>
        <w:rPr>
          <w:sz w:val="20"/>
          <w:szCs w:val="20"/>
          <w:color w:val="auto"/>
        </w:rPr>
      </w:pPr>
    </w:p>
    <w:p>
      <w:pPr>
        <w:ind w:left="1040" w:hanging="384"/>
        <w:spacing w:after="0"/>
        <w:tabs>
          <w:tab w:leader="none" w:pos="1040" w:val="left"/>
        </w:tabs>
        <w:numPr>
          <w:ilvl w:val="0"/>
          <w:numId w:val="1"/>
        </w:numPr>
        <w:rPr>
          <w:rFonts w:ascii="Arial" w:cs="Arial" w:eastAsia="Arial" w:hAnsi="Arial"/>
          <w:sz w:val="17"/>
          <w:szCs w:val="17"/>
          <w:u w:val="single" w:color="auto"/>
          <w:color w:val="0000FF"/>
        </w:rPr>
      </w:pPr>
      <w:hyperlink r:id="rId8">
        <w:r>
          <w:rPr>
            <w:rFonts w:ascii="Arial" w:cs="Arial" w:eastAsia="Arial" w:hAnsi="Arial"/>
            <w:sz w:val="17"/>
            <w:szCs w:val="17"/>
            <w:u w:val="single" w:color="auto"/>
            <w:color w:val="0000FF"/>
          </w:rPr>
          <w:t>The Registrant’s Annual Report on Form 10-K for the year ended December 31, 2021, filed with the Commission on February 28, 2022.</w:t>
        </w:r>
      </w:hyperlink>
    </w:p>
    <w:p>
      <w:pPr>
        <w:spacing w:after="0" w:line="209" w:lineRule="exact"/>
        <w:rPr>
          <w:rFonts w:ascii="Arial" w:cs="Arial" w:eastAsia="Arial" w:hAnsi="Arial"/>
          <w:sz w:val="17"/>
          <w:szCs w:val="17"/>
          <w:u w:val="single" w:color="auto"/>
          <w:color w:val="0000FF"/>
        </w:rPr>
      </w:pPr>
    </w:p>
    <w:p>
      <w:pPr>
        <w:jc w:val="both"/>
        <w:ind w:left="980" w:hanging="324"/>
        <w:spacing w:after="0" w:line="263" w:lineRule="auto"/>
        <w:tabs>
          <w:tab w:leader="none" w:pos="1046" w:val="left"/>
        </w:tabs>
        <w:numPr>
          <w:ilvl w:val="0"/>
          <w:numId w:val="1"/>
        </w:numPr>
        <w:rPr>
          <w:rFonts w:ascii="Arial" w:cs="Arial" w:eastAsia="Arial" w:hAnsi="Arial"/>
          <w:sz w:val="18"/>
          <w:szCs w:val="18"/>
          <w:color w:val="auto"/>
        </w:rPr>
      </w:pPr>
      <w:r>
        <w:rPr>
          <w:rFonts w:ascii="Arial" w:cs="Arial" w:eastAsia="Arial" w:hAnsi="Arial"/>
          <w:sz w:val="18"/>
          <w:szCs w:val="18"/>
          <w:color w:val="auto"/>
        </w:rPr>
        <w:t>All other reports filed pursuant to Section 13(a) or 15(d) of the Securities Exchange Act of 1934, as amended (the "Exchange Act") since the end of the fiscal year covered by the Registrant’s Annual Report referred to in (a) above (other than the portions of these documents not deemed to be filed);</w:t>
      </w:r>
    </w:p>
    <w:p>
      <w:pPr>
        <w:spacing w:after="0" w:line="129" w:lineRule="exact"/>
        <w:rPr>
          <w:rFonts w:ascii="Arial" w:cs="Arial" w:eastAsia="Arial" w:hAnsi="Arial"/>
          <w:sz w:val="18"/>
          <w:szCs w:val="18"/>
          <w:color w:val="auto"/>
        </w:rPr>
      </w:pPr>
    </w:p>
    <w:p>
      <w:pPr>
        <w:jc w:val="both"/>
        <w:ind w:left="980" w:hanging="324"/>
        <w:spacing w:after="0" w:line="231" w:lineRule="auto"/>
        <w:tabs>
          <w:tab w:leader="none" w:pos="1062" w:val="left"/>
        </w:tabs>
        <w:numPr>
          <w:ilvl w:val="0"/>
          <w:numId w:val="1"/>
        </w:numPr>
        <w:rPr>
          <w:rFonts w:ascii="Arial" w:cs="Arial" w:eastAsia="Arial" w:hAnsi="Arial"/>
          <w:sz w:val="18"/>
          <w:szCs w:val="18"/>
          <w:u w:val="single" w:color="auto"/>
          <w:color w:val="0000FF"/>
        </w:rPr>
      </w:pPr>
      <w:hyperlink r:id="rId9">
        <w:r>
          <w:rPr>
            <w:rFonts w:ascii="Arial" w:cs="Arial" w:eastAsia="Arial" w:hAnsi="Arial"/>
            <w:sz w:val="18"/>
            <w:szCs w:val="18"/>
            <w:u w:val="single" w:color="auto"/>
            <w:color w:val="0000FF"/>
          </w:rPr>
          <w:t>The description of the Registrant’s Common Stock contained in Registrant’s registration statement on Form 8-A, filed on October 28, 2013</w:t>
        </w:r>
      </w:hyperlink>
      <w:r>
        <w:rPr>
          <w:rFonts w:ascii="Arial" w:cs="Arial" w:eastAsia="Arial" w:hAnsi="Arial"/>
          <w:sz w:val="18"/>
          <w:szCs w:val="18"/>
          <w:u w:val="single" w:color="auto"/>
          <w:color w:val="0000FF"/>
        </w:rPr>
        <w:t xml:space="preserve"> </w:t>
      </w:r>
      <w:hyperlink r:id="rId9">
        <w:r>
          <w:rPr>
            <w:rFonts w:ascii="Arial" w:cs="Arial" w:eastAsia="Arial" w:hAnsi="Arial"/>
            <w:sz w:val="18"/>
            <w:szCs w:val="18"/>
            <w:u w:val="single" w:color="auto"/>
            <w:color w:val="0000FF"/>
          </w:rPr>
          <w:t>pursuant to Section 12(b) of the Securities Exchange Act of 1934, as amended (the “Exchange Act”), including any amendment or report filed</w:t>
        </w:r>
      </w:hyperlink>
      <w:r>
        <w:rPr>
          <w:rFonts w:ascii="Arial" w:cs="Arial" w:eastAsia="Arial" w:hAnsi="Arial"/>
          <w:sz w:val="18"/>
          <w:szCs w:val="18"/>
          <w:u w:val="single" w:color="auto"/>
          <w:color w:val="0000FF"/>
        </w:rPr>
        <w:t xml:space="preserve"> </w:t>
      </w:r>
      <w:hyperlink r:id="rId9">
        <w:r>
          <w:rPr>
            <w:rFonts w:ascii="Arial" w:cs="Arial" w:eastAsia="Arial" w:hAnsi="Arial"/>
            <w:sz w:val="18"/>
            <w:szCs w:val="18"/>
            <w:u w:val="single" w:color="auto"/>
            <w:color w:val="0000FF"/>
          </w:rPr>
          <w:t>for the purpose of updating such description, including Exhibit 4.2 to our Annual Report on Form 10-K for the fiscal year ended December</w:t>
        </w:r>
      </w:hyperlink>
      <w:r>
        <w:rPr>
          <w:rFonts w:ascii="Arial" w:cs="Arial" w:eastAsia="Arial" w:hAnsi="Arial"/>
          <w:sz w:val="18"/>
          <w:szCs w:val="18"/>
          <w:u w:val="single" w:color="auto"/>
          <w:color w:val="0000FF"/>
        </w:rPr>
        <w:t xml:space="preserve"> </w:t>
      </w:r>
      <w:hyperlink r:id="rId9">
        <w:r>
          <w:rPr>
            <w:rFonts w:ascii="Arial" w:cs="Arial" w:eastAsia="Arial" w:hAnsi="Arial"/>
            <w:sz w:val="18"/>
            <w:szCs w:val="18"/>
            <w:u w:val="single" w:color="auto"/>
            <w:color w:val="0000FF"/>
          </w:rPr>
          <w:t>31, 2020, filed with the SEC on February 22, 2021.</w:t>
        </w:r>
      </w:hyperlink>
    </w:p>
    <w:p>
      <w:pPr>
        <w:spacing w:after="0" w:line="216" w:lineRule="exact"/>
        <w:rPr>
          <w:rFonts w:ascii="Arial" w:cs="Arial" w:eastAsia="Arial" w:hAnsi="Arial"/>
          <w:sz w:val="18"/>
          <w:szCs w:val="18"/>
          <w:u w:val="single" w:color="auto"/>
          <w:color w:val="0000FF"/>
        </w:rPr>
      </w:pPr>
    </w:p>
    <w:p>
      <w:pPr>
        <w:jc w:val="both"/>
        <w:ind w:firstLine="432"/>
        <w:spacing w:after="0" w:line="271" w:lineRule="auto"/>
        <w:rPr>
          <w:sz w:val="20"/>
          <w:szCs w:val="20"/>
          <w:color w:val="auto"/>
        </w:rPr>
      </w:pPr>
      <w:r>
        <w:rPr>
          <w:rFonts w:ascii="Arial" w:cs="Arial" w:eastAsia="Arial" w:hAnsi="Arial"/>
          <w:sz w:val="17"/>
          <w:szCs w:val="17"/>
          <w:color w:val="auto"/>
        </w:rPr>
        <w:t>In addition, all documents filed by the Registrant pursuant to Section 13(a), 13(c), 14 or 15(d) of the Exchange Act (excluding any portions thereof furnished by the Registrant, including information furnished under Item 2.02 and Item 7.01 and any exhibits relating to Item 2.02 or Item 7.01 furnished under Item 9.01 of Form 8-K and any certification required by 18 U.S.C. § 1350), subsequent to the filing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such documents. Any statement contained in a document incorporated or deemed to be incorporated by reference herein shall be deemed to be modified or superseded for purposes of this Registration Statement to the extent that a statement contained in any subsequently filed document which also is deemed to be incorporated by reference herein modifies or supersedes such statement.</w:t>
      </w:r>
    </w:p>
    <w:p>
      <w:pPr>
        <w:sectPr>
          <w:pgSz w:w="11900" w:h="16838" w:orient="portrait"/>
          <w:cols w:equalWidth="0" w:num="1">
            <w:col w:w="11240"/>
          </w:cols>
          <w:pgMar w:left="320" w:top="904" w:right="339" w:bottom="1440" w:gutter="0" w:footer="0" w:header="0"/>
        </w:sectPr>
      </w:pPr>
    </w:p>
    <w:bookmarkStart w:id="2" w:name="page3"/>
    <w:bookmarkEnd w:id="2"/>
    <w:p>
      <w:pPr>
        <w:ind w:left="20"/>
        <w:spacing w:after="0"/>
        <w:tabs>
          <w:tab w:leader="none" w:pos="7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pacing w:after="0" w:line="1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exhibits are filed herewith:</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80" w:type="dxa"/>
            <w:vAlign w:val="bottom"/>
            <w:gridSpan w:val="3"/>
          </w:tcPr>
          <w:p>
            <w:pPr>
              <w:ind w:left="240"/>
              <w:spacing w:after="0"/>
              <w:rPr>
                <w:sz w:val="20"/>
                <w:szCs w:val="20"/>
                <w:color w:val="auto"/>
              </w:rPr>
            </w:pPr>
            <w:r>
              <w:rPr>
                <w:rFonts w:ascii="Arial" w:cs="Arial" w:eastAsia="Arial" w:hAnsi="Arial"/>
                <w:sz w:val="18"/>
                <w:szCs w:val="18"/>
                <w:color w:val="auto"/>
              </w:rPr>
              <w:t>Incorporated by Reference</w:t>
            </w:r>
          </w:p>
        </w:tc>
        <w:tc>
          <w:tcPr>
            <w:tcW w:w="1440" w:type="dxa"/>
            <w:vAlign w:val="bottom"/>
          </w:tcPr>
          <w:p>
            <w:pPr>
              <w:spacing w:after="0"/>
              <w:rPr>
                <w:sz w:val="20"/>
                <w:szCs w:val="20"/>
                <w:color w:val="auto"/>
              </w:rPr>
            </w:pPr>
          </w:p>
        </w:tc>
      </w:tr>
      <w:tr>
        <w:trPr>
          <w:trHeight w:val="27"/>
        </w:trPr>
        <w:tc>
          <w:tcPr>
            <w:tcW w:w="9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40" w:type="dxa"/>
            <w:vAlign w:val="bottom"/>
          </w:tcPr>
          <w:p>
            <w:pPr>
              <w:spacing w:after="0"/>
              <w:rPr>
                <w:sz w:val="2"/>
                <w:szCs w:val="2"/>
                <w:color w:val="auto"/>
              </w:rPr>
            </w:pPr>
          </w:p>
        </w:tc>
      </w:tr>
      <w:tr>
        <w:trPr>
          <w:trHeight w:val="237"/>
        </w:trPr>
        <w:tc>
          <w:tcPr>
            <w:tcW w:w="980" w:type="dxa"/>
            <w:vAlign w:val="bottom"/>
          </w:tcPr>
          <w:p>
            <w:pPr>
              <w:ind w:left="60"/>
              <w:spacing w:after="0"/>
              <w:rPr>
                <w:sz w:val="20"/>
                <w:szCs w:val="20"/>
                <w:color w:val="auto"/>
              </w:rPr>
            </w:pPr>
            <w:r>
              <w:rPr>
                <w:rFonts w:ascii="Arial" w:cs="Arial" w:eastAsia="Arial" w:hAnsi="Arial"/>
                <w:sz w:val="18"/>
                <w:szCs w:val="18"/>
                <w:color w:val="auto"/>
              </w:rPr>
              <w:t>Exhibit No.</w:t>
            </w:r>
          </w:p>
        </w:tc>
        <w:tc>
          <w:tcPr>
            <w:tcW w:w="1180" w:type="dxa"/>
            <w:vAlign w:val="bottom"/>
          </w:tcPr>
          <w:p>
            <w:pPr>
              <w:spacing w:after="0"/>
              <w:rPr>
                <w:sz w:val="20"/>
                <w:szCs w:val="20"/>
                <w:color w:val="auto"/>
              </w:rPr>
            </w:pPr>
          </w:p>
        </w:tc>
        <w:tc>
          <w:tcPr>
            <w:tcW w:w="3900" w:type="dxa"/>
            <w:vAlign w:val="bottom"/>
            <w:gridSpan w:val="11"/>
          </w:tcPr>
          <w:p>
            <w:pPr>
              <w:ind w:left="940"/>
              <w:spacing w:after="0"/>
              <w:rPr>
                <w:sz w:val="20"/>
                <w:szCs w:val="20"/>
                <w:color w:val="auto"/>
              </w:rPr>
            </w:pPr>
            <w:r>
              <w:rPr>
                <w:rFonts w:ascii="Arial" w:cs="Arial" w:eastAsia="Arial" w:hAnsi="Arial"/>
                <w:sz w:val="18"/>
                <w:szCs w:val="18"/>
                <w:color w:val="auto"/>
              </w:rPr>
              <w:t>Description</w:t>
            </w:r>
          </w:p>
        </w:tc>
        <w:tc>
          <w:tcPr>
            <w:tcW w:w="660" w:type="dxa"/>
            <w:vAlign w:val="bottom"/>
          </w:tcPr>
          <w:p>
            <w:pPr>
              <w:jc w:val="center"/>
              <w:spacing w:after="0"/>
              <w:rPr>
                <w:sz w:val="20"/>
                <w:szCs w:val="20"/>
                <w:color w:val="auto"/>
              </w:rPr>
            </w:pPr>
            <w:r>
              <w:rPr>
                <w:rFonts w:ascii="Arial" w:cs="Arial" w:eastAsia="Arial" w:hAnsi="Arial"/>
                <w:sz w:val="18"/>
                <w:szCs w:val="18"/>
                <w:color w:val="auto"/>
                <w:w w:val="95"/>
              </w:rPr>
              <w:t>Form</w:t>
            </w:r>
          </w:p>
        </w:tc>
        <w:tc>
          <w:tcPr>
            <w:tcW w:w="1160" w:type="dxa"/>
            <w:vAlign w:val="bottom"/>
          </w:tcPr>
          <w:p>
            <w:pPr>
              <w:ind w:left="280"/>
              <w:spacing w:after="0"/>
              <w:rPr>
                <w:sz w:val="20"/>
                <w:szCs w:val="20"/>
                <w:color w:val="auto"/>
              </w:rPr>
            </w:pPr>
            <w:r>
              <w:rPr>
                <w:rFonts w:ascii="Arial" w:cs="Arial" w:eastAsia="Arial" w:hAnsi="Arial"/>
                <w:sz w:val="18"/>
                <w:szCs w:val="18"/>
                <w:color w:val="auto"/>
              </w:rPr>
              <w:t>File No.</w:t>
            </w:r>
          </w:p>
        </w:tc>
        <w:tc>
          <w:tcPr>
            <w:tcW w:w="800" w:type="dxa"/>
            <w:vAlign w:val="bottom"/>
          </w:tcPr>
          <w:p>
            <w:pPr>
              <w:ind w:left="140"/>
              <w:spacing w:after="0"/>
              <w:rPr>
                <w:sz w:val="20"/>
                <w:szCs w:val="20"/>
                <w:color w:val="auto"/>
              </w:rPr>
            </w:pPr>
            <w:r>
              <w:rPr>
                <w:rFonts w:ascii="Arial" w:cs="Arial" w:eastAsia="Arial" w:hAnsi="Arial"/>
                <w:sz w:val="18"/>
                <w:szCs w:val="18"/>
                <w:color w:val="auto"/>
              </w:rPr>
              <w:t>Exhibit</w:t>
            </w:r>
          </w:p>
        </w:tc>
        <w:tc>
          <w:tcPr>
            <w:tcW w:w="1120" w:type="dxa"/>
            <w:vAlign w:val="bottom"/>
          </w:tcPr>
          <w:p>
            <w:pPr>
              <w:ind w:left="140"/>
              <w:spacing w:after="0"/>
              <w:rPr>
                <w:sz w:val="20"/>
                <w:szCs w:val="20"/>
                <w:color w:val="auto"/>
              </w:rPr>
            </w:pPr>
            <w:r>
              <w:rPr>
                <w:rFonts w:ascii="Arial" w:cs="Arial" w:eastAsia="Arial" w:hAnsi="Arial"/>
                <w:sz w:val="18"/>
                <w:szCs w:val="18"/>
                <w:color w:val="auto"/>
              </w:rPr>
              <w:t>Filing Date</w:t>
            </w: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Filed Herewith</w:t>
            </w:r>
          </w:p>
        </w:tc>
      </w:tr>
      <w:tr>
        <w:trPr>
          <w:trHeight w:val="27"/>
        </w:trPr>
        <w:tc>
          <w:tcPr>
            <w:tcW w:w="9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980" w:type="dxa"/>
            <w:vAlign w:val="bottom"/>
          </w:tcPr>
          <w:p>
            <w:pPr>
              <w:ind w:left="20"/>
              <w:spacing w:after="0"/>
              <w:rPr>
                <w:sz w:val="20"/>
                <w:szCs w:val="20"/>
                <w:color w:val="auto"/>
              </w:rPr>
            </w:pPr>
            <w:r>
              <w:rPr>
                <w:rFonts w:ascii="Arial" w:cs="Arial" w:eastAsia="Arial" w:hAnsi="Arial"/>
                <w:sz w:val="18"/>
                <w:szCs w:val="18"/>
                <w:color w:val="auto"/>
              </w:rPr>
              <w:t>4.1</w:t>
            </w:r>
          </w:p>
        </w:tc>
        <w:tc>
          <w:tcPr>
            <w:tcW w:w="3900" w:type="dxa"/>
            <w:vAlign w:val="bottom"/>
            <w:tcBorders>
              <w:bottom w:val="single" w:sz="8" w:color="0000FF"/>
            </w:tcBorders>
            <w:gridSpan w:val="6"/>
          </w:tcPr>
          <w:p>
            <w:pPr>
              <w:spacing w:after="0"/>
              <w:rPr>
                <w:rFonts w:ascii="Arial" w:cs="Arial" w:eastAsia="Arial" w:hAnsi="Arial"/>
                <w:sz w:val="18"/>
                <w:szCs w:val="18"/>
                <w:color w:val="0000FF"/>
                <w:w w:val="91"/>
              </w:rPr>
            </w:pPr>
            <w:hyperlink r:id="rId10">
              <w:r>
                <w:rPr>
                  <w:rFonts w:ascii="Arial" w:cs="Arial" w:eastAsia="Arial" w:hAnsi="Arial"/>
                  <w:sz w:val="18"/>
                  <w:szCs w:val="18"/>
                  <w:color w:val="0000FF"/>
                  <w:w w:val="91"/>
                </w:rPr>
                <w:t>Restated Certificate of Incorporation of the Registrant</w:t>
              </w:r>
            </w:hyperlink>
          </w:p>
        </w:tc>
        <w:tc>
          <w:tcPr>
            <w:tcW w:w="1180" w:type="dxa"/>
            <w:vAlign w:val="bottom"/>
            <w:gridSpan w:val="6"/>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001-36156</w:t>
            </w: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11/8/2013</w:t>
            </w:r>
          </w:p>
        </w:tc>
        <w:tc>
          <w:tcPr>
            <w:tcW w:w="1440" w:type="dxa"/>
            <w:vAlign w:val="bottom"/>
          </w:tcPr>
          <w:p>
            <w:pPr>
              <w:spacing w:after="0"/>
              <w:rPr>
                <w:sz w:val="20"/>
                <w:szCs w:val="20"/>
                <w:color w:val="auto"/>
              </w:rPr>
            </w:pPr>
          </w:p>
        </w:tc>
      </w:tr>
      <w:tr>
        <w:trPr>
          <w:trHeight w:val="277"/>
        </w:trPr>
        <w:tc>
          <w:tcPr>
            <w:tcW w:w="980" w:type="dxa"/>
            <w:vAlign w:val="bottom"/>
          </w:tcPr>
          <w:p>
            <w:pPr>
              <w:ind w:left="20"/>
              <w:spacing w:after="0"/>
              <w:rPr>
                <w:sz w:val="20"/>
                <w:szCs w:val="20"/>
                <w:color w:val="auto"/>
              </w:rPr>
            </w:pPr>
            <w:r>
              <w:rPr>
                <w:rFonts w:ascii="Arial" w:cs="Arial" w:eastAsia="Arial" w:hAnsi="Arial"/>
                <w:sz w:val="18"/>
                <w:szCs w:val="18"/>
                <w:color w:val="auto"/>
              </w:rPr>
              <w:t>4.2</w:t>
            </w:r>
          </w:p>
        </w:tc>
        <w:tc>
          <w:tcPr>
            <w:tcW w:w="2460" w:type="dxa"/>
            <w:vAlign w:val="bottom"/>
            <w:tcBorders>
              <w:bottom w:val="single" w:sz="8" w:color="0000FF"/>
            </w:tcBorders>
            <w:gridSpan w:val="3"/>
          </w:tcPr>
          <w:p>
            <w:pPr>
              <w:spacing w:after="0"/>
              <w:rPr>
                <w:rFonts w:ascii="Arial" w:cs="Arial" w:eastAsia="Arial" w:hAnsi="Arial"/>
                <w:sz w:val="18"/>
                <w:szCs w:val="18"/>
                <w:color w:val="0000FF"/>
                <w:w w:val="89"/>
              </w:rPr>
            </w:pPr>
            <w:hyperlink r:id="rId11">
              <w:r>
                <w:rPr>
                  <w:rFonts w:ascii="Arial" w:cs="Arial" w:eastAsia="Arial" w:hAnsi="Arial"/>
                  <w:sz w:val="18"/>
                  <w:szCs w:val="18"/>
                  <w:color w:val="0000FF"/>
                  <w:w w:val="89"/>
                </w:rPr>
                <w:t>Restated Bylaws of the Registrant</w:t>
              </w:r>
            </w:hyperlink>
          </w:p>
        </w:tc>
        <w:tc>
          <w:tcPr>
            <w:tcW w:w="2620" w:type="dxa"/>
            <w:vAlign w:val="bottom"/>
            <w:gridSpan w:val="9"/>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001-36156</w:t>
            </w: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1/25/2021</w:t>
            </w:r>
          </w:p>
        </w:tc>
        <w:tc>
          <w:tcPr>
            <w:tcW w:w="1440" w:type="dxa"/>
            <w:vAlign w:val="bottom"/>
          </w:tcPr>
          <w:p>
            <w:pPr>
              <w:spacing w:after="0"/>
              <w:rPr>
                <w:sz w:val="24"/>
                <w:szCs w:val="24"/>
                <w:color w:val="auto"/>
              </w:rPr>
            </w:pPr>
          </w:p>
        </w:tc>
      </w:tr>
      <w:tr>
        <w:trPr>
          <w:trHeight w:val="291"/>
        </w:trPr>
        <w:tc>
          <w:tcPr>
            <w:tcW w:w="980" w:type="dxa"/>
            <w:vAlign w:val="bottom"/>
          </w:tcPr>
          <w:p>
            <w:pPr>
              <w:ind w:left="20"/>
              <w:spacing w:after="0"/>
              <w:rPr>
                <w:sz w:val="20"/>
                <w:szCs w:val="20"/>
                <w:color w:val="auto"/>
              </w:rPr>
            </w:pPr>
            <w:r>
              <w:rPr>
                <w:rFonts w:ascii="Arial" w:cs="Arial" w:eastAsia="Arial" w:hAnsi="Arial"/>
                <w:sz w:val="18"/>
                <w:szCs w:val="18"/>
                <w:color w:val="auto"/>
              </w:rPr>
              <w:t>4.3</w:t>
            </w:r>
          </w:p>
        </w:tc>
        <w:tc>
          <w:tcPr>
            <w:tcW w:w="5080" w:type="dxa"/>
            <w:vAlign w:val="bottom"/>
            <w:gridSpan w:val="12"/>
          </w:tcPr>
          <w:p>
            <w:pPr>
              <w:spacing w:after="0"/>
              <w:rPr>
                <w:rFonts w:ascii="Arial" w:cs="Arial" w:eastAsia="Arial" w:hAnsi="Arial"/>
                <w:sz w:val="18"/>
                <w:szCs w:val="18"/>
                <w:color w:val="0000FF"/>
              </w:rPr>
            </w:pPr>
            <w:hyperlink r:id="rId12">
              <w:r>
                <w:rPr>
                  <w:rFonts w:ascii="Arial" w:cs="Arial" w:eastAsia="Arial" w:hAnsi="Arial"/>
                  <w:sz w:val="18"/>
                  <w:szCs w:val="18"/>
                  <w:color w:val="0000FF"/>
                </w:rPr>
                <w:t>Form of Common Stock Certificate</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333-191282</w:t>
            </w: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10/15/2013</w:t>
            </w:r>
          </w:p>
        </w:tc>
        <w:tc>
          <w:tcPr>
            <w:tcW w:w="1440" w:type="dxa"/>
            <w:vAlign w:val="bottom"/>
          </w:tcPr>
          <w:p>
            <w:pPr>
              <w:spacing w:after="0"/>
              <w:rPr>
                <w:sz w:val="24"/>
                <w:szCs w:val="24"/>
                <w:color w:val="auto"/>
              </w:rPr>
            </w:pPr>
          </w:p>
        </w:tc>
      </w:tr>
      <w:tr>
        <w:trPr>
          <w:trHeight w:val="318"/>
        </w:trPr>
        <w:tc>
          <w:tcPr>
            <w:tcW w:w="980" w:type="dxa"/>
            <w:vAlign w:val="bottom"/>
          </w:tcPr>
          <w:p>
            <w:pPr>
              <w:ind w:left="20"/>
              <w:spacing w:after="0"/>
              <w:rPr>
                <w:sz w:val="20"/>
                <w:szCs w:val="20"/>
                <w:color w:val="auto"/>
              </w:rPr>
            </w:pPr>
            <w:r>
              <w:rPr>
                <w:rFonts w:ascii="Arial" w:cs="Arial" w:eastAsia="Arial" w:hAnsi="Arial"/>
                <w:sz w:val="18"/>
                <w:szCs w:val="18"/>
                <w:color w:val="auto"/>
              </w:rPr>
              <w:t>5.1</w:t>
            </w:r>
          </w:p>
        </w:tc>
        <w:tc>
          <w:tcPr>
            <w:tcW w:w="2560" w:type="dxa"/>
            <w:vAlign w:val="bottom"/>
            <w:tcBorders>
              <w:top w:val="single" w:sz="8" w:color="0000FF"/>
            </w:tcBorders>
            <w:gridSpan w:val="4"/>
          </w:tcPr>
          <w:p>
            <w:pPr>
              <w:spacing w:after="0"/>
              <w:rPr>
                <w:rFonts w:ascii="Arial" w:cs="Arial" w:eastAsia="Arial" w:hAnsi="Arial"/>
                <w:sz w:val="18"/>
                <w:szCs w:val="18"/>
                <w:color w:val="0000FF"/>
                <w:w w:val="98"/>
              </w:rPr>
            </w:pPr>
            <w:hyperlink w:anchor="page8">
              <w:r>
                <w:rPr>
                  <w:rFonts w:ascii="Arial" w:cs="Arial" w:eastAsia="Arial" w:hAnsi="Arial"/>
                  <w:sz w:val="18"/>
                  <w:szCs w:val="18"/>
                  <w:color w:val="0000FF"/>
                  <w:w w:val="98"/>
                </w:rPr>
                <w:t>Opinion of Fenwick &amp; West, LLP</w:t>
              </w:r>
            </w:hyperlink>
          </w:p>
        </w:tc>
        <w:tc>
          <w:tcPr>
            <w:tcW w:w="2520" w:type="dxa"/>
            <w:vAlign w:val="bottom"/>
            <w:gridSpan w:val="8"/>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0"/>
        </w:trPr>
        <w:tc>
          <w:tcPr>
            <w:tcW w:w="98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77"/>
        </w:trPr>
        <w:tc>
          <w:tcPr>
            <w:tcW w:w="980" w:type="dxa"/>
            <w:vAlign w:val="bottom"/>
          </w:tcPr>
          <w:p>
            <w:pPr>
              <w:ind w:left="20"/>
              <w:spacing w:after="0"/>
              <w:rPr>
                <w:sz w:val="20"/>
                <w:szCs w:val="20"/>
                <w:color w:val="auto"/>
              </w:rPr>
            </w:pPr>
            <w:r>
              <w:rPr>
                <w:rFonts w:ascii="Arial" w:cs="Arial" w:eastAsia="Arial" w:hAnsi="Arial"/>
                <w:sz w:val="18"/>
                <w:szCs w:val="18"/>
                <w:color w:val="auto"/>
              </w:rPr>
              <w:t>23.1</w:t>
            </w:r>
          </w:p>
        </w:tc>
        <w:tc>
          <w:tcPr>
            <w:tcW w:w="5080" w:type="dxa"/>
            <w:vAlign w:val="bottom"/>
            <w:gridSpan w:val="12"/>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Consent of Independent Registered Public Accounting Firm</w:t>
              </w:r>
            </w:hyperlink>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50"/>
        </w:trPr>
        <w:tc>
          <w:tcPr>
            <w:tcW w:w="980" w:type="dxa"/>
            <w:vAlign w:val="bottom"/>
          </w:tcPr>
          <w:p>
            <w:pPr>
              <w:ind w:left="20"/>
              <w:spacing w:after="0"/>
              <w:rPr>
                <w:sz w:val="20"/>
                <w:szCs w:val="20"/>
                <w:color w:val="auto"/>
              </w:rPr>
            </w:pPr>
            <w:r>
              <w:rPr>
                <w:rFonts w:ascii="Arial" w:cs="Arial" w:eastAsia="Arial" w:hAnsi="Arial"/>
                <w:sz w:val="18"/>
                <w:szCs w:val="18"/>
                <w:color w:val="auto"/>
              </w:rPr>
              <w:t>23.2</w:t>
            </w:r>
          </w:p>
        </w:tc>
        <w:tc>
          <w:tcPr>
            <w:tcW w:w="4320" w:type="dxa"/>
            <w:vAlign w:val="bottom"/>
            <w:tcBorders>
              <w:top w:val="single" w:sz="8" w:color="0000FF"/>
            </w:tcBorders>
            <w:gridSpan w:val="9"/>
          </w:tcPr>
          <w:p>
            <w:pPr>
              <w:spacing w:after="0"/>
              <w:rPr>
                <w:rFonts w:ascii="Arial" w:cs="Arial" w:eastAsia="Arial" w:hAnsi="Arial"/>
                <w:sz w:val="18"/>
                <w:szCs w:val="18"/>
                <w:color w:val="0000FF"/>
                <w:w w:val="94"/>
              </w:rPr>
            </w:pPr>
            <w:hyperlink w:anchor="page8">
              <w:r>
                <w:rPr>
                  <w:rFonts w:ascii="Arial" w:cs="Arial" w:eastAsia="Arial" w:hAnsi="Arial"/>
                  <w:sz w:val="18"/>
                  <w:szCs w:val="18"/>
                  <w:color w:val="0000FF"/>
                  <w:w w:val="94"/>
                </w:rPr>
                <w:t>Consent of Fenwick &amp; West LLP (included in Exhibit 5.1).</w:t>
              </w:r>
            </w:hyperlink>
          </w:p>
        </w:tc>
        <w:tc>
          <w:tcPr>
            <w:tcW w:w="760" w:type="dxa"/>
            <w:vAlign w:val="bottom"/>
            <w:gridSpan w:val="3"/>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50"/>
        </w:trPr>
        <w:tc>
          <w:tcPr>
            <w:tcW w:w="980" w:type="dxa"/>
            <w:vAlign w:val="bottom"/>
          </w:tcPr>
          <w:p>
            <w:pPr>
              <w:ind w:left="20"/>
              <w:spacing w:after="0"/>
              <w:rPr>
                <w:sz w:val="20"/>
                <w:szCs w:val="20"/>
                <w:color w:val="auto"/>
              </w:rPr>
            </w:pPr>
            <w:r>
              <w:rPr>
                <w:rFonts w:ascii="Arial" w:cs="Arial" w:eastAsia="Arial" w:hAnsi="Arial"/>
                <w:sz w:val="18"/>
                <w:szCs w:val="18"/>
                <w:color w:val="auto"/>
              </w:rPr>
              <w:t>24.1</w:t>
            </w:r>
          </w:p>
        </w:tc>
        <w:tc>
          <w:tcPr>
            <w:tcW w:w="4260" w:type="dxa"/>
            <w:vAlign w:val="bottom"/>
            <w:tcBorders>
              <w:top w:val="single" w:sz="8" w:color="0000FF"/>
            </w:tcBorders>
            <w:gridSpan w:val="8"/>
          </w:tcPr>
          <w:p>
            <w:pPr>
              <w:spacing w:after="0"/>
              <w:rPr>
                <w:rFonts w:ascii="Arial" w:cs="Arial" w:eastAsia="Arial" w:hAnsi="Arial"/>
                <w:sz w:val="18"/>
                <w:szCs w:val="18"/>
                <w:color w:val="0000FF"/>
                <w:w w:val="94"/>
              </w:rPr>
            </w:pPr>
            <w:hyperlink w:anchor="page4">
              <w:r>
                <w:rPr>
                  <w:rFonts w:ascii="Arial" w:cs="Arial" w:eastAsia="Arial" w:hAnsi="Arial"/>
                  <w:sz w:val="18"/>
                  <w:szCs w:val="18"/>
                  <w:color w:val="0000FF"/>
                  <w:w w:val="94"/>
                </w:rPr>
                <w:t>Power of Attorney (contained on signature page hereto).</w:t>
              </w:r>
            </w:hyperlink>
          </w:p>
        </w:tc>
        <w:tc>
          <w:tcPr>
            <w:tcW w:w="820" w:type="dxa"/>
            <w:vAlign w:val="bottom"/>
            <w:gridSpan w:val="4"/>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0"/>
        </w:trPr>
        <w:tc>
          <w:tcPr>
            <w:tcW w:w="98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180" w:type="dxa"/>
            <w:vAlign w:val="bottom"/>
            <w:gridSpan w:val="4"/>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50"/>
        </w:trPr>
        <w:tc>
          <w:tcPr>
            <w:tcW w:w="980" w:type="dxa"/>
            <w:vAlign w:val="bottom"/>
          </w:tcPr>
          <w:p>
            <w:pPr>
              <w:ind w:left="20"/>
              <w:spacing w:after="0"/>
              <w:rPr>
                <w:sz w:val="20"/>
                <w:szCs w:val="20"/>
                <w:color w:val="auto"/>
              </w:rPr>
            </w:pPr>
            <w:r>
              <w:rPr>
                <w:rFonts w:ascii="Arial" w:cs="Arial" w:eastAsia="Arial" w:hAnsi="Arial"/>
                <w:sz w:val="18"/>
                <w:szCs w:val="18"/>
                <w:color w:val="auto"/>
              </w:rPr>
              <w:t>99.1</w:t>
            </w:r>
          </w:p>
        </w:tc>
        <w:tc>
          <w:tcPr>
            <w:tcW w:w="4780" w:type="dxa"/>
            <w:vAlign w:val="bottom"/>
            <w:tcBorders>
              <w:bottom w:val="single" w:sz="8" w:color="0000FF"/>
            </w:tcBorders>
            <w:gridSpan w:val="10"/>
          </w:tcPr>
          <w:p>
            <w:pPr>
              <w:spacing w:after="0"/>
              <w:rPr>
                <w:rFonts w:ascii="Arial" w:cs="Arial" w:eastAsia="Arial" w:hAnsi="Arial"/>
                <w:sz w:val="18"/>
                <w:szCs w:val="18"/>
                <w:color w:val="0000FF"/>
                <w:w w:val="90"/>
              </w:rPr>
            </w:pPr>
            <w:hyperlink r:id="rId13">
              <w:r>
                <w:rPr>
                  <w:rFonts w:ascii="Arial" w:cs="Arial" w:eastAsia="Arial" w:hAnsi="Arial"/>
                  <w:sz w:val="18"/>
                  <w:szCs w:val="18"/>
                  <w:color w:val="0000FF"/>
                  <w:w w:val="90"/>
                </w:rPr>
                <w:t>2013 Stock Incentive Plan, as amended, and forms of stock option</w:t>
              </w:r>
            </w:hyperlink>
          </w:p>
        </w:tc>
        <w:tc>
          <w:tcPr>
            <w:tcW w:w="300" w:type="dxa"/>
            <w:vAlign w:val="bottom"/>
            <w:gridSpan w:val="2"/>
          </w:tcPr>
          <w:p>
            <w:pPr>
              <w:spacing w:after="0"/>
              <w:rPr>
                <w:sz w:val="21"/>
                <w:szCs w:val="21"/>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001-36156</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10.3#</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2/27/2018</w:t>
            </w:r>
          </w:p>
        </w:tc>
        <w:tc>
          <w:tcPr>
            <w:tcW w:w="1440" w:type="dxa"/>
            <w:vAlign w:val="bottom"/>
          </w:tcPr>
          <w:p>
            <w:pPr>
              <w:spacing w:after="0"/>
              <w:rPr>
                <w:sz w:val="21"/>
                <w:szCs w:val="21"/>
                <w:color w:val="auto"/>
              </w:rPr>
            </w:pPr>
          </w:p>
        </w:tc>
      </w:tr>
      <w:tr>
        <w:trPr>
          <w:trHeight w:val="196"/>
        </w:trPr>
        <w:tc>
          <w:tcPr>
            <w:tcW w:w="980" w:type="dxa"/>
            <w:vAlign w:val="bottom"/>
          </w:tcPr>
          <w:p>
            <w:pPr>
              <w:spacing w:after="0"/>
              <w:rPr>
                <w:sz w:val="17"/>
                <w:szCs w:val="17"/>
                <w:color w:val="auto"/>
              </w:rPr>
            </w:pPr>
          </w:p>
        </w:tc>
        <w:tc>
          <w:tcPr>
            <w:tcW w:w="5080" w:type="dxa"/>
            <w:vAlign w:val="bottom"/>
            <w:gridSpan w:val="12"/>
          </w:tcPr>
          <w:p>
            <w:pPr>
              <w:spacing w:after="0" w:line="196" w:lineRule="exact"/>
              <w:rPr>
                <w:rFonts w:ascii="Arial" w:cs="Arial" w:eastAsia="Arial" w:hAnsi="Arial"/>
                <w:sz w:val="18"/>
                <w:szCs w:val="18"/>
                <w:color w:val="0000FF"/>
                <w:w w:val="93"/>
              </w:rPr>
            </w:pPr>
            <w:hyperlink r:id="rId13">
              <w:r>
                <w:rPr>
                  <w:rFonts w:ascii="Arial" w:cs="Arial" w:eastAsia="Arial" w:hAnsi="Arial"/>
                  <w:sz w:val="18"/>
                  <w:szCs w:val="18"/>
                  <w:color w:val="0000FF"/>
                  <w:w w:val="93"/>
                </w:rPr>
                <w:t>award agreement, stock option exercise agreement, restricted stock</w:t>
              </w:r>
            </w:hyperlink>
          </w:p>
        </w:tc>
        <w:tc>
          <w:tcPr>
            <w:tcW w:w="6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482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13">
              <w:r>
                <w:rPr>
                  <w:rFonts w:ascii="Arial" w:cs="Arial" w:eastAsia="Arial" w:hAnsi="Arial"/>
                  <w:sz w:val="18"/>
                  <w:szCs w:val="18"/>
                  <w:color w:val="0000FF"/>
                </w:rPr>
                <w:t>agreement and restricted stock unit agreement.</w:t>
              </w:r>
            </w:hyperlink>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50"/>
        </w:trPr>
        <w:tc>
          <w:tcPr>
            <w:tcW w:w="980" w:type="dxa"/>
            <w:vAlign w:val="bottom"/>
          </w:tcPr>
          <w:p>
            <w:pPr>
              <w:ind w:left="20"/>
              <w:spacing w:after="0"/>
              <w:rPr>
                <w:sz w:val="20"/>
                <w:szCs w:val="20"/>
                <w:color w:val="auto"/>
              </w:rPr>
            </w:pPr>
            <w:r>
              <w:rPr>
                <w:rFonts w:ascii="Arial" w:cs="Arial" w:eastAsia="Arial" w:hAnsi="Arial"/>
                <w:sz w:val="18"/>
                <w:szCs w:val="18"/>
                <w:color w:val="auto"/>
              </w:rPr>
              <w:t>107.1</w:t>
            </w:r>
          </w:p>
        </w:tc>
        <w:tc>
          <w:tcPr>
            <w:tcW w:w="3360" w:type="dxa"/>
            <w:vAlign w:val="bottom"/>
            <w:tcBorders>
              <w:top w:val="single" w:sz="8" w:color="0000FF"/>
            </w:tcBorders>
            <w:gridSpan w:val="5"/>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Filing Fee Table</w:t>
              </w:r>
            </w:hyperlink>
          </w:p>
        </w:tc>
        <w:tc>
          <w:tcPr>
            <w:tcW w:w="1720" w:type="dxa"/>
            <w:vAlign w:val="bottom"/>
            <w:gridSpan w:val="7"/>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0"/>
        </w:trPr>
        <w:tc>
          <w:tcPr>
            <w:tcW w:w="98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tabs>
          <w:tab w:leader="none" w:pos="7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2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The undersigned Registrant hereby undertakes:</w:t>
      </w:r>
    </w:p>
    <w:p>
      <w:pPr>
        <w:spacing w:after="0" w:line="225" w:lineRule="exact"/>
        <w:rPr>
          <w:sz w:val="20"/>
          <w:szCs w:val="20"/>
          <w:color w:val="auto"/>
        </w:rPr>
      </w:pPr>
    </w:p>
    <w:p>
      <w:pPr>
        <w:ind w:left="700" w:hanging="260"/>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(i) To include any prospectus required by Section 10(a)(3) of the Securities Act;</w:t>
      </w:r>
    </w:p>
    <w:p>
      <w:pPr>
        <w:spacing w:after="0" w:line="225" w:lineRule="exact"/>
        <w:rPr>
          <w:sz w:val="20"/>
          <w:szCs w:val="20"/>
          <w:color w:val="auto"/>
        </w:rPr>
      </w:pPr>
    </w:p>
    <w:p>
      <w:pPr>
        <w:jc w:val="both"/>
        <w:ind w:firstLine="440"/>
        <w:spacing w:after="0" w:line="293" w:lineRule="auto"/>
        <w:tabs>
          <w:tab w:leader="none" w:pos="715"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64" w:lineRule="exact"/>
        <w:rPr>
          <w:rFonts w:ascii="Arial" w:cs="Arial" w:eastAsia="Arial" w:hAnsi="Arial"/>
          <w:sz w:val="16"/>
          <w:szCs w:val="16"/>
          <w:color w:val="auto"/>
        </w:rPr>
      </w:pPr>
    </w:p>
    <w:p>
      <w:pPr>
        <w:ind w:firstLine="440"/>
        <w:spacing w:after="0" w:line="277" w:lineRule="auto"/>
        <w:tabs>
          <w:tab w:leader="none" w:pos="748"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provided, however, that paragraphs (a)(1)(i) and (a)(1)(ii) of this section shall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w:t>
      </w:r>
    </w:p>
    <w:p>
      <w:pPr>
        <w:spacing w:after="0" w:line="184" w:lineRule="exact"/>
        <w:rPr>
          <w:sz w:val="20"/>
          <w:szCs w:val="20"/>
          <w:color w:val="auto"/>
        </w:rPr>
      </w:pPr>
    </w:p>
    <w:p>
      <w:pPr>
        <w:jc w:val="both"/>
        <w:ind w:firstLine="440"/>
        <w:spacing w:after="0" w:line="263" w:lineRule="auto"/>
        <w:tabs>
          <w:tab w:leader="none" w:pos="706" w:val="left"/>
        </w:tabs>
        <w:numPr>
          <w:ilvl w:val="0"/>
          <w:numId w:val="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ectPr>
          <w:pgSz w:w="11900" w:h="16838" w:orient="portrait"/>
          <w:cols w:equalWidth="0" w:num="1">
            <w:col w:w="11240"/>
          </w:cols>
          <w:pgMar w:left="320" w:top="945" w:right="339" w:bottom="1440" w:gutter="0" w:footer="0" w:header="0"/>
        </w:sectPr>
      </w:pPr>
    </w:p>
    <w:bookmarkStart w:id="3" w:name="page4"/>
    <w:bookmarkEnd w:id="3"/>
    <w:p>
      <w:pPr>
        <w:ind w:left="-440" w:firstLine="440"/>
        <w:spacing w:after="0" w:line="277" w:lineRule="auto"/>
        <w:tabs>
          <w:tab w:leader="none" w:pos="288"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sz w:val="20"/>
          <w:szCs w:val="20"/>
          <w:color w:val="auto"/>
        </w:rPr>
      </w:pPr>
    </w:p>
    <w:p>
      <w:pPr>
        <w:jc w:val="both"/>
        <w:ind w:left="-440" w:firstLine="440"/>
        <w:spacing w:after="0" w:line="257" w:lineRule="auto"/>
        <w:tabs>
          <w:tab w:leader="none" w:pos="286"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7" w:lineRule="exact"/>
        <w:rPr>
          <w:rFonts w:ascii="Arial" w:cs="Arial" w:eastAsia="Arial" w:hAnsi="Arial"/>
          <w:sz w:val="18"/>
          <w:szCs w:val="18"/>
          <w:color w:val="auto"/>
        </w:rPr>
      </w:pPr>
    </w:p>
    <w:p>
      <w:pPr>
        <w:jc w:val="both"/>
        <w:ind w:left="-440" w:firstLine="440"/>
        <w:spacing w:after="0" w:line="291" w:lineRule="auto"/>
        <w:tabs>
          <w:tab w:leader="none" w:pos="255" w:val="left"/>
        </w:tabs>
        <w:numPr>
          <w:ilvl w:val="0"/>
          <w:numId w:val="6"/>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ectPr>
          <w:pgSz w:w="11900" w:h="16838" w:orient="portrait"/>
          <w:cols w:equalWidth="0" w:num="1">
            <w:col w:w="10800"/>
          </w:cols>
          <w:pgMar w:left="760" w:top="1111"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8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South San Francisco, State of California, on the 28th day of February, 2022.</w:t>
      </w:r>
    </w:p>
    <w:p>
      <w:pPr>
        <w:spacing w:after="0" w:line="15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VERACYTE, INC.</w:t>
      </w:r>
    </w:p>
    <w:p>
      <w:pPr>
        <w:spacing w:after="0" w:line="63" w:lineRule="exact"/>
        <w:rPr>
          <w:sz w:val="20"/>
          <w:szCs w:val="20"/>
          <w:color w:val="auto"/>
        </w:rPr>
      </w:pPr>
    </w:p>
    <w:p>
      <w:pPr>
        <w:ind w:left="5260"/>
        <w:spacing w:after="0"/>
        <w:tabs>
          <w:tab w:leader="none" w:pos="5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STAPLEY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31750</wp:posOffset>
            </wp:positionV>
            <wp:extent cx="27089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84"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Marc Stapley</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Chief Executive Officer</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70"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Marc Stapley and Rebecca Chambers and each of them,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on Form S-8,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each of said attorneys-in-fact and agents, or his or her substitute or substitutes may lawfully do or cause to be done by virtue hereof.</w:t>
      </w:r>
    </w:p>
    <w:p>
      <w:pPr>
        <w:spacing w:after="0" w:line="19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ectPr>
          <w:pgSz w:w="11900" w:h="16838" w:orient="portrait"/>
          <w:cols w:equalWidth="0" w:num="1">
            <w:col w:w="11240"/>
          </w:cols>
          <w:pgMar w:left="320" w:top="90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48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14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360" w:type="dxa"/>
            <w:vAlign w:val="bottom"/>
          </w:tcPr>
          <w:p>
            <w:pPr>
              <w:spacing w:after="0"/>
              <w:rPr>
                <w:sz w:val="20"/>
                <w:szCs w:val="20"/>
                <w:color w:val="auto"/>
              </w:rPr>
            </w:pPr>
            <w:r>
              <w:rPr>
                <w:rFonts w:ascii="Arial" w:cs="Arial" w:eastAsia="Arial" w:hAnsi="Arial"/>
                <w:sz w:val="18"/>
                <w:szCs w:val="18"/>
                <w:b w:val="1"/>
                <w:bCs w:val="1"/>
                <w:color w:val="auto"/>
                <w:w w:val="91"/>
              </w:rPr>
              <w:t>Title</w:t>
            </w:r>
          </w:p>
        </w:tc>
        <w:tc>
          <w:tcPr>
            <w:tcW w:w="2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3700" w:type="dxa"/>
            <w:vAlign w:val="bottom"/>
            <w:gridSpan w:val="3"/>
          </w:tcPr>
          <w:p>
            <w:pPr>
              <w:jc w:val="center"/>
              <w:spacing w:after="0"/>
              <w:rPr>
                <w:sz w:val="20"/>
                <w:szCs w:val="20"/>
                <w:color w:val="auto"/>
              </w:rPr>
            </w:pPr>
            <w:r>
              <w:rPr>
                <w:rFonts w:ascii="Arial" w:cs="Arial" w:eastAsia="Arial" w:hAnsi="Arial"/>
                <w:sz w:val="18"/>
                <w:szCs w:val="18"/>
                <w:color w:val="auto"/>
                <w:w w:val="95"/>
              </w:rPr>
              <w:t>/s/ MARC STAPLEY</w:t>
            </w:r>
          </w:p>
        </w:tc>
        <w:tc>
          <w:tcPr>
            <w:tcW w:w="5000" w:type="dxa"/>
            <w:vAlign w:val="bottom"/>
            <w:gridSpan w:val="3"/>
          </w:tcPr>
          <w:p>
            <w:pPr>
              <w:ind w:left="280"/>
              <w:spacing w:after="0"/>
              <w:rPr>
                <w:sz w:val="20"/>
                <w:szCs w:val="20"/>
                <w:color w:val="auto"/>
              </w:rPr>
            </w:pPr>
            <w:r>
              <w:rPr>
                <w:rFonts w:ascii="Arial" w:cs="Arial" w:eastAsia="Arial" w:hAnsi="Arial"/>
                <w:sz w:val="18"/>
                <w:szCs w:val="18"/>
                <w:color w:val="auto"/>
              </w:rPr>
              <w:t>Chief Executive Officer</w:t>
            </w:r>
          </w:p>
        </w:tc>
        <w:tc>
          <w:tcPr>
            <w:tcW w:w="1900" w:type="dxa"/>
            <w:vAlign w:val="bottom"/>
            <w:gridSpan w:val="3"/>
          </w:tcPr>
          <w:p>
            <w:pPr>
              <w:jc w:val="center"/>
              <w:ind w:left="490"/>
              <w:spacing w:after="0"/>
              <w:rPr>
                <w:sz w:val="20"/>
                <w:szCs w:val="20"/>
                <w:color w:val="auto"/>
              </w:rPr>
            </w:pPr>
            <w:r>
              <w:rPr>
                <w:rFonts w:ascii="Arial" w:cs="Arial" w:eastAsia="Arial" w:hAnsi="Arial"/>
                <w:sz w:val="18"/>
                <w:szCs w:val="18"/>
                <w:color w:val="auto"/>
                <w:w w:val="89"/>
              </w:rPr>
              <w:t>February 28, 2022</w:t>
            </w:r>
          </w:p>
        </w:tc>
        <w:tc>
          <w:tcPr>
            <w:tcW w:w="0" w:type="dxa"/>
            <w:vAlign w:val="bottom"/>
          </w:tcPr>
          <w:p>
            <w:pPr>
              <w:spacing w:after="0"/>
              <w:rPr>
                <w:sz w:val="1"/>
                <w:szCs w:val="1"/>
                <w:color w:val="auto"/>
              </w:rPr>
            </w:pPr>
          </w:p>
        </w:tc>
      </w:tr>
      <w:tr>
        <w:trPr>
          <w:trHeight w:val="41"/>
        </w:trPr>
        <w:tc>
          <w:tcPr>
            <w:tcW w:w="14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5000" w:type="dxa"/>
            <w:vAlign w:val="bottom"/>
            <w:gridSpan w:val="3"/>
            <w:vMerge w:val="restart"/>
          </w:tcPr>
          <w:p>
            <w:pPr>
              <w:ind w:left="280"/>
              <w:spacing w:after="0"/>
              <w:rPr>
                <w:sz w:val="20"/>
                <w:szCs w:val="20"/>
                <w:color w:val="auto"/>
              </w:rPr>
            </w:pPr>
            <w:r>
              <w:rPr>
                <w:rFonts w:ascii="Arial" w:cs="Arial" w:eastAsia="Arial" w:hAnsi="Arial"/>
                <w:sz w:val="18"/>
                <w:szCs w:val="18"/>
                <w:color w:val="auto"/>
              </w:rPr>
              <w:t>(Principal Executive Officer)</w:t>
            </w:r>
          </w:p>
        </w:tc>
        <w:tc>
          <w:tcPr>
            <w:tcW w:w="10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700" w:type="dxa"/>
            <w:vAlign w:val="bottom"/>
            <w:gridSpan w:val="3"/>
            <w:vMerge w:val="restart"/>
          </w:tcPr>
          <w:p>
            <w:pPr>
              <w:jc w:val="center"/>
              <w:spacing w:after="0"/>
              <w:rPr>
                <w:sz w:val="20"/>
                <w:szCs w:val="20"/>
                <w:color w:val="auto"/>
              </w:rPr>
            </w:pPr>
            <w:r>
              <w:rPr>
                <w:rFonts w:ascii="Arial" w:cs="Arial" w:eastAsia="Arial" w:hAnsi="Arial"/>
                <w:sz w:val="18"/>
                <w:szCs w:val="18"/>
                <w:color w:val="auto"/>
                <w:w w:val="91"/>
              </w:rPr>
              <w:t>Marc Stapley</w:t>
            </w:r>
          </w:p>
        </w:tc>
        <w:tc>
          <w:tcPr>
            <w:tcW w:w="5000" w:type="dxa"/>
            <w:vAlign w:val="bottom"/>
            <w:gridSpan w:val="3"/>
            <w:vMerge w:val="continue"/>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700" w:type="dxa"/>
            <w:vAlign w:val="bottom"/>
            <w:gridSpan w:val="3"/>
            <w:vMerge w:val="continue"/>
          </w:tcPr>
          <w:p>
            <w:pPr>
              <w:spacing w:after="0"/>
              <w:rPr>
                <w:sz w:val="5"/>
                <w:szCs w:val="5"/>
                <w:color w:val="auto"/>
              </w:rPr>
            </w:pPr>
          </w:p>
        </w:tc>
        <w:tc>
          <w:tcPr>
            <w:tcW w:w="2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3700" w:type="dxa"/>
            <w:vAlign w:val="bottom"/>
            <w:gridSpan w:val="3"/>
          </w:tcPr>
          <w:p>
            <w:pPr>
              <w:jc w:val="center"/>
              <w:spacing w:after="0"/>
              <w:rPr>
                <w:sz w:val="20"/>
                <w:szCs w:val="20"/>
                <w:color w:val="auto"/>
              </w:rPr>
            </w:pPr>
            <w:r>
              <w:rPr>
                <w:rFonts w:ascii="Arial" w:cs="Arial" w:eastAsia="Arial" w:hAnsi="Arial"/>
                <w:sz w:val="18"/>
                <w:szCs w:val="18"/>
                <w:color w:val="auto"/>
                <w:w w:val="95"/>
              </w:rPr>
              <w:t>/s/ REBECCA CHAMBERS</w:t>
            </w:r>
          </w:p>
        </w:tc>
        <w:tc>
          <w:tcPr>
            <w:tcW w:w="5000" w:type="dxa"/>
            <w:vAlign w:val="bottom"/>
            <w:gridSpan w:val="3"/>
          </w:tcPr>
          <w:p>
            <w:pPr>
              <w:ind w:left="280"/>
              <w:spacing w:after="0"/>
              <w:rPr>
                <w:sz w:val="20"/>
                <w:szCs w:val="20"/>
                <w:color w:val="auto"/>
              </w:rPr>
            </w:pPr>
            <w:r>
              <w:rPr>
                <w:rFonts w:ascii="Arial" w:cs="Arial" w:eastAsia="Arial" w:hAnsi="Arial"/>
                <w:sz w:val="18"/>
                <w:szCs w:val="18"/>
                <w:color w:val="auto"/>
              </w:rPr>
              <w:t>Chief Financial Officer</w:t>
            </w:r>
          </w:p>
        </w:tc>
        <w:tc>
          <w:tcPr>
            <w:tcW w:w="1900" w:type="dxa"/>
            <w:vAlign w:val="bottom"/>
            <w:gridSpan w:val="3"/>
          </w:tcPr>
          <w:p>
            <w:pPr>
              <w:jc w:val="center"/>
              <w:ind w:left="490"/>
              <w:spacing w:after="0"/>
              <w:rPr>
                <w:sz w:val="20"/>
                <w:szCs w:val="20"/>
                <w:color w:val="auto"/>
              </w:rPr>
            </w:pPr>
            <w:r>
              <w:rPr>
                <w:rFonts w:ascii="Arial" w:cs="Arial" w:eastAsia="Arial" w:hAnsi="Arial"/>
                <w:sz w:val="18"/>
                <w:szCs w:val="18"/>
                <w:color w:val="auto"/>
                <w:w w:val="89"/>
              </w:rPr>
              <w:t>February 28, 2022</w:t>
            </w:r>
          </w:p>
        </w:tc>
        <w:tc>
          <w:tcPr>
            <w:tcW w:w="0" w:type="dxa"/>
            <w:vAlign w:val="bottom"/>
          </w:tcPr>
          <w:p>
            <w:pPr>
              <w:spacing w:after="0"/>
              <w:rPr>
                <w:sz w:val="1"/>
                <w:szCs w:val="1"/>
                <w:color w:val="auto"/>
              </w:rPr>
            </w:pPr>
          </w:p>
        </w:tc>
      </w:tr>
      <w:tr>
        <w:trPr>
          <w:trHeight w:val="41"/>
        </w:trPr>
        <w:tc>
          <w:tcPr>
            <w:tcW w:w="14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5000" w:type="dxa"/>
            <w:vAlign w:val="bottom"/>
            <w:gridSpan w:val="3"/>
            <w:vMerge w:val="restart"/>
          </w:tcPr>
          <w:p>
            <w:pPr>
              <w:ind w:left="280"/>
              <w:spacing w:after="0"/>
              <w:rPr>
                <w:sz w:val="20"/>
                <w:szCs w:val="20"/>
                <w:color w:val="auto"/>
              </w:rPr>
            </w:pPr>
            <w:r>
              <w:rPr>
                <w:rFonts w:ascii="Arial" w:cs="Arial" w:eastAsia="Arial" w:hAnsi="Arial"/>
                <w:sz w:val="18"/>
                <w:szCs w:val="18"/>
                <w:color w:val="auto"/>
              </w:rPr>
              <w:t>(Principal Financial Officer)</w:t>
            </w:r>
          </w:p>
        </w:tc>
        <w:tc>
          <w:tcPr>
            <w:tcW w:w="10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700" w:type="dxa"/>
            <w:vAlign w:val="bottom"/>
            <w:gridSpan w:val="3"/>
            <w:vMerge w:val="restart"/>
          </w:tcPr>
          <w:p>
            <w:pPr>
              <w:jc w:val="center"/>
              <w:spacing w:after="0"/>
              <w:rPr>
                <w:sz w:val="20"/>
                <w:szCs w:val="20"/>
                <w:color w:val="auto"/>
              </w:rPr>
            </w:pPr>
            <w:r>
              <w:rPr>
                <w:rFonts w:ascii="Arial" w:cs="Arial" w:eastAsia="Arial" w:hAnsi="Arial"/>
                <w:sz w:val="18"/>
                <w:szCs w:val="18"/>
                <w:color w:val="auto"/>
                <w:w w:val="86"/>
              </w:rPr>
              <w:t>Rebecca Chambers</w:t>
            </w:r>
          </w:p>
        </w:tc>
        <w:tc>
          <w:tcPr>
            <w:tcW w:w="5000" w:type="dxa"/>
            <w:vAlign w:val="bottom"/>
            <w:gridSpan w:val="3"/>
            <w:vMerge w:val="continue"/>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700" w:type="dxa"/>
            <w:vAlign w:val="bottom"/>
            <w:gridSpan w:val="3"/>
            <w:vMerge w:val="continue"/>
          </w:tcPr>
          <w:p>
            <w:pPr>
              <w:spacing w:after="0"/>
              <w:rPr>
                <w:sz w:val="5"/>
                <w:szCs w:val="5"/>
                <w:color w:val="auto"/>
              </w:rPr>
            </w:pPr>
          </w:p>
        </w:tc>
        <w:tc>
          <w:tcPr>
            <w:tcW w:w="2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3700" w:type="dxa"/>
            <w:vAlign w:val="bottom"/>
            <w:gridSpan w:val="3"/>
          </w:tcPr>
          <w:p>
            <w:pPr>
              <w:jc w:val="center"/>
              <w:spacing w:after="0"/>
              <w:rPr>
                <w:sz w:val="20"/>
                <w:szCs w:val="20"/>
                <w:color w:val="auto"/>
              </w:rPr>
            </w:pPr>
            <w:r>
              <w:rPr>
                <w:rFonts w:ascii="Arial" w:cs="Arial" w:eastAsia="Arial" w:hAnsi="Arial"/>
                <w:sz w:val="18"/>
                <w:szCs w:val="18"/>
                <w:color w:val="auto"/>
                <w:w w:val="95"/>
              </w:rPr>
              <w:t>/s/ BONNIE H. ANDERSON</w:t>
            </w:r>
          </w:p>
        </w:tc>
        <w:tc>
          <w:tcPr>
            <w:tcW w:w="5000" w:type="dxa"/>
            <w:vAlign w:val="bottom"/>
            <w:gridSpan w:val="3"/>
          </w:tcPr>
          <w:p>
            <w:pPr>
              <w:ind w:left="280"/>
              <w:spacing w:after="0"/>
              <w:rPr>
                <w:sz w:val="20"/>
                <w:szCs w:val="20"/>
                <w:color w:val="auto"/>
              </w:rPr>
            </w:pPr>
            <w:r>
              <w:rPr>
                <w:rFonts w:ascii="Arial" w:cs="Arial" w:eastAsia="Arial" w:hAnsi="Arial"/>
                <w:sz w:val="18"/>
                <w:szCs w:val="18"/>
                <w:color w:val="auto"/>
              </w:rPr>
              <w:t>Executive Chairwoman</w:t>
            </w:r>
          </w:p>
        </w:tc>
        <w:tc>
          <w:tcPr>
            <w:tcW w:w="1900" w:type="dxa"/>
            <w:vAlign w:val="bottom"/>
            <w:gridSpan w:val="3"/>
          </w:tcPr>
          <w:p>
            <w:pPr>
              <w:jc w:val="center"/>
              <w:ind w:left="490"/>
              <w:spacing w:after="0"/>
              <w:rPr>
                <w:sz w:val="20"/>
                <w:szCs w:val="20"/>
                <w:color w:val="auto"/>
              </w:rPr>
            </w:pPr>
            <w:r>
              <w:rPr>
                <w:rFonts w:ascii="Arial" w:cs="Arial" w:eastAsia="Arial" w:hAnsi="Arial"/>
                <w:sz w:val="18"/>
                <w:szCs w:val="18"/>
                <w:color w:val="auto"/>
                <w:w w:val="89"/>
              </w:rPr>
              <w:t>February 28, 2022</w:t>
            </w: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00" w:type="dxa"/>
            <w:vAlign w:val="bottom"/>
            <w:gridSpan w:val="3"/>
          </w:tcPr>
          <w:p>
            <w:pPr>
              <w:jc w:val="center"/>
              <w:spacing w:after="0"/>
              <w:rPr>
                <w:sz w:val="20"/>
                <w:szCs w:val="20"/>
                <w:color w:val="auto"/>
              </w:rPr>
            </w:pPr>
            <w:r>
              <w:rPr>
                <w:rFonts w:ascii="Arial" w:cs="Arial" w:eastAsia="Arial" w:hAnsi="Arial"/>
                <w:sz w:val="18"/>
                <w:szCs w:val="18"/>
                <w:color w:val="auto"/>
                <w:w w:val="91"/>
              </w:rPr>
              <w:t>Bonnie H. Anderson</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3700" w:type="dxa"/>
            <w:vAlign w:val="bottom"/>
            <w:gridSpan w:val="3"/>
          </w:tcPr>
          <w:p>
            <w:pPr>
              <w:jc w:val="center"/>
              <w:spacing w:after="0"/>
              <w:rPr>
                <w:sz w:val="20"/>
                <w:szCs w:val="20"/>
                <w:color w:val="auto"/>
              </w:rPr>
            </w:pPr>
            <w:r>
              <w:rPr>
                <w:rFonts w:ascii="Arial" w:cs="Arial" w:eastAsia="Arial" w:hAnsi="Arial"/>
                <w:sz w:val="18"/>
                <w:szCs w:val="18"/>
                <w:color w:val="auto"/>
                <w:w w:val="97"/>
              </w:rPr>
              <w:t>/s/ JANE ALLEY</w:t>
            </w:r>
          </w:p>
        </w:tc>
        <w:tc>
          <w:tcPr>
            <w:tcW w:w="5000" w:type="dxa"/>
            <w:vAlign w:val="bottom"/>
            <w:gridSpan w:val="3"/>
          </w:tcPr>
          <w:p>
            <w:pPr>
              <w:ind w:left="280"/>
              <w:spacing w:after="0"/>
              <w:rPr>
                <w:sz w:val="20"/>
                <w:szCs w:val="20"/>
                <w:color w:val="auto"/>
              </w:rPr>
            </w:pPr>
            <w:r>
              <w:rPr>
                <w:rFonts w:ascii="Arial" w:cs="Arial" w:eastAsia="Arial" w:hAnsi="Arial"/>
                <w:sz w:val="18"/>
                <w:szCs w:val="18"/>
                <w:color w:val="auto"/>
              </w:rPr>
              <w:t>Vice President, Controller (Principal Accounting Officer)</w:t>
            </w:r>
          </w:p>
        </w:tc>
        <w:tc>
          <w:tcPr>
            <w:tcW w:w="1900" w:type="dxa"/>
            <w:vAlign w:val="bottom"/>
            <w:gridSpan w:val="3"/>
          </w:tcPr>
          <w:p>
            <w:pPr>
              <w:jc w:val="center"/>
              <w:ind w:left="490"/>
              <w:spacing w:after="0"/>
              <w:rPr>
                <w:sz w:val="20"/>
                <w:szCs w:val="20"/>
                <w:color w:val="auto"/>
              </w:rPr>
            </w:pPr>
            <w:r>
              <w:rPr>
                <w:rFonts w:ascii="Arial" w:cs="Arial" w:eastAsia="Arial" w:hAnsi="Arial"/>
                <w:sz w:val="18"/>
                <w:szCs w:val="18"/>
                <w:color w:val="auto"/>
                <w:w w:val="89"/>
              </w:rPr>
              <w:t>February 28, 2022</w:t>
            </w: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00" w:type="dxa"/>
            <w:vAlign w:val="bottom"/>
            <w:gridSpan w:val="3"/>
          </w:tcPr>
          <w:p>
            <w:pPr>
              <w:jc w:val="center"/>
              <w:spacing w:after="0"/>
              <w:rPr>
                <w:sz w:val="20"/>
                <w:szCs w:val="20"/>
                <w:color w:val="auto"/>
              </w:rPr>
            </w:pPr>
            <w:r>
              <w:rPr>
                <w:rFonts w:ascii="Arial" w:cs="Arial" w:eastAsia="Arial" w:hAnsi="Arial"/>
                <w:sz w:val="18"/>
                <w:szCs w:val="18"/>
                <w:color w:val="auto"/>
                <w:w w:val="91"/>
              </w:rPr>
              <w:t>Jane Alley</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3700" w:type="dxa"/>
            <w:vAlign w:val="bottom"/>
            <w:gridSpan w:val="3"/>
          </w:tcPr>
          <w:p>
            <w:pPr>
              <w:jc w:val="center"/>
              <w:spacing w:after="0"/>
              <w:rPr>
                <w:sz w:val="20"/>
                <w:szCs w:val="20"/>
                <w:color w:val="auto"/>
              </w:rPr>
            </w:pPr>
            <w:r>
              <w:rPr>
                <w:rFonts w:ascii="Arial" w:cs="Arial" w:eastAsia="Arial" w:hAnsi="Arial"/>
                <w:sz w:val="18"/>
                <w:szCs w:val="18"/>
                <w:color w:val="auto"/>
                <w:w w:val="93"/>
              </w:rPr>
              <w:t>/s/ JOHN L. BISHOP</w:t>
            </w:r>
          </w:p>
        </w:tc>
        <w:tc>
          <w:tcPr>
            <w:tcW w:w="5000" w:type="dxa"/>
            <w:vAlign w:val="bottom"/>
            <w:gridSpan w:val="3"/>
          </w:tcPr>
          <w:p>
            <w:pPr>
              <w:ind w:left="280"/>
              <w:spacing w:after="0"/>
              <w:rPr>
                <w:sz w:val="20"/>
                <w:szCs w:val="20"/>
                <w:color w:val="auto"/>
              </w:rPr>
            </w:pPr>
            <w:r>
              <w:rPr>
                <w:rFonts w:ascii="Arial" w:cs="Arial" w:eastAsia="Arial" w:hAnsi="Arial"/>
                <w:sz w:val="18"/>
                <w:szCs w:val="18"/>
                <w:color w:val="auto"/>
              </w:rPr>
              <w:t>Lead Independent Director</w:t>
            </w:r>
          </w:p>
        </w:tc>
        <w:tc>
          <w:tcPr>
            <w:tcW w:w="1900" w:type="dxa"/>
            <w:vAlign w:val="bottom"/>
            <w:gridSpan w:val="3"/>
          </w:tcPr>
          <w:p>
            <w:pPr>
              <w:jc w:val="center"/>
              <w:ind w:left="490"/>
              <w:spacing w:after="0"/>
              <w:rPr>
                <w:sz w:val="20"/>
                <w:szCs w:val="20"/>
                <w:color w:val="auto"/>
              </w:rPr>
            </w:pPr>
            <w:r>
              <w:rPr>
                <w:rFonts w:ascii="Arial" w:cs="Arial" w:eastAsia="Arial" w:hAnsi="Arial"/>
                <w:sz w:val="18"/>
                <w:szCs w:val="18"/>
                <w:color w:val="auto"/>
                <w:w w:val="89"/>
              </w:rPr>
              <w:t>February 28, 2022</w:t>
            </w: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00" w:type="dxa"/>
            <w:vAlign w:val="bottom"/>
            <w:gridSpan w:val="3"/>
          </w:tcPr>
          <w:p>
            <w:pPr>
              <w:jc w:val="center"/>
              <w:spacing w:after="0"/>
              <w:rPr>
                <w:sz w:val="20"/>
                <w:szCs w:val="20"/>
                <w:color w:val="auto"/>
              </w:rPr>
            </w:pPr>
            <w:r>
              <w:rPr>
                <w:rFonts w:ascii="Arial" w:cs="Arial" w:eastAsia="Arial" w:hAnsi="Arial"/>
                <w:sz w:val="18"/>
                <w:szCs w:val="18"/>
                <w:color w:val="auto"/>
                <w:w w:val="90"/>
              </w:rPr>
              <w:t>John L. Bishop</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700" w:type="dxa"/>
            <w:vAlign w:val="bottom"/>
            <w:gridSpan w:val="3"/>
          </w:tcPr>
          <w:p>
            <w:pPr>
              <w:jc w:val="center"/>
              <w:spacing w:after="0"/>
              <w:rPr>
                <w:sz w:val="20"/>
                <w:szCs w:val="20"/>
                <w:color w:val="auto"/>
              </w:rPr>
            </w:pPr>
            <w:r>
              <w:rPr>
                <w:rFonts w:ascii="Arial" w:cs="Arial" w:eastAsia="Arial" w:hAnsi="Arial"/>
                <w:sz w:val="18"/>
                <w:szCs w:val="18"/>
                <w:color w:val="auto"/>
                <w:w w:val="98"/>
              </w:rPr>
              <w:t>/s/ MUNA BHANJI</w:t>
            </w:r>
          </w:p>
        </w:tc>
        <w:tc>
          <w:tcPr>
            <w:tcW w:w="500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900" w:type="dxa"/>
            <w:vAlign w:val="bottom"/>
            <w:gridSpan w:val="3"/>
          </w:tcPr>
          <w:p>
            <w:pPr>
              <w:jc w:val="center"/>
              <w:ind w:left="490"/>
              <w:spacing w:after="0"/>
              <w:rPr>
                <w:sz w:val="20"/>
                <w:szCs w:val="20"/>
                <w:color w:val="auto"/>
              </w:rPr>
            </w:pPr>
            <w:r>
              <w:rPr>
                <w:rFonts w:ascii="Arial" w:cs="Arial" w:eastAsia="Arial" w:hAnsi="Arial"/>
                <w:sz w:val="18"/>
                <w:szCs w:val="18"/>
                <w:color w:val="auto"/>
                <w:w w:val="89"/>
              </w:rPr>
              <w:t>February 28, 2022</w:t>
            </w: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00" w:type="dxa"/>
            <w:vAlign w:val="bottom"/>
            <w:gridSpan w:val="3"/>
          </w:tcPr>
          <w:p>
            <w:pPr>
              <w:jc w:val="center"/>
              <w:spacing w:after="0"/>
              <w:rPr>
                <w:sz w:val="20"/>
                <w:szCs w:val="20"/>
                <w:color w:val="auto"/>
              </w:rPr>
            </w:pPr>
            <w:r>
              <w:rPr>
                <w:rFonts w:ascii="Arial" w:cs="Arial" w:eastAsia="Arial" w:hAnsi="Arial"/>
                <w:sz w:val="18"/>
                <w:szCs w:val="18"/>
                <w:color w:val="auto"/>
                <w:w w:val="93"/>
              </w:rPr>
              <w:t>Muna Bhanji</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700" w:type="dxa"/>
            <w:vAlign w:val="bottom"/>
            <w:gridSpan w:val="3"/>
          </w:tcPr>
          <w:p>
            <w:pPr>
              <w:jc w:val="center"/>
              <w:spacing w:after="0"/>
              <w:rPr>
                <w:sz w:val="20"/>
                <w:szCs w:val="20"/>
                <w:color w:val="auto"/>
              </w:rPr>
            </w:pPr>
            <w:r>
              <w:rPr>
                <w:rFonts w:ascii="Arial" w:cs="Arial" w:eastAsia="Arial" w:hAnsi="Arial"/>
                <w:sz w:val="18"/>
                <w:szCs w:val="18"/>
                <w:color w:val="auto"/>
                <w:w w:val="99"/>
              </w:rPr>
              <w:t>/s/ KARIN EASTHAM</w:t>
            </w:r>
          </w:p>
        </w:tc>
        <w:tc>
          <w:tcPr>
            <w:tcW w:w="500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900" w:type="dxa"/>
            <w:vAlign w:val="bottom"/>
            <w:gridSpan w:val="3"/>
          </w:tcPr>
          <w:p>
            <w:pPr>
              <w:jc w:val="center"/>
              <w:ind w:left="490"/>
              <w:spacing w:after="0"/>
              <w:rPr>
                <w:sz w:val="20"/>
                <w:szCs w:val="20"/>
                <w:color w:val="auto"/>
              </w:rPr>
            </w:pPr>
            <w:r>
              <w:rPr>
                <w:rFonts w:ascii="Arial" w:cs="Arial" w:eastAsia="Arial" w:hAnsi="Arial"/>
                <w:sz w:val="18"/>
                <w:szCs w:val="18"/>
                <w:color w:val="auto"/>
                <w:w w:val="89"/>
              </w:rPr>
              <w:t>February 28, 2022</w:t>
            </w: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00" w:type="dxa"/>
            <w:vAlign w:val="bottom"/>
            <w:gridSpan w:val="3"/>
          </w:tcPr>
          <w:p>
            <w:pPr>
              <w:jc w:val="center"/>
              <w:spacing w:after="0"/>
              <w:rPr>
                <w:sz w:val="20"/>
                <w:szCs w:val="20"/>
                <w:color w:val="auto"/>
              </w:rPr>
            </w:pPr>
            <w:r>
              <w:rPr>
                <w:rFonts w:ascii="Arial" w:cs="Arial" w:eastAsia="Arial" w:hAnsi="Arial"/>
                <w:sz w:val="18"/>
                <w:szCs w:val="18"/>
                <w:color w:val="auto"/>
                <w:w w:val="91"/>
              </w:rPr>
              <w:t>Karin Eastham</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700" w:type="dxa"/>
            <w:vAlign w:val="bottom"/>
            <w:gridSpan w:val="3"/>
          </w:tcPr>
          <w:p>
            <w:pPr>
              <w:jc w:val="center"/>
              <w:spacing w:after="0"/>
              <w:rPr>
                <w:sz w:val="20"/>
                <w:szCs w:val="20"/>
                <w:color w:val="auto"/>
              </w:rPr>
            </w:pPr>
            <w:r>
              <w:rPr>
                <w:rFonts w:ascii="Arial" w:cs="Arial" w:eastAsia="Arial" w:hAnsi="Arial"/>
                <w:sz w:val="18"/>
                <w:szCs w:val="18"/>
                <w:color w:val="auto"/>
                <w:w w:val="93"/>
              </w:rPr>
              <w:t>/s/ ROBERT S. EPSTEIN, M.D., M.S.</w:t>
            </w:r>
          </w:p>
        </w:tc>
        <w:tc>
          <w:tcPr>
            <w:tcW w:w="500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900" w:type="dxa"/>
            <w:vAlign w:val="bottom"/>
            <w:gridSpan w:val="3"/>
          </w:tcPr>
          <w:p>
            <w:pPr>
              <w:jc w:val="center"/>
              <w:ind w:left="490"/>
              <w:spacing w:after="0"/>
              <w:rPr>
                <w:sz w:val="20"/>
                <w:szCs w:val="20"/>
                <w:color w:val="auto"/>
              </w:rPr>
            </w:pPr>
            <w:r>
              <w:rPr>
                <w:rFonts w:ascii="Arial" w:cs="Arial" w:eastAsia="Arial" w:hAnsi="Arial"/>
                <w:sz w:val="18"/>
                <w:szCs w:val="18"/>
                <w:color w:val="auto"/>
                <w:w w:val="89"/>
              </w:rPr>
              <w:t>February 28, 2022</w:t>
            </w: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00" w:type="dxa"/>
            <w:vAlign w:val="bottom"/>
            <w:gridSpan w:val="3"/>
          </w:tcPr>
          <w:p>
            <w:pPr>
              <w:jc w:val="center"/>
              <w:spacing w:after="0"/>
              <w:rPr>
                <w:sz w:val="20"/>
                <w:szCs w:val="20"/>
                <w:color w:val="auto"/>
              </w:rPr>
            </w:pPr>
            <w:r>
              <w:rPr>
                <w:rFonts w:ascii="Arial" w:cs="Arial" w:eastAsia="Arial" w:hAnsi="Arial"/>
                <w:sz w:val="18"/>
                <w:szCs w:val="18"/>
                <w:color w:val="auto"/>
                <w:w w:val="91"/>
              </w:rPr>
              <w:t>Robert S. Epstein, M.D., M.S.</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700" w:type="dxa"/>
            <w:vAlign w:val="bottom"/>
            <w:gridSpan w:val="3"/>
          </w:tcPr>
          <w:p>
            <w:pPr>
              <w:jc w:val="center"/>
              <w:spacing w:after="0"/>
              <w:rPr>
                <w:sz w:val="20"/>
                <w:szCs w:val="20"/>
                <w:color w:val="auto"/>
              </w:rPr>
            </w:pPr>
            <w:r>
              <w:rPr>
                <w:rFonts w:ascii="Arial" w:cs="Arial" w:eastAsia="Arial" w:hAnsi="Arial"/>
                <w:sz w:val="18"/>
                <w:szCs w:val="18"/>
                <w:color w:val="auto"/>
                <w:w w:val="96"/>
              </w:rPr>
              <w:t>/s/ KEVIN K. GORDON</w:t>
            </w:r>
          </w:p>
        </w:tc>
        <w:tc>
          <w:tcPr>
            <w:tcW w:w="500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900" w:type="dxa"/>
            <w:vAlign w:val="bottom"/>
            <w:gridSpan w:val="3"/>
          </w:tcPr>
          <w:p>
            <w:pPr>
              <w:jc w:val="center"/>
              <w:ind w:left="490"/>
              <w:spacing w:after="0"/>
              <w:rPr>
                <w:sz w:val="20"/>
                <w:szCs w:val="20"/>
                <w:color w:val="auto"/>
              </w:rPr>
            </w:pPr>
            <w:r>
              <w:rPr>
                <w:rFonts w:ascii="Arial" w:cs="Arial" w:eastAsia="Arial" w:hAnsi="Arial"/>
                <w:sz w:val="18"/>
                <w:szCs w:val="18"/>
                <w:color w:val="auto"/>
                <w:w w:val="89"/>
              </w:rPr>
              <w:t>February 28, 2022</w:t>
            </w: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00" w:type="dxa"/>
            <w:vAlign w:val="bottom"/>
            <w:gridSpan w:val="3"/>
          </w:tcPr>
          <w:p>
            <w:pPr>
              <w:jc w:val="center"/>
              <w:spacing w:after="0"/>
              <w:rPr>
                <w:sz w:val="20"/>
                <w:szCs w:val="20"/>
                <w:color w:val="auto"/>
              </w:rPr>
            </w:pPr>
            <w:r>
              <w:rPr>
                <w:rFonts w:ascii="Arial" w:cs="Arial" w:eastAsia="Arial" w:hAnsi="Arial"/>
                <w:sz w:val="18"/>
                <w:szCs w:val="18"/>
                <w:color w:val="auto"/>
                <w:w w:val="93"/>
              </w:rPr>
              <w:t>Kevin K. Gordon</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700" w:type="dxa"/>
            <w:vAlign w:val="bottom"/>
            <w:gridSpan w:val="3"/>
          </w:tcPr>
          <w:p>
            <w:pPr>
              <w:jc w:val="center"/>
              <w:spacing w:after="0"/>
              <w:rPr>
                <w:sz w:val="20"/>
                <w:szCs w:val="20"/>
                <w:color w:val="auto"/>
              </w:rPr>
            </w:pPr>
            <w:r>
              <w:rPr>
                <w:rFonts w:ascii="Arial" w:cs="Arial" w:eastAsia="Arial" w:hAnsi="Arial"/>
                <w:sz w:val="18"/>
                <w:szCs w:val="18"/>
                <w:color w:val="auto"/>
                <w:w w:val="94"/>
              </w:rPr>
              <w:t>/s/ JENS HOLSTEIN</w:t>
            </w:r>
          </w:p>
        </w:tc>
        <w:tc>
          <w:tcPr>
            <w:tcW w:w="500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900" w:type="dxa"/>
            <w:vAlign w:val="bottom"/>
            <w:gridSpan w:val="3"/>
          </w:tcPr>
          <w:p>
            <w:pPr>
              <w:jc w:val="center"/>
              <w:ind w:left="490"/>
              <w:spacing w:after="0"/>
              <w:rPr>
                <w:sz w:val="20"/>
                <w:szCs w:val="20"/>
                <w:color w:val="auto"/>
              </w:rPr>
            </w:pPr>
            <w:r>
              <w:rPr>
                <w:rFonts w:ascii="Arial" w:cs="Arial" w:eastAsia="Arial" w:hAnsi="Arial"/>
                <w:sz w:val="18"/>
                <w:szCs w:val="18"/>
                <w:color w:val="auto"/>
                <w:w w:val="89"/>
              </w:rPr>
              <w:t>February 28, 2022</w:t>
            </w: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00" w:type="dxa"/>
            <w:vAlign w:val="bottom"/>
            <w:gridSpan w:val="3"/>
          </w:tcPr>
          <w:p>
            <w:pPr>
              <w:jc w:val="center"/>
              <w:spacing w:after="0"/>
              <w:rPr>
                <w:sz w:val="20"/>
                <w:szCs w:val="20"/>
                <w:color w:val="auto"/>
              </w:rPr>
            </w:pPr>
            <w:r>
              <w:rPr>
                <w:rFonts w:ascii="Arial" w:cs="Arial" w:eastAsia="Arial" w:hAnsi="Arial"/>
                <w:sz w:val="18"/>
                <w:szCs w:val="18"/>
                <w:color w:val="auto"/>
                <w:w w:val="88"/>
              </w:rPr>
              <w:t>Jens Holstein</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700" w:type="dxa"/>
            <w:vAlign w:val="bottom"/>
            <w:gridSpan w:val="3"/>
          </w:tcPr>
          <w:p>
            <w:pPr>
              <w:jc w:val="center"/>
              <w:spacing w:after="0"/>
              <w:rPr>
                <w:sz w:val="20"/>
                <w:szCs w:val="20"/>
                <w:color w:val="auto"/>
              </w:rPr>
            </w:pPr>
            <w:r>
              <w:rPr>
                <w:rFonts w:ascii="Arial" w:cs="Arial" w:eastAsia="Arial" w:hAnsi="Arial"/>
                <w:sz w:val="18"/>
                <w:szCs w:val="18"/>
                <w:color w:val="auto"/>
                <w:w w:val="92"/>
              </w:rPr>
              <w:t>/s/ EVAN JONES</w:t>
            </w:r>
          </w:p>
        </w:tc>
        <w:tc>
          <w:tcPr>
            <w:tcW w:w="500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900" w:type="dxa"/>
            <w:vAlign w:val="bottom"/>
            <w:gridSpan w:val="3"/>
          </w:tcPr>
          <w:p>
            <w:pPr>
              <w:jc w:val="center"/>
              <w:ind w:left="490"/>
              <w:spacing w:after="0"/>
              <w:rPr>
                <w:sz w:val="20"/>
                <w:szCs w:val="20"/>
                <w:color w:val="auto"/>
              </w:rPr>
            </w:pPr>
            <w:r>
              <w:rPr>
                <w:rFonts w:ascii="Arial" w:cs="Arial" w:eastAsia="Arial" w:hAnsi="Arial"/>
                <w:sz w:val="18"/>
                <w:szCs w:val="18"/>
                <w:color w:val="auto"/>
                <w:w w:val="89"/>
              </w:rPr>
              <w:t>February 28, 2022</w:t>
            </w: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700" w:type="dxa"/>
            <w:vAlign w:val="bottom"/>
            <w:gridSpan w:val="3"/>
          </w:tcPr>
          <w:p>
            <w:pPr>
              <w:jc w:val="center"/>
              <w:spacing w:after="0"/>
              <w:rPr>
                <w:sz w:val="20"/>
                <w:szCs w:val="20"/>
                <w:color w:val="auto"/>
              </w:rPr>
            </w:pPr>
            <w:r>
              <w:rPr>
                <w:rFonts w:ascii="Arial" w:cs="Arial" w:eastAsia="Arial" w:hAnsi="Arial"/>
                <w:sz w:val="18"/>
                <w:szCs w:val="18"/>
                <w:color w:val="auto"/>
                <w:w w:val="85"/>
              </w:rPr>
              <w:t>Evan Jones</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600"/>
          </w:cols>
          <w:pgMar w:left="320" w:top="932" w:right="979" w:bottom="1440" w:gutter="0" w:footer="0" w:header="0"/>
        </w:sectPr>
      </w:pPr>
    </w:p>
    <w:bookmarkStart w:id="6" w:name="page7"/>
    <w:bookmarkEnd w:id="6"/>
    <w:p>
      <w:pPr>
        <w:jc w:val="right"/>
        <w:spacing w:after="0"/>
        <w:rPr>
          <w:sz w:val="20"/>
          <w:szCs w:val="20"/>
          <w:color w:val="auto"/>
        </w:rPr>
      </w:pPr>
      <w:r>
        <w:rPr>
          <w:rFonts w:ascii="Arial" w:cs="Arial" w:eastAsia="Arial" w:hAnsi="Arial"/>
          <w:sz w:val="22"/>
          <w:szCs w:val="22"/>
          <w:color w:val="auto"/>
        </w:rPr>
        <w:t>EXHIBIT 107.1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Calculation Of Filing Fee Tables</w:t>
      </w:r>
    </w:p>
    <w:p>
      <w:pPr>
        <w:spacing w:after="0" w:line="22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Form S-8</w:t>
      </w:r>
    </w:p>
    <w:p>
      <w:pPr>
        <w:jc w:val="center"/>
        <w:ind w:right="140"/>
        <w:spacing w:after="0"/>
        <w:rPr>
          <w:sz w:val="20"/>
          <w:szCs w:val="20"/>
          <w:color w:val="auto"/>
        </w:rPr>
      </w:pPr>
      <w:r>
        <w:rPr>
          <w:rFonts w:ascii="Arial" w:cs="Arial" w:eastAsia="Arial" w:hAnsi="Arial"/>
          <w:sz w:val="18"/>
          <w:szCs w:val="18"/>
          <w:color w:val="auto"/>
        </w:rPr>
        <w:t>(Form Type)</w:t>
      </w:r>
    </w:p>
    <w:p>
      <w:pPr>
        <w:spacing w:after="0" w:line="207"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Veracyte, Inc.</w:t>
      </w:r>
    </w:p>
    <w:p>
      <w:pPr>
        <w:jc w:val="center"/>
        <w:ind w:right="140"/>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Newly Registered Securities</w:t>
      </w:r>
    </w:p>
    <w:p>
      <w:pPr>
        <w:spacing w:after="0" w:line="260" w:lineRule="exact"/>
        <w:rPr>
          <w:sz w:val="20"/>
          <w:szCs w:val="20"/>
          <w:color w:val="auto"/>
        </w:rPr>
      </w:pPr>
    </w:p>
    <w:tbl>
      <w:tblPr>
        <w:tblLayout w:type="fixed"/>
        <w:tblInd w:w="470" w:type="dxa"/>
        <w:tblCellMar>
          <w:top w:w="0" w:type="dxa"/>
          <w:left w:w="0" w:type="dxa"/>
          <w:bottom w:w="0" w:type="dxa"/>
          <w:right w:w="0" w:type="dxa"/>
        </w:tblCellMar>
      </w:tblPr>
      <w:tr>
        <w:trPr>
          <w:trHeight w:val="149"/>
        </w:trPr>
        <w:tc>
          <w:tcPr>
            <w:tcW w:w="1100" w:type="dxa"/>
            <w:vAlign w:val="bottom"/>
            <w:tcBorders>
              <w:top w:val="single" w:sz="8" w:color="auto"/>
              <w:left w:val="single" w:sz="8" w:color="auto"/>
            </w:tcBorders>
          </w:tcPr>
          <w:p>
            <w:pPr>
              <w:spacing w:after="0"/>
              <w:rPr>
                <w:sz w:val="12"/>
                <w:szCs w:val="12"/>
                <w:color w:val="auto"/>
              </w:rPr>
            </w:pPr>
          </w:p>
        </w:tc>
        <w:tc>
          <w:tcPr>
            <w:tcW w:w="120" w:type="dxa"/>
            <w:vAlign w:val="bottom"/>
            <w:tcBorders>
              <w:top w:val="single" w:sz="8" w:color="auto"/>
              <w:right w:val="single" w:sz="8" w:color="auto"/>
            </w:tcBorders>
          </w:tcPr>
          <w:p>
            <w:pPr>
              <w:spacing w:after="0"/>
              <w:rPr>
                <w:sz w:val="12"/>
                <w:szCs w:val="12"/>
                <w:color w:val="auto"/>
              </w:rPr>
            </w:pPr>
          </w:p>
        </w:tc>
        <w:tc>
          <w:tcPr>
            <w:tcW w:w="1400" w:type="dxa"/>
            <w:vAlign w:val="bottom"/>
            <w:tcBorders>
              <w:top w:val="single" w:sz="8" w:color="auto"/>
              <w:right w:val="single" w:sz="8" w:color="auto"/>
            </w:tcBorders>
          </w:tcPr>
          <w:p>
            <w:pPr>
              <w:spacing w:after="0"/>
              <w:rPr>
                <w:sz w:val="12"/>
                <w:szCs w:val="12"/>
                <w:color w:val="auto"/>
              </w:rPr>
            </w:pPr>
          </w:p>
        </w:tc>
        <w:tc>
          <w:tcPr>
            <w:tcW w:w="1160" w:type="dxa"/>
            <w:vAlign w:val="bottom"/>
            <w:tcBorders>
              <w:top w:val="single" w:sz="8" w:color="auto"/>
              <w:right w:val="single" w:sz="8" w:color="auto"/>
            </w:tcBorders>
          </w:tcPr>
          <w:p>
            <w:pPr>
              <w:spacing w:after="0"/>
              <w:rPr>
                <w:sz w:val="12"/>
                <w:szCs w:val="12"/>
                <w:color w:val="auto"/>
              </w:rPr>
            </w:pPr>
          </w:p>
        </w:tc>
        <w:tc>
          <w:tcPr>
            <w:tcW w:w="1460" w:type="dxa"/>
            <w:vAlign w:val="bottom"/>
            <w:tcBorders>
              <w:top w:val="single" w:sz="8" w:color="auto"/>
              <w:right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0"/>
              </w:rPr>
              <w:t>Proposed</w:t>
            </w:r>
          </w:p>
        </w:tc>
        <w:tc>
          <w:tcPr>
            <w:tcW w:w="1500" w:type="dxa"/>
            <w:vAlign w:val="bottom"/>
            <w:tcBorders>
              <w:top w:val="single" w:sz="8" w:color="auto"/>
              <w:right w:val="single" w:sz="8" w:color="auto"/>
            </w:tcBorders>
          </w:tcPr>
          <w:p>
            <w:pPr>
              <w:spacing w:after="0"/>
              <w:rPr>
                <w:sz w:val="12"/>
                <w:szCs w:val="12"/>
                <w:color w:val="auto"/>
              </w:rPr>
            </w:pPr>
          </w:p>
        </w:tc>
        <w:tc>
          <w:tcPr>
            <w:tcW w:w="960" w:type="dxa"/>
            <w:vAlign w:val="bottom"/>
            <w:tcBorders>
              <w:top w:val="single" w:sz="8" w:color="auto"/>
              <w:right w:val="single" w:sz="8" w:color="auto"/>
            </w:tcBorders>
          </w:tcPr>
          <w:p>
            <w:pPr>
              <w:spacing w:after="0"/>
              <w:rPr>
                <w:sz w:val="12"/>
                <w:szCs w:val="12"/>
                <w:color w:val="auto"/>
              </w:rPr>
            </w:pPr>
          </w:p>
        </w:tc>
        <w:tc>
          <w:tcPr>
            <w:tcW w:w="138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100" w:type="dxa"/>
            <w:vAlign w:val="bottom"/>
            <w:tcBorders>
              <w:left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40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Fee Calculation</w:t>
            </w:r>
          </w:p>
        </w:tc>
        <w:tc>
          <w:tcPr>
            <w:tcW w:w="146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8"/>
              </w:rPr>
              <w:t>Maximum</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Maximum Aggregate</w:t>
            </w:r>
          </w:p>
        </w:tc>
        <w:tc>
          <w:tcPr>
            <w:tcW w:w="960" w:type="dxa"/>
            <w:vAlign w:val="bottom"/>
            <w:tcBorders>
              <w:right w:val="single" w:sz="8" w:color="auto"/>
            </w:tcBorders>
          </w:tcPr>
          <w:p>
            <w:pPr>
              <w:spacing w:after="0"/>
              <w:rPr>
                <w:sz w:val="11"/>
                <w:szCs w:val="11"/>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7"/>
              </w:rPr>
              <w:t>Amount of</w:t>
            </w:r>
          </w:p>
        </w:tc>
        <w:tc>
          <w:tcPr>
            <w:tcW w:w="0" w:type="dxa"/>
            <w:vAlign w:val="bottom"/>
          </w:tcPr>
          <w:p>
            <w:pPr>
              <w:spacing w:after="0"/>
              <w:rPr>
                <w:sz w:val="1"/>
                <w:szCs w:val="1"/>
                <w:color w:val="auto"/>
              </w:rPr>
            </w:pPr>
          </w:p>
        </w:tc>
      </w:tr>
      <w:tr>
        <w:trPr>
          <w:trHeight w:val="135"/>
        </w:trPr>
        <w:tc>
          <w:tcPr>
            <w:tcW w:w="1100" w:type="dxa"/>
            <w:vAlign w:val="bottom"/>
            <w:tcBorders>
              <w:left w:val="single" w:sz="8" w:color="auto"/>
            </w:tcBorders>
            <w:vMerge w:val="restart"/>
          </w:tcPr>
          <w:p>
            <w:pPr>
              <w:jc w:val="center"/>
              <w:ind w:left="28"/>
              <w:spacing w:after="0"/>
              <w:rPr>
                <w:sz w:val="20"/>
                <w:szCs w:val="20"/>
                <w:color w:val="auto"/>
              </w:rPr>
            </w:pPr>
            <w:r>
              <w:rPr>
                <w:rFonts w:ascii="Arial" w:cs="Arial" w:eastAsia="Arial" w:hAnsi="Arial"/>
                <w:sz w:val="14"/>
                <w:szCs w:val="14"/>
                <w:color w:val="auto"/>
                <w:w w:val="93"/>
              </w:rPr>
              <w:t>Security Type</w:t>
            </w:r>
          </w:p>
        </w:tc>
        <w:tc>
          <w:tcPr>
            <w:tcW w:w="120" w:type="dxa"/>
            <w:vAlign w:val="bottom"/>
            <w:tcBorders>
              <w:right w:val="single" w:sz="8" w:color="auto"/>
            </w:tcBorders>
          </w:tcPr>
          <w:p>
            <w:pPr>
              <w:spacing w:after="0"/>
              <w:rPr>
                <w:sz w:val="11"/>
                <w:szCs w:val="11"/>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5"/>
              </w:rPr>
              <w:t>Security Class Title</w:t>
            </w:r>
          </w:p>
        </w:tc>
        <w:tc>
          <w:tcPr>
            <w:tcW w:w="1160" w:type="dxa"/>
            <w:vAlign w:val="bottom"/>
            <w:tcBorders>
              <w:right w:val="single" w:sz="8" w:color="auto"/>
            </w:tcBorders>
            <w:vMerge w:val="continue"/>
          </w:tcPr>
          <w:p>
            <w:pPr>
              <w:spacing w:after="0"/>
              <w:rPr>
                <w:sz w:val="11"/>
                <w:szCs w:val="11"/>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Amount Registered(1)</w:t>
            </w:r>
          </w:p>
        </w:tc>
        <w:tc>
          <w:tcPr>
            <w:tcW w:w="10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5"/>
              </w:rPr>
              <w:t>Offering Price</w:t>
            </w:r>
          </w:p>
        </w:tc>
        <w:tc>
          <w:tcPr>
            <w:tcW w:w="1500" w:type="dxa"/>
            <w:vAlign w:val="bottom"/>
            <w:tcBorders>
              <w:right w:val="single" w:sz="8" w:color="auto"/>
            </w:tcBorders>
            <w:vMerge w:val="continue"/>
          </w:tcPr>
          <w:p>
            <w:pPr>
              <w:spacing w:after="0"/>
              <w:rPr>
                <w:sz w:val="11"/>
                <w:szCs w:val="11"/>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0"/>
              </w:rPr>
              <w:t>Fee Rate</w:t>
            </w:r>
          </w:p>
        </w:tc>
        <w:tc>
          <w:tcPr>
            <w:tcW w:w="13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100" w:type="dxa"/>
            <w:vAlign w:val="bottom"/>
            <w:tcBorders>
              <w:left w:val="single" w:sz="8" w:color="auto"/>
              <w:bottom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400" w:type="dxa"/>
            <w:vAlign w:val="bottom"/>
            <w:tcBorders>
              <w:bottom w:val="single" w:sz="8" w:color="auto"/>
              <w:right w:val="single" w:sz="8" w:color="auto"/>
            </w:tcBorders>
            <w:vMerge w:val="continue"/>
          </w:tcPr>
          <w:p>
            <w:pPr>
              <w:spacing w:after="0"/>
              <w:rPr>
                <w:sz w:val="16"/>
                <w:szCs w:val="16"/>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Rule</w:t>
            </w:r>
          </w:p>
        </w:tc>
        <w:tc>
          <w:tcPr>
            <w:tcW w:w="1460" w:type="dxa"/>
            <w:vAlign w:val="bottom"/>
            <w:tcBorders>
              <w:bottom w:val="single" w:sz="8" w:color="auto"/>
              <w:right w:val="single" w:sz="8" w:color="auto"/>
            </w:tcBorders>
            <w:vMerge w:val="continue"/>
          </w:tcPr>
          <w:p>
            <w:pPr>
              <w:spacing w:after="0"/>
              <w:rPr>
                <w:sz w:val="16"/>
                <w:szCs w:val="16"/>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Per Unit</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Offering Price</w:t>
            </w:r>
          </w:p>
        </w:tc>
        <w:tc>
          <w:tcPr>
            <w:tcW w:w="960" w:type="dxa"/>
            <w:vAlign w:val="bottom"/>
            <w:tcBorders>
              <w:bottom w:val="single" w:sz="8" w:color="auto"/>
              <w:right w:val="single" w:sz="8" w:color="auto"/>
            </w:tcBorders>
            <w:vMerge w:val="continue"/>
          </w:tcPr>
          <w:p>
            <w:pPr>
              <w:spacing w:after="0"/>
              <w:rPr>
                <w:sz w:val="16"/>
                <w:szCs w:val="16"/>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Registration Fee</w:t>
            </w:r>
          </w:p>
        </w:tc>
        <w:tc>
          <w:tcPr>
            <w:tcW w:w="0" w:type="dxa"/>
            <w:vAlign w:val="bottom"/>
          </w:tcPr>
          <w:p>
            <w:pPr>
              <w:spacing w:after="0"/>
              <w:rPr>
                <w:sz w:val="1"/>
                <w:szCs w:val="1"/>
                <w:color w:val="auto"/>
              </w:rPr>
            </w:pPr>
          </w:p>
        </w:tc>
      </w:tr>
      <w:tr>
        <w:trPr>
          <w:trHeight w:val="132"/>
        </w:trPr>
        <w:tc>
          <w:tcPr>
            <w:tcW w:w="1100" w:type="dxa"/>
            <w:vAlign w:val="bottom"/>
            <w:tcBorders>
              <w:left w:val="single" w:sz="8" w:color="auto"/>
            </w:tcBorders>
            <w:vMerge w:val="restart"/>
          </w:tcPr>
          <w:p>
            <w:pPr>
              <w:jc w:val="center"/>
              <w:ind w:left="48"/>
              <w:spacing w:after="0"/>
              <w:rPr>
                <w:sz w:val="20"/>
                <w:szCs w:val="20"/>
                <w:color w:val="auto"/>
              </w:rPr>
            </w:pPr>
            <w:r>
              <w:rPr>
                <w:rFonts w:ascii="Arial" w:cs="Arial" w:eastAsia="Arial" w:hAnsi="Arial"/>
                <w:sz w:val="14"/>
                <w:szCs w:val="14"/>
                <w:color w:val="auto"/>
                <w:w w:val="97"/>
              </w:rPr>
              <w:t>Equity</w:t>
            </w:r>
          </w:p>
        </w:tc>
        <w:tc>
          <w:tcPr>
            <w:tcW w:w="120" w:type="dxa"/>
            <w:vAlign w:val="bottom"/>
            <w:tcBorders>
              <w:right w:val="single" w:sz="8" w:color="auto"/>
            </w:tcBorders>
          </w:tcPr>
          <w:p>
            <w:pPr>
              <w:spacing w:after="0"/>
              <w:rPr>
                <w:sz w:val="11"/>
                <w:szCs w:val="11"/>
                <w:color w:val="auto"/>
              </w:rPr>
            </w:pPr>
          </w:p>
        </w:tc>
        <w:tc>
          <w:tcPr>
            <w:tcW w:w="1400" w:type="dxa"/>
            <w:vAlign w:val="bottom"/>
            <w:tcBorders>
              <w:right w:val="single" w:sz="8" w:color="auto"/>
            </w:tcBorders>
          </w:tcPr>
          <w:p>
            <w:pPr>
              <w:jc w:val="center"/>
              <w:spacing w:after="0" w:line="132" w:lineRule="exact"/>
              <w:rPr>
                <w:sz w:val="20"/>
                <w:szCs w:val="20"/>
                <w:color w:val="auto"/>
              </w:rPr>
            </w:pPr>
            <w:r>
              <w:rPr>
                <w:rFonts w:ascii="Arial" w:cs="Arial" w:eastAsia="Arial" w:hAnsi="Arial"/>
                <w:sz w:val="14"/>
                <w:szCs w:val="14"/>
                <w:color w:val="auto"/>
                <w:w w:val="93"/>
              </w:rPr>
              <w:t>Common stock, par</w:t>
            </w:r>
          </w:p>
        </w:tc>
        <w:tc>
          <w:tcPr>
            <w:tcW w:w="1160" w:type="dxa"/>
            <w:vAlign w:val="bottom"/>
            <w:tcBorders>
              <w:right w:val="single" w:sz="8" w:color="auto"/>
            </w:tcBorders>
          </w:tcPr>
          <w:p>
            <w:pPr>
              <w:jc w:val="center"/>
              <w:spacing w:after="0" w:line="132" w:lineRule="exact"/>
              <w:rPr>
                <w:sz w:val="20"/>
                <w:szCs w:val="20"/>
                <w:color w:val="auto"/>
              </w:rPr>
            </w:pPr>
            <w:r>
              <w:rPr>
                <w:rFonts w:ascii="Arial" w:cs="Arial" w:eastAsia="Arial" w:hAnsi="Arial"/>
                <w:sz w:val="14"/>
                <w:szCs w:val="14"/>
                <w:color w:val="auto"/>
                <w:w w:val="94"/>
              </w:rPr>
              <w:t>Rule 457(c) and</w:t>
            </w:r>
          </w:p>
        </w:tc>
        <w:tc>
          <w:tcPr>
            <w:tcW w:w="1460" w:type="dxa"/>
            <w:vAlign w:val="bottom"/>
            <w:tcBorders>
              <w:right w:val="single" w:sz="8" w:color="auto"/>
            </w:tcBorders>
            <w:vMerge w:val="restart"/>
          </w:tcPr>
          <w:p>
            <w:pPr>
              <w:jc w:val="right"/>
              <w:ind w:right="288"/>
              <w:spacing w:after="0"/>
              <w:rPr>
                <w:sz w:val="20"/>
                <w:szCs w:val="20"/>
                <w:color w:val="auto"/>
              </w:rPr>
            </w:pPr>
            <w:r>
              <w:rPr>
                <w:rFonts w:ascii="Arial" w:cs="Arial" w:eastAsia="Arial" w:hAnsi="Arial"/>
                <w:sz w:val="14"/>
                <w:szCs w:val="14"/>
                <w:color w:val="auto"/>
              </w:rPr>
              <w:t>2,844,924 (2)</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$24.59 (3)</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$69,956,681.16</w:t>
            </w:r>
          </w:p>
        </w:tc>
        <w:tc>
          <w:tcPr>
            <w:tcW w:w="960" w:type="dxa"/>
            <w:vAlign w:val="bottom"/>
            <w:tcBorders>
              <w:right w:val="single" w:sz="8" w:color="auto"/>
            </w:tcBorders>
            <w:vMerge w:val="restart"/>
          </w:tcPr>
          <w:p>
            <w:pPr>
              <w:jc w:val="right"/>
              <w:ind w:right="128"/>
              <w:spacing w:after="0"/>
              <w:rPr>
                <w:sz w:val="20"/>
                <w:szCs w:val="20"/>
                <w:color w:val="auto"/>
              </w:rPr>
            </w:pPr>
            <w:r>
              <w:rPr>
                <w:rFonts w:ascii="Arial" w:cs="Arial" w:eastAsia="Arial" w:hAnsi="Arial"/>
                <w:sz w:val="14"/>
                <w:szCs w:val="14"/>
                <w:color w:val="auto"/>
              </w:rPr>
              <w:t>0.0000927</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$6,484.98</w:t>
            </w:r>
          </w:p>
        </w:tc>
        <w:tc>
          <w:tcPr>
            <w:tcW w:w="0" w:type="dxa"/>
            <w:vAlign w:val="bottom"/>
          </w:tcPr>
          <w:p>
            <w:pPr>
              <w:spacing w:after="0"/>
              <w:rPr>
                <w:sz w:val="1"/>
                <w:szCs w:val="1"/>
                <w:color w:val="auto"/>
              </w:rPr>
            </w:pPr>
          </w:p>
        </w:tc>
      </w:tr>
      <w:tr>
        <w:trPr>
          <w:trHeight w:val="186"/>
        </w:trPr>
        <w:tc>
          <w:tcPr>
            <w:tcW w:w="1100" w:type="dxa"/>
            <w:vAlign w:val="bottom"/>
            <w:tcBorders>
              <w:left w:val="single" w:sz="8" w:color="auto"/>
              <w:bottom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value $0.001 per share</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Rule 457(h)</w:t>
            </w:r>
          </w:p>
        </w:tc>
        <w:tc>
          <w:tcPr>
            <w:tcW w:w="1460" w:type="dxa"/>
            <w:vAlign w:val="bottom"/>
            <w:tcBorders>
              <w:bottom w:val="single" w:sz="8" w:color="auto"/>
              <w:right w:val="single" w:sz="8" w:color="auto"/>
            </w:tcBorders>
            <w:vMerge w:val="continue"/>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500" w:type="dxa"/>
            <w:vAlign w:val="bottom"/>
            <w:tcBorders>
              <w:bottom w:val="single" w:sz="8" w:color="auto"/>
              <w:right w:val="single" w:sz="8" w:color="auto"/>
            </w:tcBorders>
            <w:vMerge w:val="continue"/>
          </w:tcPr>
          <w:p>
            <w:pPr>
              <w:spacing w:after="0"/>
              <w:rPr>
                <w:sz w:val="16"/>
                <w:szCs w:val="16"/>
                <w:color w:val="auto"/>
              </w:rPr>
            </w:pPr>
          </w:p>
        </w:tc>
        <w:tc>
          <w:tcPr>
            <w:tcW w:w="960" w:type="dxa"/>
            <w:vAlign w:val="bottom"/>
            <w:tcBorders>
              <w:bottom w:val="single" w:sz="8" w:color="auto"/>
              <w:right w:val="single" w:sz="8" w:color="auto"/>
            </w:tcBorders>
            <w:vMerge w:val="continue"/>
          </w:tcPr>
          <w:p>
            <w:pPr>
              <w:spacing w:after="0"/>
              <w:rPr>
                <w:sz w:val="16"/>
                <w:szCs w:val="16"/>
                <w:color w:val="auto"/>
              </w:rPr>
            </w:pPr>
          </w:p>
        </w:tc>
        <w:tc>
          <w:tcPr>
            <w:tcW w:w="138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100" w:type="dxa"/>
            <w:vAlign w:val="bottom"/>
            <w:tcBorders>
              <w:left w:val="single" w:sz="8" w:color="auto"/>
              <w:bottom w:val="single" w:sz="8" w:color="auto"/>
            </w:tcBorders>
          </w:tcPr>
          <w:p>
            <w:pPr>
              <w:spacing w:after="0"/>
              <w:rPr>
                <w:sz w:val="15"/>
                <w:szCs w:val="15"/>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5"/>
              </w:rPr>
              <w:t>Total Offering Amounts</w:t>
            </w:r>
          </w:p>
        </w:tc>
        <w:tc>
          <w:tcPr>
            <w:tcW w:w="116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1500" w:type="dxa"/>
            <w:vAlign w:val="bottom"/>
            <w:tcBorders>
              <w:bottom w:val="single" w:sz="8" w:color="auto"/>
              <w:right w:val="single" w:sz="8" w:color="auto"/>
            </w:tcBorders>
          </w:tcPr>
          <w:p>
            <w:pPr>
              <w:spacing w:after="0"/>
              <w:rPr>
                <w:sz w:val="15"/>
                <w:szCs w:val="15"/>
                <w:color w:val="auto"/>
              </w:rPr>
            </w:pPr>
          </w:p>
        </w:tc>
        <w:tc>
          <w:tcPr>
            <w:tcW w:w="960" w:type="dxa"/>
            <w:vAlign w:val="bottom"/>
            <w:tcBorders>
              <w:bottom w:val="single" w:sz="8" w:color="auto"/>
              <w:right w:val="single" w:sz="8" w:color="auto"/>
            </w:tcBorders>
          </w:tcPr>
          <w:p>
            <w:pPr>
              <w:spacing w:after="0"/>
              <w:rPr>
                <w:sz w:val="15"/>
                <w:szCs w:val="15"/>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$6,484.98</w:t>
            </w:r>
          </w:p>
        </w:tc>
        <w:tc>
          <w:tcPr>
            <w:tcW w:w="0" w:type="dxa"/>
            <w:vAlign w:val="bottom"/>
          </w:tcPr>
          <w:p>
            <w:pPr>
              <w:spacing w:after="0"/>
              <w:rPr>
                <w:sz w:val="1"/>
                <w:szCs w:val="1"/>
                <w:color w:val="auto"/>
              </w:rPr>
            </w:pPr>
          </w:p>
        </w:tc>
      </w:tr>
      <w:tr>
        <w:trPr>
          <w:trHeight w:val="183"/>
        </w:trPr>
        <w:tc>
          <w:tcPr>
            <w:tcW w:w="1100" w:type="dxa"/>
            <w:vAlign w:val="bottom"/>
            <w:tcBorders>
              <w:left w:val="single" w:sz="8" w:color="auto"/>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w w:val="93"/>
              </w:rPr>
              <w:t>Total Fee Offsets(4)</w:t>
            </w:r>
          </w:p>
        </w:tc>
        <w:tc>
          <w:tcPr>
            <w:tcW w:w="116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1500" w:type="dxa"/>
            <w:vAlign w:val="bottom"/>
            <w:tcBorders>
              <w:bottom w:val="single" w:sz="8" w:color="auto"/>
              <w:right w:val="single" w:sz="8" w:color="auto"/>
            </w:tcBorders>
          </w:tcPr>
          <w:p>
            <w:pPr>
              <w:spacing w:after="0"/>
              <w:rPr>
                <w:sz w:val="15"/>
                <w:szCs w:val="15"/>
                <w:color w:val="auto"/>
              </w:rPr>
            </w:pPr>
          </w:p>
        </w:tc>
        <w:tc>
          <w:tcPr>
            <w:tcW w:w="960" w:type="dxa"/>
            <w:vAlign w:val="bottom"/>
            <w:tcBorders>
              <w:bottom w:val="single" w:sz="8" w:color="auto"/>
              <w:right w:val="single" w:sz="8" w:color="auto"/>
            </w:tcBorders>
          </w:tcPr>
          <w:p>
            <w:pPr>
              <w:spacing w:after="0"/>
              <w:rPr>
                <w:sz w:val="15"/>
                <w:szCs w:val="15"/>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100" w:type="dxa"/>
            <w:vAlign w:val="bottom"/>
            <w:tcBorders>
              <w:left w:val="single" w:sz="8" w:color="auto"/>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w w:val="90"/>
              </w:rPr>
              <w:t>Net Fee Due</w:t>
            </w:r>
          </w:p>
        </w:tc>
        <w:tc>
          <w:tcPr>
            <w:tcW w:w="116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1500" w:type="dxa"/>
            <w:vAlign w:val="bottom"/>
            <w:tcBorders>
              <w:bottom w:val="single" w:sz="8" w:color="auto"/>
              <w:right w:val="single" w:sz="8" w:color="auto"/>
            </w:tcBorders>
          </w:tcPr>
          <w:p>
            <w:pPr>
              <w:spacing w:after="0"/>
              <w:rPr>
                <w:sz w:val="15"/>
                <w:szCs w:val="15"/>
                <w:color w:val="auto"/>
              </w:rPr>
            </w:pPr>
          </w:p>
        </w:tc>
        <w:tc>
          <w:tcPr>
            <w:tcW w:w="960" w:type="dxa"/>
            <w:vAlign w:val="bottom"/>
            <w:tcBorders>
              <w:bottom w:val="single" w:sz="8" w:color="auto"/>
              <w:right w:val="single" w:sz="8" w:color="auto"/>
            </w:tcBorders>
          </w:tcPr>
          <w:p>
            <w:pPr>
              <w:spacing w:after="0"/>
              <w:rPr>
                <w:sz w:val="15"/>
                <w:szCs w:val="15"/>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$6,484.98</w:t>
            </w: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ind w:left="420" w:right="140" w:hanging="419"/>
        <w:spacing w:after="0" w:line="243" w:lineRule="auto"/>
        <w:tabs>
          <w:tab w:leader="none" w:pos="420" w:val="left"/>
        </w:tabs>
        <w:numPr>
          <w:ilvl w:val="0"/>
          <w:numId w:val="7"/>
        </w:numPr>
        <w:rPr>
          <w:rFonts w:ascii="Arial" w:cs="Arial" w:eastAsia="Arial" w:hAnsi="Arial"/>
          <w:sz w:val="13"/>
          <w:szCs w:val="13"/>
          <w:color w:val="auto"/>
        </w:rPr>
      </w:pPr>
      <w:r>
        <w:rPr>
          <w:rFonts w:ascii="Arial" w:cs="Arial" w:eastAsia="Arial" w:hAnsi="Arial"/>
          <w:sz w:val="13"/>
          <w:szCs w:val="13"/>
          <w:color w:val="auto"/>
        </w:rPr>
        <w:t>Pursuant to Rule 416(a) of the Securities Act of 1933, as amended (the “Securities Act”), this registration statement also covers any additional securities that may be offered or become issuable under the Registrant's 2013 Stock Incentive Plan, as amended (the “2013 Plan”) in connection with any stock split, stock dividend, recapitalization or any other similar transaction effected without receipt of consideration, which results in an increase in the number of the Registrant’s outstanding shares of Common Stock.</w:t>
      </w:r>
    </w:p>
    <w:p>
      <w:pPr>
        <w:spacing w:after="0" w:line="4" w:lineRule="exact"/>
        <w:rPr>
          <w:rFonts w:ascii="Arial" w:cs="Arial" w:eastAsia="Arial" w:hAnsi="Arial"/>
          <w:sz w:val="13"/>
          <w:szCs w:val="13"/>
          <w:color w:val="auto"/>
        </w:rPr>
      </w:pPr>
    </w:p>
    <w:p>
      <w:pPr>
        <w:ind w:left="420" w:right="140" w:hanging="419"/>
        <w:spacing w:after="0" w:line="236" w:lineRule="auto"/>
        <w:tabs>
          <w:tab w:leader="none" w:pos="42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Represents additional shares of the Registrant’s common stock reserved for issuance under the 2013 Plan, pursuant to its provisions providing for an automatic annual increase in the number of shares reserved for issuance under the 2013 Plan.</w:t>
      </w:r>
    </w:p>
    <w:p>
      <w:pPr>
        <w:spacing w:after="0" w:line="7" w:lineRule="exact"/>
        <w:rPr>
          <w:rFonts w:ascii="Arial" w:cs="Arial" w:eastAsia="Arial" w:hAnsi="Arial"/>
          <w:sz w:val="14"/>
          <w:szCs w:val="14"/>
          <w:color w:val="auto"/>
        </w:rPr>
      </w:pPr>
    </w:p>
    <w:p>
      <w:pPr>
        <w:ind w:left="420" w:right="140" w:hanging="419"/>
        <w:spacing w:after="0" w:line="236" w:lineRule="auto"/>
        <w:tabs>
          <w:tab w:leader="none" w:pos="420" w:val="left"/>
        </w:tabs>
        <w:numPr>
          <w:ilvl w:val="0"/>
          <w:numId w:val="7"/>
        </w:numPr>
        <w:rPr>
          <w:rFonts w:ascii="Arial" w:cs="Arial" w:eastAsia="Arial" w:hAnsi="Arial"/>
          <w:sz w:val="14"/>
          <w:szCs w:val="14"/>
          <w:color w:val="auto"/>
        </w:rPr>
      </w:pPr>
      <w:r>
        <w:rPr>
          <w:rFonts w:ascii="Arial" w:cs="Arial" w:eastAsia="Arial" w:hAnsi="Arial"/>
          <w:sz w:val="14"/>
          <w:szCs w:val="14"/>
          <w:color w:val="auto"/>
        </w:rPr>
        <w:t>Estimated in accordance with Rules 457(c) and 457(h) under the Securities Act, solely for the purposes of calculating the registration fee, based on the average of the high and low prices of the Registrant’s Common Stock as reported on The Nasdaq Global Market on February 23, 2022.</w:t>
      </w:r>
    </w:p>
    <w:p>
      <w:pPr>
        <w:spacing w:after="0" w:line="7" w:lineRule="exact"/>
        <w:rPr>
          <w:rFonts w:ascii="Arial" w:cs="Arial" w:eastAsia="Arial" w:hAnsi="Arial"/>
          <w:sz w:val="14"/>
          <w:szCs w:val="14"/>
          <w:color w:val="auto"/>
        </w:rPr>
      </w:pPr>
    </w:p>
    <w:p>
      <w:pPr>
        <w:ind w:left="420" w:hanging="419"/>
        <w:spacing w:after="0"/>
        <w:tabs>
          <w:tab w:leader="none" w:pos="4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Registrant does not have any fee offsets.</w:t>
      </w:r>
    </w:p>
    <w:p>
      <w:pPr>
        <w:spacing w:after="0" w:line="270"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____________________</w:t>
      </w:r>
    </w:p>
    <w:p>
      <w:pPr>
        <w:sectPr>
          <w:pgSz w:w="11900" w:h="16838" w:orient="portrait"/>
          <w:cols w:equalWidth="0" w:num="1">
            <w:col w:w="11100"/>
          </w:cols>
          <w:pgMar w:left="460" w:top="132"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20"/>
          <w:szCs w:val="20"/>
          <w:b w:val="1"/>
          <w:bCs w:val="1"/>
          <w:u w:val="single" w:color="auto"/>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5349240" cy="6858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extLst>
                    </a:blip>
                    <a:srcRect/>
                    <a:stretch>
                      <a:fillRect/>
                    </a:stretch>
                  </pic:blipFill>
                  <pic:spPr bwMode="auto">
                    <a:xfrm>
                      <a:off x="0" y="0"/>
                      <a:ext cx="534924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February 28, 2022</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Veracyte, Inc.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6000 Shoreline Court, Suite 300</w:t>
      </w:r>
    </w:p>
    <w:p>
      <w:pPr>
        <w:spacing w:after="0"/>
        <w:rPr>
          <w:sz w:val="20"/>
          <w:szCs w:val="20"/>
          <w:color w:val="auto"/>
        </w:rPr>
      </w:pPr>
      <w:r>
        <w:rPr>
          <w:rFonts w:ascii="Arial" w:cs="Arial" w:eastAsia="Arial" w:hAnsi="Arial"/>
          <w:sz w:val="20"/>
          <w:szCs w:val="20"/>
          <w:color w:val="auto"/>
        </w:rPr>
        <w:t>South San Francisco, California 94080</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At your request, as your counsel, we have examined the Registration Statement on Form S-8 (the “</w:t>
      </w:r>
      <w:r>
        <w:rPr>
          <w:rFonts w:ascii="Arial" w:cs="Arial" w:eastAsia="Arial" w:hAnsi="Arial"/>
          <w:sz w:val="19"/>
          <w:szCs w:val="19"/>
          <w:b w:val="1"/>
          <w:bCs w:val="1"/>
          <w:i w:val="1"/>
          <w:iCs w:val="1"/>
          <w:color w:val="auto"/>
        </w:rPr>
        <w:t>Registration Statement</w:t>
      </w:r>
      <w:r>
        <w:rPr>
          <w:rFonts w:ascii="Arial" w:cs="Arial" w:eastAsia="Arial" w:hAnsi="Arial"/>
          <w:sz w:val="19"/>
          <w:szCs w:val="19"/>
          <w:color w:val="auto"/>
        </w:rPr>
        <w:t>”) to be filed by Veracyte, Inc., a Delaware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with the Securities and Exchange Commission (the “</w:t>
      </w:r>
      <w:r>
        <w:rPr>
          <w:rFonts w:ascii="Arial" w:cs="Arial" w:eastAsia="Arial" w:hAnsi="Arial"/>
          <w:sz w:val="19"/>
          <w:szCs w:val="19"/>
          <w:b w:val="1"/>
          <w:bCs w:val="1"/>
          <w:i w:val="1"/>
          <w:iCs w:val="1"/>
          <w:color w:val="auto"/>
        </w:rPr>
        <w:t>Commission</w:t>
      </w:r>
      <w:r>
        <w:rPr>
          <w:rFonts w:ascii="Arial" w:cs="Arial" w:eastAsia="Arial" w:hAnsi="Arial"/>
          <w:sz w:val="19"/>
          <w:szCs w:val="19"/>
          <w:color w:val="auto"/>
        </w:rPr>
        <w:t>”) on or about February 28, 2022 in connection with the registration under the Securities Act of 1933, as amended (the “</w:t>
      </w:r>
      <w:r>
        <w:rPr>
          <w:rFonts w:ascii="Arial" w:cs="Arial" w:eastAsia="Arial" w:hAnsi="Arial"/>
          <w:sz w:val="19"/>
          <w:szCs w:val="19"/>
          <w:b w:val="1"/>
          <w:bCs w:val="1"/>
          <w:i w:val="1"/>
          <w:iCs w:val="1"/>
          <w:color w:val="auto"/>
        </w:rPr>
        <w:t>Securities Act</w:t>
      </w:r>
      <w:r>
        <w:rPr>
          <w:rFonts w:ascii="Arial" w:cs="Arial" w:eastAsia="Arial" w:hAnsi="Arial"/>
          <w:sz w:val="19"/>
          <w:szCs w:val="19"/>
          <w:color w:val="auto"/>
        </w:rPr>
        <w:t>”), of the issuance of an aggregate of 2,844,924 shares (the “</w:t>
      </w:r>
      <w:r>
        <w:rPr>
          <w:rFonts w:ascii="Arial" w:cs="Arial" w:eastAsia="Arial" w:hAnsi="Arial"/>
          <w:sz w:val="19"/>
          <w:szCs w:val="19"/>
          <w:b w:val="1"/>
          <w:bCs w:val="1"/>
          <w:i w:val="1"/>
          <w:iCs w:val="1"/>
          <w:color w:val="auto"/>
        </w:rPr>
        <w:t>Shares</w:t>
      </w:r>
      <w:r>
        <w:rPr>
          <w:rFonts w:ascii="Arial" w:cs="Arial" w:eastAsia="Arial" w:hAnsi="Arial"/>
          <w:sz w:val="19"/>
          <w:szCs w:val="19"/>
          <w:color w:val="auto"/>
        </w:rPr>
        <w:t>”) of the Company’s Common Stock, $0.001 par value per share (the “</w:t>
      </w:r>
      <w:r>
        <w:rPr>
          <w:rFonts w:ascii="Arial" w:cs="Arial" w:eastAsia="Arial" w:hAnsi="Arial"/>
          <w:sz w:val="19"/>
          <w:szCs w:val="19"/>
          <w:b w:val="1"/>
          <w:bCs w:val="1"/>
          <w:i w:val="1"/>
          <w:iCs w:val="1"/>
          <w:color w:val="auto"/>
        </w:rPr>
        <w:t>Common</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Stock</w:t>
      </w:r>
      <w:r>
        <w:rPr>
          <w:rFonts w:ascii="Arial" w:cs="Arial" w:eastAsia="Arial" w:hAnsi="Arial"/>
          <w:sz w:val="19"/>
          <w:szCs w:val="19"/>
          <w:color w:val="auto"/>
        </w:rPr>
        <w:t>”), subject to issuance by the Company upon the exercise or settlement of awards granted or to be granted under the Company’s 2013</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Stock Incentive Plan, as amended (the “</w:t>
      </w:r>
      <w:r>
        <w:rPr>
          <w:rFonts w:ascii="Arial" w:cs="Arial" w:eastAsia="Arial" w:hAnsi="Arial"/>
          <w:sz w:val="19"/>
          <w:szCs w:val="19"/>
          <w:b w:val="1"/>
          <w:bCs w:val="1"/>
          <w:i w:val="1"/>
          <w:iCs w:val="1"/>
          <w:color w:val="auto"/>
        </w:rPr>
        <w:t>2013 Plan</w:t>
      </w:r>
      <w:r>
        <w:rPr>
          <w:rFonts w:ascii="Arial" w:cs="Arial" w:eastAsia="Arial" w:hAnsi="Arial"/>
          <w:sz w:val="19"/>
          <w:szCs w:val="19"/>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At your request we are providing this letter to express our opinion on the matters set forth below in this letter (“</w:t>
      </w:r>
      <w:r>
        <w:rPr>
          <w:rFonts w:ascii="Arial" w:cs="Arial" w:eastAsia="Arial" w:hAnsi="Arial"/>
          <w:sz w:val="19"/>
          <w:szCs w:val="19"/>
          <w:b w:val="1"/>
          <w:bCs w:val="1"/>
          <w:i w:val="1"/>
          <w:iCs w:val="1"/>
          <w:color w:val="auto"/>
        </w:rPr>
        <w:t>our opinion</w:t>
      </w:r>
      <w:r>
        <w:rPr>
          <w:rFonts w:ascii="Arial" w:cs="Arial" w:eastAsia="Arial" w:hAnsi="Arial"/>
          <w:sz w:val="19"/>
          <w:szCs w:val="19"/>
          <w:color w:val="auto"/>
        </w:rPr>
        <w:t>”).</w:t>
      </w:r>
    </w:p>
    <w:p>
      <w:pPr>
        <w:spacing w:after="0" w:line="227"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In connection with our opinion, we have examined such matters of fact as we have deemed necessary, which included examination of originals or copies of: the Company’s current Certificate of Incorporation and Bylaws, as amended (collectively, the “</w:t>
      </w:r>
      <w:r>
        <w:rPr>
          <w:rFonts w:ascii="Arial" w:cs="Arial" w:eastAsia="Arial" w:hAnsi="Arial"/>
          <w:sz w:val="19"/>
          <w:szCs w:val="19"/>
          <w:b w:val="1"/>
          <w:bCs w:val="1"/>
          <w:i w:val="1"/>
          <w:iCs w:val="1"/>
          <w:color w:val="auto"/>
        </w:rPr>
        <w:t>Charter Documents</w:t>
      </w:r>
      <w:r>
        <w:rPr>
          <w:rFonts w:ascii="Arial" w:cs="Arial" w:eastAsia="Arial" w:hAnsi="Arial"/>
          <w:sz w:val="19"/>
          <w:szCs w:val="19"/>
          <w:color w:val="auto"/>
        </w:rPr>
        <w:t>”), the 2013 Plan, the Registration Statement and the exhibits thereto; certain corporate proceedings of the Company’s Board of Directors (the “</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and the Company’s stockholders relating to adoption or approval of the Charter Documents, the 2013 Plan, the reservation of the Shares for sale and issuance, the filing of the Registration Statement and the registration of the issuance of the Shares under the Securities Act and documents (including a certificate from the Company’s transfer agent) regarding the Company’s outstanding and reserved capital stock and other securities and such other documents as we have deemed advisable, and we have examined such questions of law as we have considered necessary.</w:t>
      </w:r>
    </w:p>
    <w:p>
      <w:pPr>
        <w:spacing w:after="0" w:line="20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our examination of documents for purposes of this opinion, we have assumed, and express no opinion as to, the authenticity and completeness of all documents submitted to us as originals, the genuineness of signatures on documents reviewed by us, the conformity to originals and the completeness of all documents submitted to us as copies, the legal capacity of all parties executing any documents (other than the Company), the lack of any undisclosed termination or modification or waiver of any document, the absence of any extrinsic agreements or documents that might change or affect the interpretation or terms of documents, and the due authorization, execution and delivery of all documents by each party thereto other than the Company. We have also assumed that any certificates or instruments representing the Shares, if and when issued, will be executed by the Company by officers of the Company duly authorized to do so. In rendering our opinion, we have also relied upon a Certificate of Good Standing dated February 28, 2022 issued by the Delaware Secretary of State with respect to the Company and representations and certifications made to us by the Company, including without limitation representations in a Management Certificate addressed to us of even date herewith that the Company has available a sufficient number of authorized shares of Common Stock that are not currently outstanding or</w:t>
      </w:r>
    </w:p>
    <w:p>
      <w:pPr>
        <w:sectPr>
          <w:pgSz w:w="11900" w:h="16838" w:orient="portrait"/>
          <w:cols w:equalWidth="0" w:num="1">
            <w:col w:w="11240"/>
          </w:cols>
          <w:pgMar w:left="320" w:top="1143" w:right="339" w:bottom="1440" w:gutter="0" w:footer="0" w:header="0"/>
        </w:sectPr>
      </w:pPr>
    </w:p>
    <w:bookmarkStart w:id="8" w:name="page9"/>
    <w:bookmarkEnd w:id="8"/>
    <w:p>
      <w:pPr>
        <w:jc w:val="both"/>
        <w:spacing w:after="0" w:line="233" w:lineRule="auto"/>
        <w:rPr>
          <w:sz w:val="20"/>
          <w:szCs w:val="20"/>
          <w:color w:val="auto"/>
        </w:rPr>
      </w:pPr>
      <w:r>
        <w:rPr>
          <w:rFonts w:ascii="Arial" w:cs="Arial" w:eastAsia="Arial" w:hAnsi="Arial"/>
          <w:sz w:val="20"/>
          <w:szCs w:val="20"/>
          <w:color w:val="auto"/>
        </w:rPr>
        <w:t>reserved for issuance under other outstanding securities or plans of the Company, to enable the Company to issue and deliver all of the Shares as of the date of this letter.</w:t>
      </w:r>
    </w:p>
    <w:p>
      <w:pPr>
        <w:spacing w:after="0" w:line="1"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0"/>
          <w:szCs w:val="20"/>
          <w:color w:val="auto"/>
        </w:rPr>
        <w:t>We render this opinion only with respect to, and we express no opinion herein concerning the application or effect of the laws of any jurisdiction other than, the existing Delaware General Corporation Law now in effect. We express no opinion with respect to the securities or “blue sky” laws of any state.</w:t>
      </w:r>
    </w:p>
    <w:p>
      <w:pPr>
        <w:spacing w:after="0" w:line="211"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0"/>
          <w:szCs w:val="20"/>
          <w:color w:val="auto"/>
        </w:rPr>
        <w:t>Based upon, and subject to, the foregoing, it is our opinion that when the 2,844,924 Shares of Common Stock that may be issued and sold by the Company upon the exercise or settlement of awards granted or to be granted under the 2013 Plan, have been issued and sold by the Company against the Company’s receipt of payment therefor (in an amount and type of consideration not less than the par value per Share) in accordance with the terms (including without limitation payment and authorization provisions) of the 2013 Plan and have been duly registered on the books of the transfer agent and registrar for the Shares in the name or on behalf of the holders thereof, such Shares will be validly issued, fully paid and non-assessable.</w:t>
      </w:r>
    </w:p>
    <w:p>
      <w:pPr>
        <w:spacing w:after="0" w:line="21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consent to the use of this opinion as an exhibit to the Registration Statement and further consent to all references to us, if any, in the Registration Statement, the prospectuses constituting a part thereof and any amendments thereto. We do not thereby admit that we are within the category of persons whose consent is required under Section 7 of the Securities Act or the rules and regulations of the Commission thereunder. This opinion is intended solely for use in connection with issuance and sale of the Shares subject to the Registration Statement and is not to be relied upon for any other purpose. In providing this letter, we are opining only as to the specific legal issues expressly set forth above, and no opinion shall be inferred as to any other matter or matters. This opinion is rendered on, and speaks only as of, the date of this letter first written above, and does not address any potential change in facts or law that may occur after the date of this opinion letter. We assume no obligation to advise you of any fact, circumstance, event or change in the law or the facts that may hereafter be brought to our attention, whether or not such occurrence would affect or modify any of the opinions expressed herein.</w:t>
      </w:r>
    </w:p>
    <w:p>
      <w:pPr>
        <w:spacing w:after="0" w:line="200" w:lineRule="exact"/>
        <w:rPr>
          <w:sz w:val="20"/>
          <w:szCs w:val="20"/>
          <w:color w:val="auto"/>
        </w:rPr>
      </w:pPr>
    </w:p>
    <w:p>
      <w:pPr>
        <w:spacing w:after="0" w:line="24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Very truly yours,</w:t>
      </w:r>
    </w:p>
    <w:p>
      <w:pPr>
        <w:spacing w:after="0" w:line="210"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FENWICK &amp; WEST LLP</w:t>
      </w:r>
    </w:p>
    <w:p>
      <w:pPr>
        <w:spacing w:after="0" w:line="200" w:lineRule="exact"/>
        <w:rPr>
          <w:sz w:val="20"/>
          <w:szCs w:val="20"/>
          <w:color w:val="auto"/>
        </w:rPr>
      </w:pPr>
    </w:p>
    <w:p>
      <w:pPr>
        <w:spacing w:after="0" w:line="238"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/s/ Fenwick &amp; West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2655570</wp:posOffset>
            </wp:positionH>
            <wp:positionV relativeFrom="paragraph">
              <wp:posOffset>-14605</wp:posOffset>
            </wp:positionV>
            <wp:extent cx="13982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extLst>
                    </a:blip>
                    <a:srcRect/>
                    <a:stretch>
                      <a:fillRect/>
                    </a:stretch>
                  </pic:blipFill>
                  <pic:spPr bwMode="auto">
                    <a:xfrm>
                      <a:off x="0" y="0"/>
                      <a:ext cx="1398270" cy="8255"/>
                    </a:xfrm>
                    <a:prstGeom prst="rect">
                      <a:avLst/>
                    </a:prstGeom>
                    <a:noFill/>
                  </pic:spPr>
                </pic:pic>
              </a:graphicData>
            </a:graphic>
          </wp:anchor>
        </w:drawing>
      </w:r>
    </w:p>
    <w:p>
      <w:pPr>
        <w:sectPr>
          <w:pgSz w:w="11900" w:h="16838" w:orient="portrait"/>
          <w:cols w:equalWidth="0" w:num="1">
            <w:col w:w="11240"/>
          </w:cols>
          <w:pgMar w:left="320" w:top="1162"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00" w:lineRule="exact"/>
        <w:rPr>
          <w:sz w:val="20"/>
          <w:szCs w:val="20"/>
          <w:color w:val="auto"/>
        </w:rPr>
      </w:pPr>
    </w:p>
    <w:p>
      <w:pPr>
        <w:spacing w:after="0" w:line="206"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2013 Stock Incentive Plan of Veracyte, Inc. of our reports dated February 28, 2022, with respect to the consolidated financial statements of Veracyte, Inc. and the effectiveness of internal control over financial reporting of Veracyte, Inc. included in its Annual Report (Form 10-K) for the year ended December 31, 2021, filed with the Securities and Exchange Commission.</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2022</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Letter"/>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lowerRoman"/>
      <w:start w:val="2"/>
    </w:lvl>
  </w:abstractNum>
  <w:abstractNum w:abstractNumId="3">
    <w:nsid w:val="3D1B58BA"/>
    <w:multiLevelType w:val="hybridMultilevel"/>
    <w:lvl w:ilvl="0">
      <w:lvlJc w:val="left"/>
      <w:lvlText w:val="(%1)"/>
      <w:numFmt w:val="decimal"/>
      <w:start w:val="2"/>
    </w:lvl>
  </w:abstractNum>
  <w:abstractNum w:abstractNumId="4">
    <w:nsid w:val="507ED7AB"/>
    <w:multiLevelType w:val="hybridMultilevel"/>
    <w:lvl w:ilvl="0">
      <w:lvlJc w:val="left"/>
      <w:lvlText w:val="(%1)"/>
      <w:numFmt w:val="decimal"/>
      <w:start w:val="3"/>
    </w:lvl>
  </w:abstractNum>
  <w:abstractNum w:abstractNumId="5">
    <w:nsid w:val="2EB141F2"/>
    <w:multiLevelType w:val="hybridMultilevel"/>
    <w:lvl w:ilvl="0">
      <w:lvlJc w:val="left"/>
      <w:lvlText w:val="(%1)"/>
      <w:numFmt w:val="lowerLetter"/>
      <w:start w:val="2"/>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4" Type="http://schemas.openxmlformats.org/officeDocument/2006/relationships/image" Target="media/image1.png"/><Relationship Id="rId15" Type="http://schemas.openxmlformats.org/officeDocument/2006/relationships/image" Target="media/image2.jpeg"/><Relationship Id="rId16" Type="http://schemas.openxmlformats.org/officeDocument/2006/relationships/image" Target="media/image3.png"/><Relationship Id="rId8" Type="http://schemas.openxmlformats.org/officeDocument/2006/relationships/hyperlink" Target="https://www.sec.gov/ix?doc=/Archives/edgar/data/1384101/000138410122000028/vcyt-20211231.htm" TargetMode="External"/><Relationship Id="rId9" Type="http://schemas.openxmlformats.org/officeDocument/2006/relationships/hyperlink" Target="https://www.sec.gov/Archives/edgar/data/1384101/000110465913078343/a13-16266_158a12b.htm" TargetMode="External"/><Relationship Id="rId10" Type="http://schemas.openxmlformats.org/officeDocument/2006/relationships/hyperlink" Target="http://www.sec.gov/Archives/edgar/data/1384101/000110465913082910/a13-23874_1ex3d1.htm" TargetMode="External"/><Relationship Id="rId11" Type="http://schemas.openxmlformats.org/officeDocument/2006/relationships/hyperlink" Target="https://www.sec.gov/Archives/edgar/data/1384101/000143774921001142/ex_222251.htm" TargetMode="External"/><Relationship Id="rId12" Type="http://schemas.openxmlformats.org/officeDocument/2006/relationships/hyperlink" Target="http://www.sec.gov/Archives/edgar/data/1384101/000104746913009631/a2216954zex-4_1.htm" TargetMode="External"/><Relationship Id="rId13" Type="http://schemas.openxmlformats.org/officeDocument/2006/relationships/hyperlink" Target="https://www.sec.gov/Archives/edgar/data/1384101/000138410118000006/vcyt-12312017x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2022-03-01T09:31:37Z</dcterms:created>
  <dcterms:modified xsi:type="dcterms:W3CDTF">2022-03-01T09:31:37Z</dcterms:modified>
</cp:coreProperties>
</file>