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208280</wp:posOffset>
            </wp:positionH>
            <wp:positionV relativeFrom="page">
              <wp:posOffset>1091565</wp:posOffset>
            </wp:positionV>
            <wp:extent cx="708914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089140" cy="8255"/>
                    </a:xfrm>
                    <a:prstGeom prst="rect">
                      <a:avLst/>
                    </a:prstGeom>
                    <a:noFill/>
                  </pic:spPr>
                </pic:pic>
              </a:graphicData>
            </a:graphic>
          </wp:anchor>
        </w:drawing>
        <w:drawing>
          <wp:anchor simplePos="0" relativeHeight="251657728" behindDoc="1" locked="0" layoutInCell="0" allowOverlap="1">
            <wp:simplePos x="0" y="0"/>
            <wp:positionH relativeFrom="page">
              <wp:posOffset>208280</wp:posOffset>
            </wp:positionH>
            <wp:positionV relativeFrom="page">
              <wp:posOffset>997585</wp:posOffset>
            </wp:positionV>
            <wp:extent cx="708914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089140" cy="8255"/>
                    </a:xfrm>
                    <a:prstGeom prst="rect">
                      <a:avLst/>
                    </a:prstGeom>
                    <a:noFill/>
                  </pic:spPr>
                </pic:pic>
              </a:graphicData>
            </a:graphic>
          </wp:anchor>
        </w:drawing>
      </w:r>
    </w:p>
    <w:p>
      <w:pPr>
        <w:spacing w:after="0" w:line="200" w:lineRule="exact"/>
        <w:rPr>
          <w:sz w:val="24"/>
          <w:szCs w:val="24"/>
          <w:color w:val="auto"/>
        </w:rPr>
      </w:pPr>
    </w:p>
    <w:p>
      <w:pPr>
        <w:spacing w:after="0" w:line="212"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UNITED STATES</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Washington, D.C. 20549</w:t>
      </w:r>
    </w:p>
    <w:p>
      <w:pPr>
        <w:spacing w:after="0" w:line="234"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FORM 8-K</w:t>
      </w:r>
    </w:p>
    <w:p>
      <w:pPr>
        <w:spacing w:after="0" w:line="252"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CURRENT REPORT</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Pursuant to Section 13 or 15(d) of the Securities Exchange Act of 1934</w:t>
      </w:r>
    </w:p>
    <w:p>
      <w:pPr>
        <w:spacing w:after="0" w:line="238" w:lineRule="exact"/>
        <w:rPr>
          <w:sz w:val="24"/>
          <w:szCs w:val="24"/>
          <w:color w:val="auto"/>
        </w:rPr>
      </w:pPr>
    </w:p>
    <w:tbl>
      <w:tblPr>
        <w:tblLayout w:type="fixed"/>
        <w:tblInd w:w="760" w:type="dxa"/>
        <w:tblCellMar>
          <w:top w:w="0" w:type="dxa"/>
          <w:left w:w="0" w:type="dxa"/>
          <w:bottom w:w="0" w:type="dxa"/>
          <w:right w:w="0" w:type="dxa"/>
        </w:tblCellMar>
      </w:tblPr>
      <w:tr>
        <w:trPr>
          <w:trHeight w:val="230"/>
        </w:trPr>
        <w:tc>
          <w:tcPr>
            <w:tcW w:w="2360" w:type="dxa"/>
            <w:vAlign w:val="bottom"/>
          </w:tcPr>
          <w:p>
            <w:pPr>
              <w:spacing w:after="0"/>
              <w:rPr>
                <w:sz w:val="20"/>
                <w:szCs w:val="20"/>
                <w:color w:val="auto"/>
              </w:rPr>
            </w:pPr>
          </w:p>
        </w:tc>
        <w:tc>
          <w:tcPr>
            <w:tcW w:w="5020" w:type="dxa"/>
            <w:vAlign w:val="bottom"/>
          </w:tcPr>
          <w:p>
            <w:pPr>
              <w:jc w:val="center"/>
              <w:spacing w:after="0"/>
              <w:rPr>
                <w:sz w:val="20"/>
                <w:szCs w:val="20"/>
                <w:color w:val="auto"/>
              </w:rPr>
            </w:pPr>
            <w:r>
              <w:rPr>
                <w:rFonts w:ascii="Arial" w:cs="Arial" w:eastAsia="Arial" w:hAnsi="Arial"/>
                <w:sz w:val="18"/>
                <w:szCs w:val="18"/>
                <w:color w:val="auto"/>
                <w:w w:val="90"/>
              </w:rPr>
              <w:t>Date of Report (Date of earliest event reported): July 13, 2021</w:t>
            </w:r>
          </w:p>
        </w:tc>
        <w:tc>
          <w:tcPr>
            <w:tcW w:w="2400" w:type="dxa"/>
            <w:vAlign w:val="bottom"/>
          </w:tcPr>
          <w:p>
            <w:pPr>
              <w:spacing w:after="0"/>
              <w:rPr>
                <w:sz w:val="20"/>
                <w:szCs w:val="20"/>
                <w:color w:val="auto"/>
              </w:rPr>
            </w:pPr>
          </w:p>
        </w:tc>
      </w:tr>
      <w:tr>
        <w:trPr>
          <w:trHeight w:val="445"/>
        </w:trPr>
        <w:tc>
          <w:tcPr>
            <w:tcW w:w="2360" w:type="dxa"/>
            <w:vAlign w:val="bottom"/>
          </w:tcPr>
          <w:p>
            <w:pPr>
              <w:spacing w:after="0"/>
              <w:rPr>
                <w:sz w:val="24"/>
                <w:szCs w:val="24"/>
                <w:color w:val="auto"/>
              </w:rPr>
            </w:pPr>
          </w:p>
        </w:tc>
        <w:tc>
          <w:tcPr>
            <w:tcW w:w="5020" w:type="dxa"/>
            <w:vAlign w:val="bottom"/>
          </w:tcPr>
          <w:p>
            <w:pPr>
              <w:jc w:val="center"/>
              <w:spacing w:after="0"/>
              <w:rPr>
                <w:sz w:val="20"/>
                <w:szCs w:val="20"/>
                <w:color w:val="auto"/>
              </w:rPr>
            </w:pPr>
            <w:r>
              <w:rPr>
                <w:rFonts w:ascii="Arial" w:cs="Arial" w:eastAsia="Arial" w:hAnsi="Arial"/>
                <w:sz w:val="18"/>
                <w:szCs w:val="18"/>
                <w:b w:val="1"/>
                <w:bCs w:val="1"/>
                <w:color w:val="auto"/>
              </w:rPr>
              <w:t>VERACYTE, INC.</w:t>
            </w:r>
          </w:p>
        </w:tc>
        <w:tc>
          <w:tcPr>
            <w:tcW w:w="2400" w:type="dxa"/>
            <w:vAlign w:val="bottom"/>
          </w:tcPr>
          <w:p>
            <w:pPr>
              <w:spacing w:after="0"/>
              <w:rPr>
                <w:sz w:val="24"/>
                <w:szCs w:val="24"/>
                <w:color w:val="auto"/>
              </w:rPr>
            </w:pPr>
          </w:p>
        </w:tc>
      </w:tr>
      <w:tr>
        <w:trPr>
          <w:trHeight w:val="230"/>
        </w:trPr>
        <w:tc>
          <w:tcPr>
            <w:tcW w:w="2360" w:type="dxa"/>
            <w:vAlign w:val="bottom"/>
          </w:tcPr>
          <w:p>
            <w:pPr>
              <w:spacing w:after="0"/>
              <w:rPr>
                <w:sz w:val="20"/>
                <w:szCs w:val="20"/>
                <w:color w:val="auto"/>
              </w:rPr>
            </w:pPr>
          </w:p>
        </w:tc>
        <w:tc>
          <w:tcPr>
            <w:tcW w:w="5020" w:type="dxa"/>
            <w:vAlign w:val="bottom"/>
          </w:tcPr>
          <w:p>
            <w:pPr>
              <w:jc w:val="center"/>
              <w:spacing w:after="0"/>
              <w:rPr>
                <w:sz w:val="20"/>
                <w:szCs w:val="20"/>
                <w:color w:val="auto"/>
              </w:rPr>
            </w:pPr>
            <w:r>
              <w:rPr>
                <w:rFonts w:ascii="Arial" w:cs="Arial" w:eastAsia="Arial" w:hAnsi="Arial"/>
                <w:sz w:val="18"/>
                <w:szCs w:val="18"/>
                <w:color w:val="auto"/>
                <w:w w:val="90"/>
              </w:rPr>
              <w:t>(Exact name of registrant as specified in its charter)</w:t>
            </w:r>
          </w:p>
        </w:tc>
        <w:tc>
          <w:tcPr>
            <w:tcW w:w="2400" w:type="dxa"/>
            <w:vAlign w:val="bottom"/>
          </w:tcPr>
          <w:p>
            <w:pPr>
              <w:spacing w:after="0"/>
              <w:rPr>
                <w:sz w:val="20"/>
                <w:szCs w:val="20"/>
                <w:color w:val="auto"/>
              </w:rPr>
            </w:pPr>
          </w:p>
        </w:tc>
      </w:tr>
      <w:tr>
        <w:trPr>
          <w:trHeight w:val="270"/>
        </w:trPr>
        <w:tc>
          <w:tcPr>
            <w:tcW w:w="2360" w:type="dxa"/>
            <w:vAlign w:val="bottom"/>
          </w:tcPr>
          <w:p>
            <w:pPr>
              <w:jc w:val="center"/>
              <w:ind w:right="190"/>
              <w:spacing w:after="0"/>
              <w:rPr>
                <w:sz w:val="20"/>
                <w:szCs w:val="20"/>
                <w:color w:val="auto"/>
              </w:rPr>
            </w:pPr>
            <w:r>
              <w:rPr>
                <w:rFonts w:ascii="Arial" w:cs="Arial" w:eastAsia="Arial" w:hAnsi="Arial"/>
                <w:sz w:val="18"/>
                <w:szCs w:val="18"/>
                <w:b w:val="1"/>
                <w:bCs w:val="1"/>
                <w:color w:val="auto"/>
                <w:w w:val="91"/>
              </w:rPr>
              <w:t>Delaware</w:t>
            </w:r>
          </w:p>
        </w:tc>
        <w:tc>
          <w:tcPr>
            <w:tcW w:w="5020" w:type="dxa"/>
            <w:vAlign w:val="bottom"/>
          </w:tcPr>
          <w:p>
            <w:pPr>
              <w:jc w:val="center"/>
              <w:spacing w:after="0"/>
              <w:rPr>
                <w:sz w:val="20"/>
                <w:szCs w:val="20"/>
                <w:color w:val="auto"/>
              </w:rPr>
            </w:pPr>
            <w:r>
              <w:rPr>
                <w:rFonts w:ascii="Arial" w:cs="Arial" w:eastAsia="Arial" w:hAnsi="Arial"/>
                <w:sz w:val="18"/>
                <w:szCs w:val="18"/>
                <w:b w:val="1"/>
                <w:bCs w:val="1"/>
                <w:color w:val="auto"/>
                <w:w w:val="90"/>
              </w:rPr>
              <w:t>001-36156</w:t>
            </w:r>
          </w:p>
        </w:tc>
        <w:tc>
          <w:tcPr>
            <w:tcW w:w="2400" w:type="dxa"/>
            <w:vAlign w:val="bottom"/>
          </w:tcPr>
          <w:p>
            <w:pPr>
              <w:jc w:val="center"/>
              <w:ind w:left="210"/>
              <w:spacing w:after="0"/>
              <w:rPr>
                <w:sz w:val="20"/>
                <w:szCs w:val="20"/>
                <w:color w:val="auto"/>
              </w:rPr>
            </w:pPr>
            <w:r>
              <w:rPr>
                <w:rFonts w:ascii="Arial" w:cs="Arial" w:eastAsia="Arial" w:hAnsi="Arial"/>
                <w:sz w:val="18"/>
                <w:szCs w:val="18"/>
                <w:b w:val="1"/>
                <w:bCs w:val="1"/>
                <w:color w:val="auto"/>
                <w:w w:val="89"/>
              </w:rPr>
              <w:t>20-5455398</w:t>
            </w:r>
          </w:p>
        </w:tc>
      </w:tr>
      <w:tr>
        <w:trPr>
          <w:trHeight w:val="229"/>
        </w:trPr>
        <w:tc>
          <w:tcPr>
            <w:tcW w:w="2360" w:type="dxa"/>
            <w:vAlign w:val="bottom"/>
          </w:tcPr>
          <w:p>
            <w:pPr>
              <w:jc w:val="center"/>
              <w:ind w:right="190"/>
              <w:spacing w:after="0"/>
              <w:rPr>
                <w:sz w:val="20"/>
                <w:szCs w:val="20"/>
                <w:color w:val="auto"/>
              </w:rPr>
            </w:pPr>
            <w:r>
              <w:rPr>
                <w:rFonts w:ascii="Arial" w:cs="Arial" w:eastAsia="Arial" w:hAnsi="Arial"/>
                <w:sz w:val="18"/>
                <w:szCs w:val="18"/>
                <w:color w:val="auto"/>
                <w:w w:val="92"/>
              </w:rPr>
              <w:t>(State or other jurisdiction of</w:t>
            </w:r>
          </w:p>
        </w:tc>
        <w:tc>
          <w:tcPr>
            <w:tcW w:w="5020" w:type="dxa"/>
            <w:vAlign w:val="bottom"/>
          </w:tcPr>
          <w:p>
            <w:pPr>
              <w:jc w:val="center"/>
              <w:spacing w:after="0"/>
              <w:rPr>
                <w:sz w:val="20"/>
                <w:szCs w:val="20"/>
                <w:color w:val="auto"/>
              </w:rPr>
            </w:pPr>
            <w:r>
              <w:rPr>
                <w:rFonts w:ascii="Arial" w:cs="Arial" w:eastAsia="Arial" w:hAnsi="Arial"/>
                <w:sz w:val="18"/>
                <w:szCs w:val="18"/>
                <w:color w:val="auto"/>
                <w:w w:val="93"/>
              </w:rPr>
              <w:t>Commission File Number</w:t>
            </w:r>
          </w:p>
        </w:tc>
        <w:tc>
          <w:tcPr>
            <w:tcW w:w="2400" w:type="dxa"/>
            <w:vAlign w:val="bottom"/>
          </w:tcPr>
          <w:p>
            <w:pPr>
              <w:jc w:val="center"/>
              <w:ind w:left="210"/>
              <w:spacing w:after="0"/>
              <w:rPr>
                <w:sz w:val="20"/>
                <w:szCs w:val="20"/>
                <w:color w:val="auto"/>
              </w:rPr>
            </w:pPr>
            <w:r>
              <w:rPr>
                <w:rFonts w:ascii="Arial" w:cs="Arial" w:eastAsia="Arial" w:hAnsi="Arial"/>
                <w:sz w:val="18"/>
                <w:szCs w:val="18"/>
                <w:color w:val="auto"/>
                <w:w w:val="94"/>
              </w:rPr>
              <w:t>(IRS Employer Identification</w:t>
            </w:r>
          </w:p>
        </w:tc>
      </w:tr>
      <w:tr>
        <w:trPr>
          <w:trHeight w:val="230"/>
        </w:trPr>
        <w:tc>
          <w:tcPr>
            <w:tcW w:w="2360" w:type="dxa"/>
            <w:vAlign w:val="bottom"/>
          </w:tcPr>
          <w:p>
            <w:pPr>
              <w:jc w:val="center"/>
              <w:ind w:right="190"/>
              <w:spacing w:after="0"/>
              <w:rPr>
                <w:sz w:val="20"/>
                <w:szCs w:val="20"/>
                <w:color w:val="auto"/>
              </w:rPr>
            </w:pPr>
            <w:r>
              <w:rPr>
                <w:rFonts w:ascii="Arial" w:cs="Arial" w:eastAsia="Arial" w:hAnsi="Arial"/>
                <w:sz w:val="18"/>
                <w:szCs w:val="18"/>
                <w:color w:val="auto"/>
                <w:w w:val="94"/>
              </w:rPr>
              <w:t>incorporation)</w:t>
            </w:r>
          </w:p>
        </w:tc>
        <w:tc>
          <w:tcPr>
            <w:tcW w:w="5020" w:type="dxa"/>
            <w:vAlign w:val="bottom"/>
          </w:tcPr>
          <w:p>
            <w:pPr>
              <w:spacing w:after="0"/>
              <w:rPr>
                <w:sz w:val="20"/>
                <w:szCs w:val="20"/>
                <w:color w:val="auto"/>
              </w:rPr>
            </w:pPr>
          </w:p>
        </w:tc>
        <w:tc>
          <w:tcPr>
            <w:tcW w:w="2400" w:type="dxa"/>
            <w:vAlign w:val="bottom"/>
          </w:tcPr>
          <w:p>
            <w:pPr>
              <w:jc w:val="center"/>
              <w:ind w:left="190"/>
              <w:spacing w:after="0"/>
              <w:rPr>
                <w:sz w:val="20"/>
                <w:szCs w:val="20"/>
                <w:color w:val="auto"/>
              </w:rPr>
            </w:pPr>
            <w:r>
              <w:rPr>
                <w:rFonts w:ascii="Arial" w:cs="Arial" w:eastAsia="Arial" w:hAnsi="Arial"/>
                <w:sz w:val="18"/>
                <w:szCs w:val="18"/>
                <w:color w:val="auto"/>
                <w:w w:val="93"/>
              </w:rPr>
              <w:t>No.)</w:t>
            </w:r>
          </w:p>
        </w:tc>
      </w:tr>
      <w:tr>
        <w:trPr>
          <w:trHeight w:val="365"/>
        </w:trPr>
        <w:tc>
          <w:tcPr>
            <w:tcW w:w="7380" w:type="dxa"/>
            <w:vAlign w:val="bottom"/>
            <w:gridSpan w:val="2"/>
          </w:tcPr>
          <w:p>
            <w:pPr>
              <w:ind w:left="40"/>
              <w:spacing w:after="0"/>
              <w:rPr>
                <w:sz w:val="20"/>
                <w:szCs w:val="20"/>
                <w:color w:val="auto"/>
              </w:rPr>
            </w:pPr>
            <w:r>
              <w:rPr>
                <w:rFonts w:ascii="Arial" w:cs="Arial" w:eastAsia="Arial" w:hAnsi="Arial"/>
                <w:sz w:val="18"/>
                <w:szCs w:val="18"/>
                <w:b w:val="1"/>
                <w:bCs w:val="1"/>
                <w:color w:val="auto"/>
              </w:rPr>
              <w:t>6000 Shoreline Court, Suite 300, South San Francisco, California</w:t>
            </w:r>
          </w:p>
        </w:tc>
        <w:tc>
          <w:tcPr>
            <w:tcW w:w="2400" w:type="dxa"/>
            <w:vAlign w:val="bottom"/>
          </w:tcPr>
          <w:p>
            <w:pPr>
              <w:jc w:val="center"/>
              <w:ind w:left="250"/>
              <w:spacing w:after="0"/>
              <w:rPr>
                <w:sz w:val="20"/>
                <w:szCs w:val="20"/>
                <w:color w:val="auto"/>
              </w:rPr>
            </w:pPr>
            <w:r>
              <w:rPr>
                <w:rFonts w:ascii="Arial" w:cs="Arial" w:eastAsia="Arial" w:hAnsi="Arial"/>
                <w:sz w:val="18"/>
                <w:szCs w:val="18"/>
                <w:b w:val="1"/>
                <w:bCs w:val="1"/>
                <w:color w:val="auto"/>
                <w:w w:val="91"/>
              </w:rPr>
              <w:t>94080</w:t>
            </w:r>
          </w:p>
        </w:tc>
      </w:tr>
      <w:tr>
        <w:trPr>
          <w:trHeight w:val="256"/>
        </w:trPr>
        <w:tc>
          <w:tcPr>
            <w:tcW w:w="7380" w:type="dxa"/>
            <w:vAlign w:val="bottom"/>
            <w:gridSpan w:val="2"/>
          </w:tcPr>
          <w:p>
            <w:pPr>
              <w:ind w:left="1120"/>
              <w:spacing w:after="0"/>
              <w:rPr>
                <w:sz w:val="20"/>
                <w:szCs w:val="20"/>
                <w:color w:val="auto"/>
              </w:rPr>
            </w:pPr>
            <w:r>
              <w:rPr>
                <w:rFonts w:ascii="Arial" w:cs="Arial" w:eastAsia="Arial" w:hAnsi="Arial"/>
                <w:sz w:val="18"/>
                <w:szCs w:val="18"/>
                <w:color w:val="auto"/>
              </w:rPr>
              <w:t>(Address of principal executive offices)</w:t>
            </w:r>
          </w:p>
        </w:tc>
        <w:tc>
          <w:tcPr>
            <w:tcW w:w="2400" w:type="dxa"/>
            <w:vAlign w:val="bottom"/>
          </w:tcPr>
          <w:p>
            <w:pPr>
              <w:jc w:val="center"/>
              <w:ind w:left="230"/>
              <w:spacing w:after="0"/>
              <w:rPr>
                <w:sz w:val="20"/>
                <w:szCs w:val="20"/>
                <w:color w:val="auto"/>
              </w:rPr>
            </w:pPr>
            <w:r>
              <w:rPr>
                <w:rFonts w:ascii="Arial" w:cs="Arial" w:eastAsia="Arial" w:hAnsi="Arial"/>
                <w:sz w:val="18"/>
                <w:szCs w:val="18"/>
                <w:color w:val="auto"/>
                <w:w w:val="94"/>
              </w:rPr>
              <w:t>(Zip Code)</w:t>
            </w:r>
          </w:p>
        </w:tc>
      </w:tr>
    </w:tbl>
    <w:p>
      <w:pPr>
        <w:spacing w:after="0" w:line="333"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 xml:space="preserve">Registrant’s telephone number, including area code: </w:t>
      </w:r>
      <w:r>
        <w:rPr>
          <w:rFonts w:ascii="Arial" w:cs="Arial" w:eastAsia="Arial" w:hAnsi="Arial"/>
          <w:sz w:val="18"/>
          <w:szCs w:val="18"/>
          <w:b w:val="1"/>
          <w:bCs w:val="1"/>
          <w:color w:val="auto"/>
        </w:rPr>
        <w:t>(650) 243-6300</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N/A</w:t>
      </w:r>
    </w:p>
    <w:p>
      <w:pPr>
        <w:spacing w:after="0" w:line="9"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(Former name or former address, if changed since last report.)</w:t>
      </w:r>
    </w:p>
    <w:p>
      <w:pPr>
        <w:spacing w:after="0" w:line="35" w:lineRule="exact"/>
        <w:rPr>
          <w:sz w:val="24"/>
          <w:szCs w:val="24"/>
          <w:color w:val="auto"/>
        </w:rPr>
      </w:pPr>
    </w:p>
    <w:p>
      <w:pPr>
        <w:ind w:left="20" w:right="620" w:firstLine="54"/>
        <w:spacing w:after="0" w:line="250" w:lineRule="auto"/>
        <w:rPr>
          <w:sz w:val="20"/>
          <w:szCs w:val="20"/>
          <w:color w:val="auto"/>
        </w:rPr>
      </w:pPr>
      <w:r>
        <w:rPr>
          <w:rFonts w:ascii="Arial" w:cs="Arial" w:eastAsia="Arial" w:hAnsi="Arial"/>
          <w:sz w:val="18"/>
          <w:szCs w:val="18"/>
          <w:color w:val="auto"/>
        </w:rPr>
        <w:t>Check the appropriate box below if the Form 8-K filing is intended to simultaneously satisfy the filing obligation of the registrant under any of the following provisions:</w:t>
      </w:r>
    </w:p>
    <w:p>
      <w:pPr>
        <w:spacing w:after="0" w:line="28" w:lineRule="exact"/>
        <w:rPr>
          <w:sz w:val="24"/>
          <w:szCs w:val="24"/>
          <w:color w:val="auto"/>
        </w:rPr>
      </w:pPr>
    </w:p>
    <w:p>
      <w:pPr>
        <w:ind w:left="1220" w:hanging="726"/>
        <w:spacing w:after="0"/>
        <w:tabs>
          <w:tab w:leader="none" w:pos="1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Written communications pursuant to Rule 425 under the Securities Act (17 CFR 230.425)</w:t>
      </w:r>
    </w:p>
    <w:p>
      <w:pPr>
        <w:spacing w:after="0" w:line="49" w:lineRule="exact"/>
        <w:rPr>
          <w:rFonts w:ascii="MS PGothic" w:cs="MS PGothic" w:eastAsia="MS PGothic" w:hAnsi="MS PGothic"/>
          <w:sz w:val="18"/>
          <w:szCs w:val="18"/>
          <w:color w:val="auto"/>
        </w:rPr>
      </w:pPr>
    </w:p>
    <w:p>
      <w:pPr>
        <w:ind w:left="1220" w:hanging="726"/>
        <w:spacing w:after="0"/>
        <w:tabs>
          <w:tab w:leader="none" w:pos="1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Soliciting material pursuant to Rule 14a-12 under the Exchange Act (17 CFR 240.14a-12)</w:t>
      </w:r>
    </w:p>
    <w:p>
      <w:pPr>
        <w:spacing w:after="0" w:line="49" w:lineRule="exact"/>
        <w:rPr>
          <w:rFonts w:ascii="MS PGothic" w:cs="MS PGothic" w:eastAsia="MS PGothic" w:hAnsi="MS PGothic"/>
          <w:sz w:val="18"/>
          <w:szCs w:val="18"/>
          <w:color w:val="auto"/>
        </w:rPr>
      </w:pPr>
    </w:p>
    <w:p>
      <w:pPr>
        <w:ind w:left="1220" w:hanging="726"/>
        <w:spacing w:after="0"/>
        <w:tabs>
          <w:tab w:leader="none" w:pos="1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14d-2(b) under the Exchange Act (17 CFR 240.14d-2(b))</w:t>
      </w:r>
    </w:p>
    <w:p>
      <w:pPr>
        <w:spacing w:after="0" w:line="49" w:lineRule="exact"/>
        <w:rPr>
          <w:rFonts w:ascii="MS PGothic" w:cs="MS PGothic" w:eastAsia="MS PGothic" w:hAnsi="MS PGothic"/>
          <w:sz w:val="18"/>
          <w:szCs w:val="18"/>
          <w:color w:val="auto"/>
        </w:rPr>
      </w:pPr>
    </w:p>
    <w:p>
      <w:pPr>
        <w:ind w:left="1220" w:hanging="726"/>
        <w:spacing w:after="0"/>
        <w:tabs>
          <w:tab w:leader="none" w:pos="1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13e-4(c) under the Exchange Act (17 CFR 240.13e-4(c))</w:t>
      </w:r>
    </w:p>
    <w:p>
      <w:pPr>
        <w:spacing w:after="0" w:line="360" w:lineRule="exact"/>
        <w:rPr>
          <w:sz w:val="24"/>
          <w:szCs w:val="24"/>
          <w:color w:val="auto"/>
        </w:rPr>
      </w:pPr>
    </w:p>
    <w:tbl>
      <w:tblPr>
        <w:tblLayout w:type="fixed"/>
        <w:tblInd w:w="0" w:type="dxa"/>
        <w:tblCellMar>
          <w:top w:w="0" w:type="dxa"/>
          <w:left w:w="0" w:type="dxa"/>
          <w:bottom w:w="0" w:type="dxa"/>
          <w:right w:w="0" w:type="dxa"/>
        </w:tblCellMar>
      </w:tblPr>
      <w:tr>
        <w:trPr>
          <w:trHeight w:val="230"/>
        </w:trPr>
        <w:tc>
          <w:tcPr>
            <w:tcW w:w="4580" w:type="dxa"/>
            <w:vAlign w:val="bottom"/>
            <w:gridSpan w:val="2"/>
          </w:tcPr>
          <w:p>
            <w:pPr>
              <w:spacing w:after="0"/>
              <w:rPr>
                <w:sz w:val="20"/>
                <w:szCs w:val="20"/>
                <w:color w:val="auto"/>
              </w:rPr>
            </w:pPr>
            <w:r>
              <w:rPr>
                <w:rFonts w:ascii="Arial" w:cs="Arial" w:eastAsia="Arial" w:hAnsi="Arial"/>
                <w:sz w:val="18"/>
                <w:szCs w:val="18"/>
                <w:color w:val="auto"/>
                <w:w w:val="99"/>
              </w:rPr>
              <w:t>Securities registered pursuant to Section 12(b) of the Act:</w:t>
            </w:r>
          </w:p>
        </w:tc>
        <w:tc>
          <w:tcPr>
            <w:tcW w:w="206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4420" w:type="dxa"/>
            <w:vAlign w:val="bottom"/>
          </w:tcPr>
          <w:p>
            <w:pPr>
              <w:spacing w:after="0"/>
              <w:rPr>
                <w:sz w:val="20"/>
                <w:szCs w:val="20"/>
                <w:color w:val="auto"/>
              </w:rPr>
            </w:pPr>
          </w:p>
        </w:tc>
      </w:tr>
      <w:tr>
        <w:trPr>
          <w:trHeight w:val="263"/>
        </w:trPr>
        <w:tc>
          <w:tcPr>
            <w:tcW w:w="440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87"/>
              </w:rPr>
              <w:t>Title of each class</w:t>
            </w:r>
          </w:p>
        </w:tc>
        <w:tc>
          <w:tcPr>
            <w:tcW w:w="180" w:type="dxa"/>
            <w:vAlign w:val="bottom"/>
          </w:tcPr>
          <w:p>
            <w:pPr>
              <w:spacing w:after="0"/>
              <w:rPr>
                <w:sz w:val="22"/>
                <w:szCs w:val="22"/>
                <w:color w:val="auto"/>
              </w:rPr>
            </w:pPr>
          </w:p>
        </w:tc>
        <w:tc>
          <w:tcPr>
            <w:tcW w:w="2060" w:type="dxa"/>
            <w:vAlign w:val="bottom"/>
            <w:tcBorders>
              <w:bottom w:val="single" w:sz="8" w:color="auto"/>
            </w:tcBorders>
          </w:tcPr>
          <w:p>
            <w:pPr>
              <w:ind w:left="60"/>
              <w:spacing w:after="0"/>
              <w:rPr>
                <w:sz w:val="20"/>
                <w:szCs w:val="20"/>
                <w:color w:val="auto"/>
              </w:rPr>
            </w:pPr>
            <w:r>
              <w:rPr>
                <w:rFonts w:ascii="Arial" w:cs="Arial" w:eastAsia="Arial" w:hAnsi="Arial"/>
                <w:sz w:val="18"/>
                <w:szCs w:val="18"/>
                <w:b w:val="1"/>
                <w:bCs w:val="1"/>
                <w:color w:val="auto"/>
              </w:rPr>
              <w:t>Trading Symbol(s)</w:t>
            </w:r>
          </w:p>
        </w:tc>
        <w:tc>
          <w:tcPr>
            <w:tcW w:w="180" w:type="dxa"/>
            <w:vAlign w:val="bottom"/>
          </w:tcPr>
          <w:p>
            <w:pPr>
              <w:spacing w:after="0"/>
              <w:rPr>
                <w:sz w:val="22"/>
                <w:szCs w:val="22"/>
                <w:color w:val="auto"/>
              </w:rPr>
            </w:pPr>
          </w:p>
        </w:tc>
        <w:tc>
          <w:tcPr>
            <w:tcW w:w="442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88"/>
              </w:rPr>
              <w:t>Name of each exchange on which registered</w:t>
            </w:r>
          </w:p>
        </w:tc>
      </w:tr>
      <w:tr>
        <w:trPr>
          <w:trHeight w:val="243"/>
        </w:trPr>
        <w:tc>
          <w:tcPr>
            <w:tcW w:w="4580" w:type="dxa"/>
            <w:vAlign w:val="bottom"/>
            <w:gridSpan w:val="2"/>
          </w:tcPr>
          <w:p>
            <w:pPr>
              <w:jc w:val="center"/>
              <w:ind w:right="100"/>
              <w:spacing w:after="0"/>
              <w:rPr>
                <w:sz w:val="20"/>
                <w:szCs w:val="20"/>
                <w:color w:val="auto"/>
              </w:rPr>
            </w:pPr>
            <w:r>
              <w:rPr>
                <w:rFonts w:ascii="Arial" w:cs="Arial" w:eastAsia="Arial" w:hAnsi="Arial"/>
                <w:sz w:val="18"/>
                <w:szCs w:val="18"/>
                <w:color w:val="auto"/>
                <w:w w:val="89"/>
              </w:rPr>
              <w:t>Common Stock, par value, $0.001 per share</w:t>
            </w:r>
          </w:p>
        </w:tc>
        <w:tc>
          <w:tcPr>
            <w:tcW w:w="2240" w:type="dxa"/>
            <w:vAlign w:val="bottom"/>
            <w:gridSpan w:val="2"/>
          </w:tcPr>
          <w:p>
            <w:pPr>
              <w:ind w:left="820"/>
              <w:spacing w:after="0"/>
              <w:rPr>
                <w:sz w:val="20"/>
                <w:szCs w:val="20"/>
                <w:color w:val="auto"/>
              </w:rPr>
            </w:pPr>
            <w:r>
              <w:rPr>
                <w:rFonts w:ascii="Arial" w:cs="Arial" w:eastAsia="Arial" w:hAnsi="Arial"/>
                <w:sz w:val="18"/>
                <w:szCs w:val="18"/>
                <w:color w:val="auto"/>
              </w:rPr>
              <w:t>VCYT</w:t>
            </w:r>
          </w:p>
        </w:tc>
        <w:tc>
          <w:tcPr>
            <w:tcW w:w="4420" w:type="dxa"/>
            <w:vAlign w:val="bottom"/>
          </w:tcPr>
          <w:p>
            <w:pPr>
              <w:jc w:val="center"/>
              <w:spacing w:after="0"/>
              <w:rPr>
                <w:sz w:val="20"/>
                <w:szCs w:val="20"/>
                <w:color w:val="auto"/>
              </w:rPr>
            </w:pPr>
            <w:r>
              <w:rPr>
                <w:rFonts w:ascii="Arial" w:cs="Arial" w:eastAsia="Arial" w:hAnsi="Arial"/>
                <w:sz w:val="18"/>
                <w:szCs w:val="18"/>
                <w:color w:val="auto"/>
                <w:w w:val="92"/>
              </w:rPr>
              <w:t>The Nasdaq Stock Market LLC</w:t>
            </w:r>
          </w:p>
        </w:tc>
      </w:tr>
    </w:tbl>
    <w:p>
      <w:pPr>
        <w:spacing w:after="0" w:line="134" w:lineRule="exact"/>
        <w:rPr>
          <w:sz w:val="24"/>
          <w:szCs w:val="24"/>
          <w:color w:val="auto"/>
        </w:rPr>
      </w:pPr>
    </w:p>
    <w:p>
      <w:pPr>
        <w:ind w:left="20" w:right="260"/>
        <w:spacing w:after="0" w:line="250" w:lineRule="auto"/>
        <w:rPr>
          <w:sz w:val="20"/>
          <w:szCs w:val="20"/>
          <w:color w:val="auto"/>
        </w:rPr>
      </w:pPr>
      <w:r>
        <w:rPr>
          <w:rFonts w:ascii="Arial" w:cs="Arial" w:eastAsia="Arial" w:hAnsi="Arial"/>
          <w:sz w:val="18"/>
          <w:szCs w:val="18"/>
          <w:color w:val="auto"/>
        </w:rPr>
        <w:t>Indicate by check mark whether the registrant is an emerging growth company as defined in Rule 405 of the Securities Act of 1933 or Rule 12b-2 of the Securities Exchange Act of 1934.</w:t>
      </w:r>
    </w:p>
    <w:p>
      <w:pPr>
        <w:spacing w:after="0" w:line="2" w:lineRule="exact"/>
        <w:rPr>
          <w:sz w:val="24"/>
          <w:szCs w:val="24"/>
          <w:color w:val="auto"/>
        </w:rPr>
      </w:pPr>
    </w:p>
    <w:p>
      <w:pPr>
        <w:ind w:left="20"/>
        <w:spacing w:after="0" w:line="207" w:lineRule="exact"/>
        <w:rPr>
          <w:sz w:val="20"/>
          <w:szCs w:val="20"/>
          <w:color w:val="auto"/>
        </w:rPr>
      </w:pPr>
      <w:r>
        <w:rPr>
          <w:rFonts w:ascii="Arial" w:cs="Arial" w:eastAsia="Arial" w:hAnsi="Arial"/>
          <w:sz w:val="18"/>
          <w:szCs w:val="18"/>
          <w:color w:val="auto"/>
        </w:rPr>
        <w:t xml:space="preserve">Emerging growth company </w:t>
      </w:r>
      <w:r>
        <w:rPr>
          <w:rFonts w:ascii="MS PGothic" w:cs="MS PGothic" w:eastAsia="MS PGothic" w:hAnsi="MS PGothic"/>
          <w:sz w:val="18"/>
          <w:szCs w:val="18"/>
          <w:color w:val="auto"/>
        </w:rPr>
        <w:t>☐</w:t>
      </w:r>
    </w:p>
    <w:p>
      <w:pPr>
        <w:spacing w:after="0" w:line="76" w:lineRule="exact"/>
        <w:rPr>
          <w:sz w:val="24"/>
          <w:szCs w:val="24"/>
          <w:color w:val="auto"/>
        </w:rPr>
      </w:pPr>
    </w:p>
    <w:p>
      <w:pPr>
        <w:ind w:left="20" w:right="140"/>
        <w:spacing w:after="0" w:line="226" w:lineRule="exact"/>
        <w:rPr>
          <w:sz w:val="20"/>
          <w:szCs w:val="20"/>
          <w:color w:val="auto"/>
        </w:rPr>
      </w:pPr>
      <w:r>
        <w:rPr>
          <w:rFonts w:ascii="Arial" w:cs="Arial" w:eastAsia="Arial" w:hAnsi="Arial"/>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-6985</wp:posOffset>
            </wp:positionH>
            <wp:positionV relativeFrom="paragraph">
              <wp:posOffset>1423670</wp:posOffset>
            </wp:positionV>
            <wp:extent cx="7157720" cy="425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57720" cy="42545"/>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321945</wp:posOffset>
            </wp:positionV>
            <wp:extent cx="708914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089140" cy="889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227965</wp:posOffset>
            </wp:positionV>
            <wp:extent cx="708914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089140" cy="8255"/>
                    </a:xfrm>
                    <a:prstGeom prst="rect">
                      <a:avLst/>
                    </a:prstGeom>
                    <a:noFill/>
                  </pic:spPr>
                </pic:pic>
              </a:graphicData>
            </a:graphic>
          </wp:anchor>
        </w:drawing>
      </w:r>
    </w:p>
    <w:p>
      <w:pPr>
        <w:sectPr>
          <w:pgSz w:w="11900" w:h="16838" w:orient="portrait"/>
          <w:cols w:equalWidth="0" w:num="1">
            <w:col w:w="11240"/>
          </w:cols>
          <w:pgMar w:left="320" w:top="1440" w:right="339" w:bottom="1440" w:gutter="0" w:footer="0" w:header="0"/>
        </w:sectPr>
      </w:pPr>
    </w:p>
    <w:bookmarkStart w:id="1" w:name="page2"/>
    <w:bookmarkEnd w:id="1"/>
    <w:p>
      <w:pPr>
        <w:ind w:right="120"/>
        <w:spacing w:after="0" w:line="266" w:lineRule="auto"/>
        <w:rPr>
          <w:sz w:val="20"/>
          <w:szCs w:val="20"/>
          <w:color w:val="auto"/>
        </w:rPr>
      </w:pPr>
      <w:r>
        <w:rPr>
          <w:rFonts w:ascii="Arial" w:cs="Arial" w:eastAsia="Arial" w:hAnsi="Arial"/>
          <w:sz w:val="18"/>
          <w:szCs w:val="18"/>
          <w:b w:val="1"/>
          <w:bCs w:val="1"/>
          <w:color w:val="auto"/>
        </w:rPr>
        <w:t>Item 5.02. Departure of Directors or Certain Officers; Election of Directors; Appointment of Certain Officers; Compensatory Arrangements of Certain Officers.</w:t>
      </w:r>
    </w:p>
    <w:p>
      <w:pPr>
        <w:spacing w:after="0" w:line="180" w:lineRule="exact"/>
        <w:rPr>
          <w:sz w:val="20"/>
          <w:szCs w:val="20"/>
          <w:color w:val="auto"/>
        </w:rPr>
      </w:pPr>
    </w:p>
    <w:p>
      <w:pPr>
        <w:jc w:val="both"/>
        <w:ind w:firstLine="648"/>
        <w:spacing w:after="0" w:line="246" w:lineRule="auto"/>
        <w:rPr>
          <w:sz w:val="20"/>
          <w:szCs w:val="20"/>
          <w:color w:val="auto"/>
        </w:rPr>
      </w:pPr>
      <w:r>
        <w:rPr>
          <w:rFonts w:ascii="Arial" w:cs="Arial" w:eastAsia="Arial" w:hAnsi="Arial"/>
          <w:sz w:val="18"/>
          <w:szCs w:val="18"/>
          <w:color w:val="auto"/>
        </w:rPr>
        <w:t>On July 13, 2021, James H. Erlinger III, Executive Vice President, General Counsel and Secretary of Veracyte, Inc. (the “Company”), announced his retirement from the Company, effective as of July 31, 2021.</w:t>
      </w:r>
    </w:p>
    <w:p>
      <w:pPr>
        <w:spacing w:after="0" w:line="197" w:lineRule="exact"/>
        <w:rPr>
          <w:sz w:val="20"/>
          <w:szCs w:val="20"/>
          <w:color w:val="auto"/>
        </w:rPr>
      </w:pPr>
    </w:p>
    <w:p>
      <w:pPr>
        <w:jc w:val="both"/>
        <w:ind w:firstLine="648"/>
        <w:spacing w:after="0" w:line="266" w:lineRule="auto"/>
        <w:rPr>
          <w:sz w:val="20"/>
          <w:szCs w:val="20"/>
          <w:color w:val="auto"/>
        </w:rPr>
      </w:pPr>
      <w:r>
        <w:rPr>
          <w:rFonts w:ascii="Arial" w:cs="Arial" w:eastAsia="Arial" w:hAnsi="Arial"/>
          <w:sz w:val="16"/>
          <w:szCs w:val="16"/>
          <w:color w:val="auto"/>
        </w:rPr>
        <w:t>In connection with Mr. Erlinger’s retirement, and in exchange for a standard release of claims consistent with Exhibit A to Mr. Erlinger’s Change of Control and Severance Agreement, which was filed as Exhibit 10.24 to the Company’s Annual Report on Form 10-K filed with the Securities and Exchange Commission on February 22, 2021 (File No. 001-36156), the Company has agreed to provide Mr. Erlinger with three months’ salary and a payment equivalent to three months’ continuation coverage under the Consolidated Omnibus Budget Reconciliation Act of 1985, as amended.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1012825</wp:posOffset>
            </wp:positionV>
            <wp:extent cx="7157720" cy="425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1417" w:right="339" w:bottom="1440" w:gutter="0" w:footer="0" w:header="0"/>
        </w:sectPr>
      </w:pPr>
    </w:p>
    <w:bookmarkStart w:id="2" w:name="page3"/>
    <w:bookmarkEnd w:id="2"/>
    <w:p>
      <w:pPr>
        <w:jc w:val="center"/>
        <w:ind w:right="-39"/>
        <w:spacing w:after="0"/>
        <w:rPr>
          <w:sz w:val="20"/>
          <w:szCs w:val="20"/>
          <w:color w:val="auto"/>
        </w:rPr>
      </w:pPr>
      <w:r>
        <w:rPr>
          <w:rFonts w:ascii="Arial" w:cs="Arial" w:eastAsia="Arial" w:hAnsi="Arial"/>
          <w:sz w:val="18"/>
          <w:szCs w:val="18"/>
          <w:b w:val="1"/>
          <w:bCs w:val="1"/>
          <w:color w:val="auto"/>
        </w:rPr>
        <w:t>SIGNATURE</w:t>
      </w:r>
    </w:p>
    <w:p>
      <w:pPr>
        <w:spacing w:after="0" w:line="256" w:lineRule="exact"/>
        <w:rPr>
          <w:sz w:val="20"/>
          <w:szCs w:val="20"/>
          <w:color w:val="auto"/>
        </w:rPr>
      </w:pPr>
    </w:p>
    <w:p>
      <w:pPr>
        <w:spacing w:after="0" w:line="277" w:lineRule="auto"/>
        <w:rPr>
          <w:sz w:val="20"/>
          <w:szCs w:val="20"/>
          <w:color w:val="auto"/>
        </w:rPr>
      </w:pPr>
      <w:r>
        <w:rPr>
          <w:rFonts w:ascii="Arial" w:cs="Arial" w:eastAsia="Arial" w:hAnsi="Arial"/>
          <w:sz w:val="18"/>
          <w:szCs w:val="18"/>
          <w:color w:val="auto"/>
        </w:rPr>
        <w:t>Pursuant to the requirements of the Securities Exchange Act of 1934, the registrant has duly caused this report to be signed on its behalf by the undersigned hereunto duly authorized.</w:t>
      </w:r>
    </w:p>
    <w:p>
      <w:pPr>
        <w:spacing w:after="0" w:line="251" w:lineRule="exact"/>
        <w:rPr>
          <w:sz w:val="20"/>
          <w:szCs w:val="20"/>
          <w:color w:val="auto"/>
        </w:rPr>
      </w:pPr>
    </w:p>
    <w:p>
      <w:pPr>
        <w:ind w:left="80"/>
        <w:spacing w:after="0"/>
        <w:tabs>
          <w:tab w:leader="none" w:pos="1000" w:val="left"/>
        </w:tabs>
        <w:rPr>
          <w:sz w:val="20"/>
          <w:szCs w:val="20"/>
          <w:color w:val="auto"/>
        </w:rPr>
      </w:pPr>
      <w:r>
        <w:rPr>
          <w:rFonts w:ascii="Arial" w:cs="Arial" w:eastAsia="Arial" w:hAnsi="Arial"/>
          <w:sz w:val="18"/>
          <w:szCs w:val="18"/>
          <w:color w:val="auto"/>
        </w:rPr>
        <w:t>Dated:</w:t>
      </w:r>
      <w:r>
        <w:rPr>
          <w:sz w:val="20"/>
          <w:szCs w:val="20"/>
          <w:color w:val="auto"/>
        </w:rPr>
        <w:tab/>
      </w:r>
      <w:r>
        <w:rPr>
          <w:rFonts w:ascii="Arial" w:cs="Arial" w:eastAsia="Arial" w:hAnsi="Arial"/>
          <w:sz w:val="18"/>
          <w:szCs w:val="18"/>
          <w:color w:val="auto"/>
        </w:rPr>
        <w:t>July 16, 2021</w:t>
      </w:r>
    </w:p>
    <w:p>
      <w:pPr>
        <w:spacing w:after="0" w:line="279" w:lineRule="exact"/>
        <w:rPr>
          <w:sz w:val="20"/>
          <w:szCs w:val="20"/>
          <w:color w:val="auto"/>
        </w:rPr>
      </w:pPr>
    </w:p>
    <w:p>
      <w:pPr>
        <w:ind w:left="4620"/>
        <w:spacing w:after="0"/>
        <w:rPr>
          <w:sz w:val="20"/>
          <w:szCs w:val="20"/>
          <w:color w:val="auto"/>
        </w:rPr>
      </w:pPr>
      <w:r>
        <w:rPr>
          <w:rFonts w:ascii="Arial" w:cs="Arial" w:eastAsia="Arial" w:hAnsi="Arial"/>
          <w:sz w:val="18"/>
          <w:szCs w:val="18"/>
          <w:color w:val="auto"/>
        </w:rPr>
        <w:t>VERACYTE, INC.</w:t>
      </w:r>
    </w:p>
    <w:p>
      <w:pPr>
        <w:spacing w:after="0" w:line="279" w:lineRule="exact"/>
        <w:rPr>
          <w:sz w:val="20"/>
          <w:szCs w:val="20"/>
          <w:color w:val="auto"/>
        </w:rPr>
      </w:pPr>
    </w:p>
    <w:tbl>
      <w:tblPr>
        <w:tblLayout w:type="fixed"/>
        <w:tblInd w:w="4620" w:type="dxa"/>
        <w:tblCellMar>
          <w:top w:w="0" w:type="dxa"/>
          <w:left w:w="0" w:type="dxa"/>
          <w:bottom w:w="0" w:type="dxa"/>
          <w:right w:w="0" w:type="dxa"/>
        </w:tblCellMar>
      </w:tblPr>
      <w:tr>
        <w:trPr>
          <w:trHeight w:val="237"/>
        </w:trPr>
        <w:tc>
          <w:tcPr>
            <w:tcW w:w="880" w:type="dxa"/>
            <w:vAlign w:val="bottom"/>
          </w:tcPr>
          <w:p>
            <w:pPr>
              <w:spacing w:after="0"/>
              <w:rPr>
                <w:sz w:val="20"/>
                <w:szCs w:val="20"/>
                <w:color w:val="auto"/>
              </w:rPr>
            </w:pPr>
            <w:r>
              <w:rPr>
                <w:rFonts w:ascii="Arial" w:cs="Arial" w:eastAsia="Arial" w:hAnsi="Arial"/>
                <w:sz w:val="18"/>
                <w:szCs w:val="18"/>
                <w:color w:val="auto"/>
              </w:rPr>
              <w:t>By:</w:t>
            </w:r>
          </w:p>
        </w:tc>
        <w:tc>
          <w:tcPr>
            <w:tcW w:w="5660" w:type="dxa"/>
            <w:vAlign w:val="bottom"/>
            <w:tcBorders>
              <w:bottom w:val="single" w:sz="8" w:color="auto"/>
            </w:tcBorders>
          </w:tcPr>
          <w:p>
            <w:pPr>
              <w:ind w:left="80"/>
              <w:spacing w:after="0"/>
              <w:rPr>
                <w:sz w:val="20"/>
                <w:szCs w:val="20"/>
                <w:color w:val="auto"/>
              </w:rPr>
            </w:pPr>
            <w:r>
              <w:rPr>
                <w:rFonts w:ascii="Arial" w:cs="Arial" w:eastAsia="Arial" w:hAnsi="Arial"/>
                <w:sz w:val="18"/>
                <w:szCs w:val="18"/>
                <w:color w:val="auto"/>
              </w:rPr>
              <w:t>/s/ Marc Stapley</w:t>
            </w:r>
          </w:p>
        </w:tc>
      </w:tr>
      <w:tr>
        <w:trPr>
          <w:trHeight w:val="243"/>
        </w:trPr>
        <w:tc>
          <w:tcPr>
            <w:tcW w:w="880" w:type="dxa"/>
            <w:vAlign w:val="bottom"/>
          </w:tcPr>
          <w:p>
            <w:pPr>
              <w:spacing w:after="0"/>
              <w:rPr>
                <w:sz w:val="20"/>
                <w:szCs w:val="20"/>
                <w:color w:val="auto"/>
              </w:rPr>
            </w:pPr>
            <w:r>
              <w:rPr>
                <w:rFonts w:ascii="Arial" w:cs="Arial" w:eastAsia="Arial" w:hAnsi="Arial"/>
                <w:sz w:val="18"/>
                <w:szCs w:val="18"/>
                <w:color w:val="auto"/>
              </w:rPr>
              <w:t>Name:</w:t>
            </w:r>
          </w:p>
        </w:tc>
        <w:tc>
          <w:tcPr>
            <w:tcW w:w="5660" w:type="dxa"/>
            <w:vAlign w:val="bottom"/>
          </w:tcPr>
          <w:p>
            <w:pPr>
              <w:ind w:left="80"/>
              <w:spacing w:after="0"/>
              <w:rPr>
                <w:sz w:val="20"/>
                <w:szCs w:val="20"/>
                <w:color w:val="auto"/>
              </w:rPr>
            </w:pPr>
            <w:r>
              <w:rPr>
                <w:rFonts w:ascii="Arial" w:cs="Arial" w:eastAsia="Arial" w:hAnsi="Arial"/>
                <w:sz w:val="18"/>
                <w:szCs w:val="18"/>
                <w:color w:val="auto"/>
              </w:rPr>
              <w:t>Marc Stapley</w:t>
            </w:r>
          </w:p>
        </w:tc>
      </w:tr>
      <w:tr>
        <w:trPr>
          <w:trHeight w:val="256"/>
        </w:trPr>
        <w:tc>
          <w:tcPr>
            <w:tcW w:w="880" w:type="dxa"/>
            <w:vAlign w:val="bottom"/>
          </w:tcPr>
          <w:p>
            <w:pPr>
              <w:spacing w:after="0"/>
              <w:rPr>
                <w:sz w:val="20"/>
                <w:szCs w:val="20"/>
                <w:color w:val="auto"/>
              </w:rPr>
            </w:pPr>
            <w:r>
              <w:rPr>
                <w:rFonts w:ascii="Arial" w:cs="Arial" w:eastAsia="Arial" w:hAnsi="Arial"/>
                <w:sz w:val="18"/>
                <w:szCs w:val="18"/>
                <w:color w:val="auto"/>
              </w:rPr>
              <w:t>Title:</w:t>
            </w:r>
          </w:p>
        </w:tc>
        <w:tc>
          <w:tcPr>
            <w:tcW w:w="5660" w:type="dxa"/>
            <w:vAlign w:val="bottom"/>
          </w:tcPr>
          <w:p>
            <w:pPr>
              <w:ind w:left="80"/>
              <w:spacing w:after="0"/>
              <w:rPr>
                <w:sz w:val="20"/>
                <w:szCs w:val="20"/>
                <w:color w:val="auto"/>
              </w:rPr>
            </w:pPr>
            <w:r>
              <w:rPr>
                <w:rFonts w:ascii="Arial" w:cs="Arial" w:eastAsia="Arial" w:hAnsi="Arial"/>
                <w:sz w:val="18"/>
                <w:szCs w:val="18"/>
                <w:i w:val="1"/>
                <w:iCs w:val="1"/>
                <w:color w:val="auto"/>
              </w:rPr>
              <w:t>Chief Executive Officer</w:t>
            </w:r>
          </w:p>
        </w:tc>
      </w:tr>
    </w:tbl>
    <w:p>
      <w:pPr>
        <w:spacing w:after="0" w:line="1" w:lineRule="exact"/>
        <w:rPr>
          <w:sz w:val="20"/>
          <w:szCs w:val="20"/>
          <w:color w:val="auto"/>
        </w:rPr>
      </w:pPr>
    </w:p>
    <w:sectPr>
      <w:pgSz w:w="11900" w:h="16838" w:orient="portrait"/>
      <w:cols w:equalWidth="0" w:num="1">
        <w:col w:w="11200"/>
      </w:cols>
      <w:pgMar w:left="320" w:top="1417" w:right="37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2021-07-16T08:04:55Z</dcterms:created>
  <dcterms:modified xsi:type="dcterms:W3CDTF">2021-07-16T08:04:55Z</dcterms:modified>
</cp:coreProperties>
</file>