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 August 6, 2024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VERACYTE,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71" w:type="dxa"/>
        <w:jc w:val="left"/>
        <w:tblInd w:w="0" w:type="dxa"/>
        <w:tblLayout w:type="fixed"/>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001-36156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20-5455398</w:t>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w:t>
            </w:r>
          </w:p>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r>
    </w:tbl>
    <w:tbl>
      <w:tblPr>
        <w:tblW w:w="7017" w:type="dxa"/>
        <w:jc w:val="left"/>
        <w:tblInd w:w="0" w:type="dxa"/>
        <w:tblLayout w:type="fixed"/>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6000 Shoreline Court, Suite 300, 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(650) 243-6300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893" w:type="dxa"/>
        <w:jc w:val="left"/>
        <w:tblInd w:w="0" w:type="dxa"/>
        <w:tblLayout w:type="fixed"/>
        <w:tblCellMar>
          <w:top w:w="28" w:type="dxa"/>
          <w:left w:w="28" w:type="dxa"/>
          <w:bottom w:w="28" w:type="dxa"/>
          <w:right w:w="28" w:type="dxa"/>
        </w:tblCellMar>
      </w:tblPr>
      <w:tblGrid>
        <w:gridCol w:w="1303"/>
        <w:gridCol w:w="1142"/>
        <w:gridCol w:w="1155"/>
        <w:gridCol w:w="109"/>
        <w:gridCol w:w="109"/>
        <w:gridCol w:w="109"/>
        <w:gridCol w:w="584"/>
        <w:gridCol w:w="584"/>
        <w:gridCol w:w="586"/>
        <w:gridCol w:w="109"/>
        <w:gridCol w:w="109"/>
        <w:gridCol w:w="109"/>
        <w:gridCol w:w="1137"/>
        <w:gridCol w:w="1137"/>
        <w:gridCol w:w="1611"/>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300"/>
        <w:gridCol w:w="2848"/>
        <w:gridCol w:w="4057"/>
      </w:tblGrid>
      <w:tr>
        <w:trPr/>
        <w:tc>
          <w:tcPr>
            <w:tcW w:w="330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6, 2024, Veracyte, Inc. issued a press release announcing its financial results for the quarter ended June 30, 2024. The full text of the press release is furnished as Exhibit 99.1 to this report.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4"/>
        <w:gridCol w:w="1944"/>
        <w:gridCol w:w="275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3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cyt-08x06x20248xkearningsa.htm">
              <w:r>
                <w:rPr>
                  <w:rStyle w:val="InternetLink"/>
                  <w:rFonts w:ascii="Times New Roman;sans-serif" w:hAnsi="Times New Roman;sans-serif"/>
                  <w:b w:val="false"/>
                  <w:color w:val="000080"/>
                  <w:sz w:val="20"/>
                  <w:u w:val="single"/>
                </w:rPr>
                <w:t xml:space="preserve">Press release issued by Veracyte, Inc. dated </w:t>
              </w:r>
            </w:hyperlink>
            <w:hyperlink w:anchor="vcyt-08x06x20248xkearningsa.htm">
              <w:r>
                <w:rPr>
                  <w:rStyle w:val="InternetLink"/>
                  <w:rFonts w:ascii="Times New Roman;sans-serif" w:hAnsi="Times New Roman;sans-serif"/>
                  <w:b w:val="false"/>
                  <w:color w:val="000080"/>
                  <w:sz w:val="20"/>
                  <w:u w:val="single"/>
                </w:rPr>
                <w:t>August 6</w:t>
              </w:r>
            </w:hyperlink>
            <w:hyperlink w:anchor="vcyt-08x06x20248xkearningsa.htm">
              <w:r>
                <w:rPr>
                  <w:rStyle w:val="InternetLink"/>
                  <w:rFonts w:ascii="Times New Roman;sans-serif" w:hAnsi="Times New Roman;sans-serif"/>
                  <w:b w:val="false"/>
                  <w:color w:val="000080"/>
                  <w:sz w:val="20"/>
                  <w:u w:val="single"/>
                </w:rPr>
                <w:t>, 2024.</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266" w:type="dxa"/>
        <w:jc w:val="left"/>
        <w:tblInd w:w="0" w:type="dxa"/>
        <w:tblLayout w:type="fixed"/>
        <w:tblCellMar>
          <w:top w:w="28" w:type="dxa"/>
          <w:left w:w="28" w:type="dxa"/>
          <w:bottom w:w="28" w:type="dxa"/>
          <w:right w:w="28" w:type="dxa"/>
        </w:tblCellMar>
      </w:tblPr>
      <w:tblGrid>
        <w:gridCol w:w="260"/>
        <w:gridCol w:w="229"/>
        <w:gridCol w:w="231"/>
        <w:gridCol w:w="449"/>
        <w:gridCol w:w="449"/>
        <w:gridCol w:w="451"/>
        <w:gridCol w:w="266"/>
        <w:gridCol w:w="266"/>
        <w:gridCol w:w="266"/>
        <w:gridCol w:w="699"/>
        <w:gridCol w:w="699"/>
        <w:gridCol w:w="100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99.1</w:t>
      </w:r>
    </w:p>
    <w:p>
      <w:pPr>
        <w:pStyle w:val="TextBody"/>
        <w:bidi w:val="0"/>
        <w:spacing w:before="0" w:after="0"/>
        <w:jc w:val="center"/>
        <w:rPr/>
      </w:pPr>
      <w:r>
        <w:rPr/>
      </w:r>
    </w:p>
    <w:p>
      <w:pPr>
        <w:pStyle w:val="TextBody"/>
        <w:bidi w:val="0"/>
        <w:spacing w:before="0" w:after="0"/>
        <w:jc w:val="center"/>
        <w:rPr/>
      </w:pPr>
      <w:r>
        <w:rPr/>
        <w:drawing>
          <wp:inline distT="0" distB="0" distL="0" distR="0">
            <wp:extent cx="24765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76500" cy="542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Veracyte Announces Second Quarter 2024 Financial Results</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Grew total revenue to $114.4 million, an increase of 27%</w:t>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 xml:space="preserve">Grew testing revenue by 31% </w:t>
      </w:r>
    </w:p>
    <w:p>
      <w:pPr>
        <w:pStyle w:val="TextBody"/>
        <w:bidi w:val="0"/>
        <w:spacing w:before="0" w:after="0"/>
        <w:jc w:val="left"/>
        <w:rPr/>
      </w:pPr>
      <w:r>
        <w:rPr/>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Conference call and webcast today at 4:30 p.m. ET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SOUTH SAN FRANCISCO, Calif., August 6, 2024 --- Veracyte, Inc. (Nasdaq: VCYT) today announced financial results for the second quarter ended June 30, 2024.</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Our exceptional second quarter results are a testament to the strength and robustness of Decipher and Afirma,” said Marc Stapley, Veracyte’s chief executive officer. “With both tests clearly gaining share in their respective markets and plenty of headroom for durable future expansion, our confidence in their long-term prospects continues to grow. Meanwhile, our positive cash generation and class-leading profitability profile are fueling a portfolio of tests that are poised to drive meaningful advances in precision medicine.”</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Key Business Highlights </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second quarter total revenue by 27%, to $114.4 million, compared to the second quarter of 2023.</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Grew total test volume to 39,023, an increase of 23% compared to the second quarter of 2023.</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second quarter net income to $5.7 million and delivered adjusted EBITDA of $24.0 million, or 21% of revenue.</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Achieved record Decipher Prostate test volume of close to 19,900 tests, driven by recently updated NCCN* prostate cancer guidelines, in which the Decipher Prostate test received the highest-level rating among gene expression tests. </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 xml:space="preserve">Delivered record Afirma test volume of approximately 15,700 and received Medicare coverage for Afirma testing of patients with thyroid nodules classified as “Bethesda V,” giving more patients annually access to the test. </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Reinforced Veracyte’s commitment to evidence expansion with three published Decipher Prostate test studies, including a real-world, population-based analysis of Decipher data linked to the National Cancer Institute’s SEER database demonstrating the test’s clinical utility and underscoring the power of the Veracyte Diagnostics Platform.</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Generated $26.7 million of cash during the second quarter to end the quarter with $235.9 million of cash and cash equivalents.</w:t>
      </w:r>
    </w:p>
    <w:p>
      <w:pPr>
        <w:pStyle w:val="TextBody"/>
        <w:bidi w:val="0"/>
        <w:spacing w:before="120" w:after="283"/>
        <w:jc w:val="left"/>
        <w:rPr/>
      </w:pPr>
      <w:r>
        <w:rPr/>
      </w:r>
    </w:p>
    <w:p>
      <w:pPr>
        <w:pStyle w:val="TextBody"/>
        <w:bidi w:val="0"/>
        <w:spacing w:lineRule="auto" w:line="268" w:before="120" w:after="283"/>
        <w:jc w:val="left"/>
        <w:rPr/>
      </w:pPr>
      <w:r>
        <w:rPr>
          <w:rFonts w:ascii="Arial;sans-serif" w:hAnsi="Arial;sans-serif"/>
          <w:b w:val="false"/>
          <w:color w:val="000000"/>
          <w:sz w:val="20"/>
          <w:shd w:fill="FFFFFF" w:val="clear"/>
        </w:rPr>
        <w:t>* National Comprehensive Cancer Network. NCCN makes no warranties of any kind whatsoever regarding their content, use or application and disclaims any responsibility for their application or use in any way.</w:t>
      </w:r>
      <w:r>
        <w:rPr>
          <w:color w:val="000000"/>
        </w:rPr>
        <w:t xml:space="preserve"> </w:t>
      </w:r>
    </w:p>
    <w:p>
      <w:pPr>
        <w:pStyle w:val="TextBody"/>
        <w:bidi w:val="0"/>
        <w:spacing w:before="120" w:after="283"/>
        <w:jc w:val="left"/>
        <w:rPr/>
      </w:pPr>
      <w:r>
        <w:rPr/>
      </w:r>
    </w:p>
    <w:p>
      <w:pPr>
        <w:pStyle w:val="TextBody"/>
        <w:bidi w:val="0"/>
        <w:spacing w:lineRule="auto" w:line="268" w:before="0" w:after="0"/>
        <w:jc w:val="left"/>
        <w:rPr/>
      </w:pPr>
      <w:r>
        <w:rPr>
          <w:rFonts w:ascii="Arial;sans-serif" w:hAnsi="Arial;sans-serif"/>
          <w:b w:val="false"/>
          <w:color w:val="000000"/>
          <w:sz w:val="20"/>
        </w:rPr>
        <w:t>A reconciliation of GAAP to non-GAAP financial measures has been provided in the tables included in this press release. An explanation of these measures is also included below under the heading "Note Regarding Use of Non-GAAP Financial Measures."</w:t>
      </w:r>
      <w:r>
        <w:rPr>
          <w:color w:val="000000"/>
        </w:rPr>
        <w:t xml:space="preserve"> </w:t>
      </w:r>
    </w:p>
    <w:p>
      <w:pPr>
        <w:pStyle w:val="TextBody"/>
        <w:bidi w:val="0"/>
        <w:spacing w:before="0" w:after="0"/>
        <w:jc w:val="left"/>
        <w:rPr/>
      </w:pPr>
      <w:r>
        <w:rPr/>
      </w:r>
    </w:p>
    <w:p>
      <w:pPr>
        <w:pStyle w:val="TextBody"/>
        <w:bidi w:val="0"/>
        <w:spacing w:lineRule="auto" w:line="276" w:before="0" w:after="60"/>
        <w:jc w:val="left"/>
        <w:rPr>
          <w:rFonts w:ascii="Arial;sans-serif" w:hAnsi="Arial;sans-serif"/>
          <w:b/>
          <w:color w:val="000000"/>
          <w:sz w:val="20"/>
        </w:rPr>
      </w:pPr>
      <w:r>
        <w:rPr>
          <w:rFonts w:ascii="Arial;sans-serif" w:hAnsi="Arial;sans-serif"/>
          <w:b/>
          <w:color w:val="000000"/>
          <w:sz w:val="20"/>
        </w:rPr>
        <w:t>Second Quarter 2024 Financial Results </w:t>
      </w:r>
    </w:p>
    <w:p>
      <w:pPr>
        <w:pStyle w:val="TextBody"/>
        <w:bidi w:val="0"/>
        <w:spacing w:before="0" w:after="6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 xml:space="preserve">Total revenue for the second quarter of 2024 was $114.4 million, an increase of 27% compared to $90.3 million reported in the second quarter of 2023. Testing revenue was $107.0 million, an increase of 31% compared to $81.7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million in the second quarter of 2023, driven by the strong performance of our Decipher Prostate and Afirma tests. Product revenue was $3.9 million, a decrease of 3% compared to $4.0 million in the second quarter of 2023. Biopharmaceutical and other revenue was $3.6 million, a decrease of 22% compared to $4.6 million in the second quarter of 2023. </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Total gross margin for the second quarter of 2024 was 68%, compared to 62% in the second quarter of 2023. Non-GAAP gross margin, which excludes the amortization of acquired intangible assets, stock-based compensation, other acquisition related expenses, and certain other adjustments was 71%, compared to 68% in the second quarter of 2023.</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Operating expenses were $73.3 million for the second quarter of 2024. Non-GAAP operating expenses, which excludes amortization of acquired intangible assets, stock-based compensation, other acquisition related expenses, and other restructuring costs, grew 14% to $59.0 million compared to $51.7 million in the second quarter of 2023.</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income for the second quarter of 2024 was $5.7 million, an improvement of 168% compared to the second quarter of 2023. Basic and diluted net earnings per common share was $0.07, an improvement of $0.19 compared to the second quarter of 2023. Non-GAAP diluted net earnings per common share was $0.30, an improvement of $0.18 compared to the second quarter of 2023. Net cash provided by operating activities in the first six months of 2024 was $20.6 million, an improvement of $6.1 million compared to the same period in 2023.</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Adjusted EBITDA for the second quarter of 2024 was $24.0 million, an improvement of 118% compared to the second quarter of 2023, representing 21% of revenue compared to 12% of revenue respectively.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 reconciliation of GAAP to non-GAAP financial measures has been provided in the tables included in this press release. An explanation of these measures is also included below under the heading "Note Regarding Use of Non-GAAP Financial Measures."</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2024 Financial Outlook</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222222"/>
          <w:sz w:val="20"/>
        </w:rPr>
        <w:t>The company is raising full-year 2024 total revenue guidance to $432 million to $438 million, representing year-over-year growth of 20% to 21% and testing revenue growth of approximately 25%.</w:t>
      </w:r>
      <w:r>
        <w:rPr>
          <w:color w:val="222222"/>
        </w:rPr>
        <w:t xml:space="preserve"> </w:t>
      </w:r>
      <w:r>
        <w:rPr>
          <w:rFonts w:ascii="Arial;sans-serif" w:hAnsi="Arial;sans-serif"/>
          <w:b w:val="false"/>
          <w:color w:val="222222"/>
          <w:sz w:val="20"/>
        </w:rPr>
        <w:t xml:space="preserve">This guidance range represents an increase compared to prior guidance of $402 million to $410 million. In addition, the company now expects cash, cash equivalents and short-term investments at the end of the year to be $260 million to $270 million compared to prior guidance of $236 million to $240 million.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 and Webcast Details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Veracyte will host a conference call and webcast today at 4:30 p.m. Eastern Time to discuss the company's financial results and provide a general business update. The conference call will be webcast live from the company’s website and will be available via the following link: </w:t>
      </w:r>
      <w:r>
        <w:rPr>
          <w:rFonts w:ascii="Arial;sans-serif" w:hAnsi="Arial;sans-serif"/>
          <w:b w:val="false"/>
          <w:color w:val="000000"/>
          <w:sz w:val="20"/>
          <w:shd w:fill="FFFFFF" w:val="clear"/>
        </w:rPr>
        <w:t>https://edge.media-server.com/mmc/p/p5tuszv4</w:t>
      </w:r>
      <w:r>
        <w:rPr>
          <w:rFonts w:ascii="Arial;sans-serif" w:hAnsi="Arial;sans-serif"/>
          <w:b w:val="false"/>
          <w:color w:val="000000"/>
          <w:sz w:val="20"/>
        </w:rPr>
        <w:t>.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The conference call dial-in can be accessed by registering at the following link</w:t>
      </w:r>
      <w:r>
        <w:rPr>
          <w:rFonts w:ascii="Arial;sans-serif" w:hAnsi="Arial;sans-serif"/>
          <w:b w:val="false"/>
          <w:color w:val="0000FF"/>
          <w:sz w:val="20"/>
        </w:rPr>
        <w:t xml:space="preserve">: </w:t>
      </w:r>
      <w:r>
        <w:rPr>
          <w:rFonts w:ascii="Arial;sans-serif" w:hAnsi="Arial;sans-serif"/>
          <w:b w:val="false"/>
          <w:color w:val="000000"/>
          <w:sz w:val="20"/>
          <w:shd w:fill="FFFFFF" w:val="clear"/>
        </w:rPr>
        <w:t>https://register.vevent.com/register/BIbb7f6b70b4ce4820b6391059390d6139</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Veracyte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222222"/>
          <w:sz w:val="20"/>
        </w:rPr>
        <w:t xml:space="preserve">Veracyte (Nasdaq: VCYT) is a global diagnostics company whose vision is to transform cancer care for patients all over the world. We empower clinicians with the high-value insights they need to guide and assure patients at pivotal moments in the race to diagnose and treat cancer. Our Veracyte Diagnostics Platform delivers high-performing cancer tests that are fueled by broad genomic and clinical data, deep bioinformatic and AI capabilities, and a powerful evidence-generation engine, which ultimately drives durable reimbursement and guideline inclusion for our tests, along with new insights to support continued innovation and pipeline development. </w:t>
      </w:r>
      <w:r>
        <w:rPr>
          <w:rFonts w:ascii="Arial;sans-serif" w:hAnsi="Arial;sans-serif"/>
          <w:b w:val="false"/>
          <w:color w:val="000000"/>
          <w:sz w:val="20"/>
          <w:shd w:fill="FFFFFF" w:val="clear"/>
        </w:rPr>
        <w:t xml:space="preserve">For more information, please visit </w:t>
      </w:r>
      <w:r>
        <w:rPr>
          <w:rFonts w:ascii="Arial;sans-serif" w:hAnsi="Arial;sans-serif"/>
          <w:b w:val="false"/>
          <w:color w:val="0563C1"/>
          <w:sz w:val="20"/>
          <w:shd w:fill="FFFFFF" w:val="clear"/>
        </w:rPr>
        <w:t xml:space="preserve">www.veracyte.com </w:t>
      </w:r>
      <w:r>
        <w:rPr>
          <w:rFonts w:ascii="Arial;sans-serif" w:hAnsi="Arial;sans-serif"/>
          <w:b w:val="false"/>
          <w:color w:val="000000"/>
          <w:sz w:val="20"/>
          <w:shd w:fill="FFFFFF" w:val="clear"/>
        </w:rPr>
        <w:t xml:space="preserve">or follow us on </w:t>
      </w:r>
      <w:r>
        <w:rPr>
          <w:rFonts w:ascii="Arial;sans-serif" w:hAnsi="Arial;sans-serif"/>
          <w:b w:val="false"/>
          <w:color w:val="0563C1"/>
          <w:sz w:val="20"/>
          <w:shd w:fill="FFFFFF" w:val="clear"/>
        </w:rPr>
        <w:t xml:space="preserve">LinkedIn </w:t>
      </w:r>
      <w:r>
        <w:rPr>
          <w:rFonts w:ascii="Arial;sans-serif" w:hAnsi="Arial;sans-serif"/>
          <w:b w:val="false"/>
          <w:color w:val="000000"/>
          <w:sz w:val="20"/>
          <w:shd w:fill="FFFFFF" w:val="clear"/>
        </w:rPr>
        <w:t xml:space="preserve">or </w:t>
      </w:r>
      <w:r>
        <w:rPr>
          <w:rFonts w:ascii="Arial;sans-serif" w:hAnsi="Arial;sans-serif"/>
          <w:b w:val="false"/>
          <w:color w:val="0563C1"/>
          <w:sz w:val="20"/>
          <w:shd w:fill="FFFFFF" w:val="clear"/>
        </w:rPr>
        <w:t>X (Twitter).</w:t>
      </w:r>
    </w:p>
    <w:p>
      <w:pPr>
        <w:pStyle w:val="TextBody"/>
        <w:bidi w:val="0"/>
        <w:spacing w:lineRule="auto" w:line="268"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Cautionary Note Regarding Forward-Looking Statements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including, but not limited to our statements related to our plans, objectives, and expectations (financial and otherwise), including with respect to 2024 financial and operating results; and our intentions with respect to our tests and products, for use in diagnosing and treating diseases, in and outside of the United States. Forward-looking statements can be identified by words such as: “appears,” “anticipate,” “intend,” “plan,” “expect,” “believe,” “should,” “may,” “will,” “enable,” “positioned,” “offers,” “designed”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the C2i Genomics acquisition, integration of the business and the realization of expected benefits and synergies; our ability to demonstrate the validity and utility of our genomic tests and biopharma and other offerings; our ability to continue executing on our business plan; our ability to continue to scale our global operations and enhance our internal control environment; the impact of the war in Ukraine and other regional conflicts on European economies and our facilities in France; the impact of foreign currency fluctuations, increasing interest rates, inflation, the U.S. election and turmoil in the global banking and finance system; the ongoing conflict in the Middle East and the performance and utility of our tests in the clinical environment. Additional factors that may impact these forward-looking statements can be found under the caption “Risk Factors” in our Annual Report on Form 10-K filed on February 29, 2024, and our Quarterly Report on Form 10-Q filed for the three months ended June 30, 2024, to be filed August 7, 2024, as well as in other documents that we may file from time to time with the Securities and Exchange Commission.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Veracyte, the Veracyte logo, Decipher, C2i Genomics, and Afirma are registered trademarks of Veracyte, Inc., and its subsidiaries in the U.S. and selected countries.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Note Regarding Use of Non-GAAP Financial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to the financial measures prepared in accordance with generally accepted accounting principles (GAAP), this press release and the accompanying tables contain, and reference certain non‐GAAP results including non-GAAP gross margin, non-GAAP operating expenses, adjusted EBITDA and non-GAAP earnings per share (EPS). These non-GAAP financial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use non-GAAP financial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financial measures we present may be different from those used by other companies.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exclude amortization of acquired intangible assets, acquisition-related expenses relating to our acquisitions of Decipher Biosciences, HalioDx and C2i Genomics, impairment charges associated with the nCounter license and other biopharmaceutical services related to HalioDx intangible assets, all stock-based compensation and certain costs related to restructuring from certain of our non-GAAP financial measures. Beginning in the second quarter of 2024, we changed our non-GAAP policy to exclude all stock-based compensation to align with our peers and we have also excluded all stock-based compensation from our prior period non-GAAP financial measures. Management has excluded the effects of these items in non-GAAP financial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as well as its supplemental non‐GAAP information and the reconciliation between these presentations, to more fully understand its business.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23"/>
        <w:gridCol w:w="1338"/>
        <w:gridCol w:w="1345"/>
        <w:gridCol w:w="224"/>
        <w:gridCol w:w="906"/>
        <w:gridCol w:w="113"/>
        <w:gridCol w:w="113"/>
        <w:gridCol w:w="113"/>
        <w:gridCol w:w="113"/>
        <w:gridCol w:w="246"/>
        <w:gridCol w:w="880"/>
        <w:gridCol w:w="113"/>
        <w:gridCol w:w="109"/>
        <w:gridCol w:w="109"/>
        <w:gridCol w:w="109"/>
        <w:gridCol w:w="222"/>
        <w:gridCol w:w="904"/>
        <w:gridCol w:w="109"/>
        <w:gridCol w:w="109"/>
        <w:gridCol w:w="109"/>
        <w:gridCol w:w="109"/>
        <w:gridCol w:w="222"/>
        <w:gridCol w:w="904"/>
        <w:gridCol w:w="163"/>
      </w:tblGrid>
      <w:tr>
        <w:trPr/>
        <w:tc>
          <w:tcPr>
            <w:tcW w:w="152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amounts)</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2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Testing revenue</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106,970 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81,749 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154,145 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Biopharmaceutical and other revenue</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114,428 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90,322 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172,744 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(1)</w:t>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testing revenue</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27,920 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23,333 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42,981 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biopharmaceutical and other revenue</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 cost of revenue</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36,515 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34,502 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65,535 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77,913 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55,820 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107,209 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(1)</w:t>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25,756 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51,886 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25,047 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of long-lived assets</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 operating expenses</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73,307 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63,871 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125,758 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(8,051)</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(18,549)</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(loss), net</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11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7,361 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(8,277)</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(16,368)</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(8,402)</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(16,493)</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(loss) per share:</w:t>
            </w:r>
          </w:p>
        </w:tc>
        <w:tc>
          <w:tcPr>
            <w:tcW w:w="1243"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to compute earnings (loss) per common share:</w:t>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76,538,325 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72,478,662 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75,649,057 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72,327,897 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11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77,163,149 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72,478,662 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76,600,079 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72,327,897 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Cost of revenue, research and development, sales and marketing and general and administrative expenses include the following stock-based compensation related expenses: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9364" w:type="dxa"/>
        <w:jc w:val="center"/>
        <w:tblInd w:w="0" w:type="dxa"/>
        <w:tblLayout w:type="fixed"/>
        <w:tblCellMar>
          <w:top w:w="28" w:type="dxa"/>
          <w:left w:w="28" w:type="dxa"/>
          <w:bottom w:w="28" w:type="dxa"/>
          <w:right w:w="28" w:type="dxa"/>
        </w:tblCellMar>
      </w:tblPr>
      <w:tblGrid>
        <w:gridCol w:w="1359"/>
        <w:gridCol w:w="1193"/>
        <w:gridCol w:w="1198"/>
        <w:gridCol w:w="243"/>
        <w:gridCol w:w="746"/>
        <w:gridCol w:w="125"/>
        <w:gridCol w:w="125"/>
        <w:gridCol w:w="125"/>
        <w:gridCol w:w="125"/>
        <w:gridCol w:w="243"/>
        <w:gridCol w:w="867"/>
        <w:gridCol w:w="125"/>
        <w:gridCol w:w="109"/>
        <w:gridCol w:w="109"/>
        <w:gridCol w:w="109"/>
        <w:gridCol w:w="215"/>
        <w:gridCol w:w="766"/>
        <w:gridCol w:w="111"/>
        <w:gridCol w:w="111"/>
        <w:gridCol w:w="111"/>
        <w:gridCol w:w="111"/>
        <w:gridCol w:w="215"/>
        <w:gridCol w:w="766"/>
        <w:gridCol w:w="157"/>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Cost of revenue </w:t>
            </w:r>
          </w:p>
        </w:tc>
        <w:tc>
          <w:tcPr>
            <w:tcW w:w="24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12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25"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1,091 </w:t>
            </w:r>
          </w:p>
        </w:tc>
        <w:tc>
          <w:tcPr>
            <w:tcW w:w="11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157"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9,854 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10,449 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17,873 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18,550 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25"/>
        <w:gridCol w:w="1077"/>
        <w:gridCol w:w="1034"/>
        <w:gridCol w:w="281"/>
        <w:gridCol w:w="862"/>
        <w:gridCol w:w="145"/>
        <w:gridCol w:w="145"/>
        <w:gridCol w:w="145"/>
        <w:gridCol w:w="145"/>
        <w:gridCol w:w="281"/>
        <w:gridCol w:w="929"/>
        <w:gridCol w:w="145"/>
        <w:gridCol w:w="145"/>
        <w:gridCol w:w="145"/>
        <w:gridCol w:w="145"/>
        <w:gridCol w:w="281"/>
        <w:gridCol w:w="929"/>
        <w:gridCol w:w="145"/>
        <w:gridCol w:w="145"/>
        <w:gridCol w:w="145"/>
        <w:gridCol w:w="145"/>
        <w:gridCol w:w="281"/>
        <w:gridCol w:w="1069"/>
        <w:gridCol w:w="216"/>
      </w:tblGrid>
      <w:tr>
        <w:trPr/>
        <w:tc>
          <w:tcPr>
            <w:tcW w:w="122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 OF COMPREHENSIVE INCOME (LOSS)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4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4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(8,402)</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(16,493)</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currency translation adjustments</w:t>
            </w:r>
          </w:p>
        </w:tc>
        <w:tc>
          <w:tcPr>
            <w:tcW w:w="11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(6,592)</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comprehensive income (loss)</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4,031 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(9,319)</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(2,722)</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(12,930)</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97"/>
        <w:gridCol w:w="1473"/>
        <w:gridCol w:w="1425"/>
        <w:gridCol w:w="347"/>
        <w:gridCol w:w="1681"/>
        <w:gridCol w:w="179"/>
        <w:gridCol w:w="179"/>
        <w:gridCol w:w="179"/>
        <w:gridCol w:w="179"/>
        <w:gridCol w:w="347"/>
        <w:gridCol w:w="1681"/>
        <w:gridCol w:w="179"/>
        <w:gridCol w:w="159"/>
      </w:tblGrid>
      <w:tr>
        <w:trPr/>
        <w:tc>
          <w:tcPr>
            <w:tcW w:w="219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(See Note 1)</w:t>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2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235,915 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216,454 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50,304 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40,378 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 and inventory</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19,258 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15,629 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12,661 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321,106 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285,621 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22,291 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20,584 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operating leases</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112,532 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88,593 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752,107 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702,984 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1,234,327 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1,114,906 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2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2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12,943 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43,455 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38,427 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deferred revenue</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acquisition-related contingent consideration</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other liabilities</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2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72,339 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61,241 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2207"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contingent consideration, net of current portion</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13,889 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13,553 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7,525 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liabilities</w:t>
            </w:r>
          </w:p>
        </w:tc>
        <w:tc>
          <w:tcPr>
            <w:tcW w:w="2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101,804 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70,804 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1,132,523 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1,044,102 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1,234,327 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1,114,906 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 The condensed consolidated balance sheet at December 31, 2023 has been derived from the audited financial statements at that date included in the Company's Form 10-K filed with the Securities and Exchange Commission dated February 29, 2024.</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91"/>
        <w:gridCol w:w="1729"/>
        <w:gridCol w:w="1734"/>
        <w:gridCol w:w="333"/>
        <w:gridCol w:w="1352"/>
        <w:gridCol w:w="171"/>
        <w:gridCol w:w="171"/>
        <w:gridCol w:w="171"/>
        <w:gridCol w:w="171"/>
        <w:gridCol w:w="333"/>
        <w:gridCol w:w="1352"/>
        <w:gridCol w:w="497"/>
      </w:tblGrid>
      <w:tr>
        <w:trPr/>
        <w:tc>
          <w:tcPr>
            <w:tcW w:w="219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(16,493)</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13,529 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property, plant and equipment</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18,366 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1,977 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Revaluation of acquisition-related contingent consideration</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currency on operations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loss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1,410 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 and inventory</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(2,530)</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792 </w:t>
            </w:r>
          </w:p>
        </w:tc>
        <w:tc>
          <w:tcPr>
            <w:tcW w:w="497"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 and deferred revenue</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(3,734)</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20,609 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14,499 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of C2i, net of cash acquired</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short-term investments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(19,700)</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 of short-term investments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39,773 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maturity of short-term investments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1856"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218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(4,904)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investing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20,411 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taxes on vested restricted stock units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(5,135)</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(3,168)</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options and employee stock purchases</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Increase in cash, cash equivalents and restricted cash</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19,842 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36,992 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 of foreign currency on cash, cash equivalents and restricted cash</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increase in cash, cash equivalents and restricted cash</w:t>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19,673 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37,035 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beginning of period</w:t>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217,330 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154,996 </w:t>
            </w:r>
          </w:p>
        </w:tc>
        <w:tc>
          <w:tcPr>
            <w:tcW w:w="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237,003 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192,031 </w:t>
            </w:r>
          </w:p>
        </w:tc>
        <w:tc>
          <w:tcPr>
            <w:tcW w:w="4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8947" w:type="dxa"/>
        <w:jc w:val="left"/>
        <w:tblInd w:w="0" w:type="dxa"/>
        <w:tblLayout w:type="fixed"/>
        <w:tblCellMar>
          <w:top w:w="28" w:type="dxa"/>
          <w:left w:w="28" w:type="dxa"/>
          <w:bottom w:w="28" w:type="dxa"/>
          <w:right w:w="28" w:type="dxa"/>
        </w:tblCellMar>
      </w:tblPr>
      <w:tblGrid>
        <w:gridCol w:w="1574"/>
        <w:gridCol w:w="1385"/>
        <w:gridCol w:w="1391"/>
        <w:gridCol w:w="356"/>
        <w:gridCol w:w="1445"/>
        <w:gridCol w:w="184"/>
        <w:gridCol w:w="184"/>
        <w:gridCol w:w="184"/>
        <w:gridCol w:w="184"/>
        <w:gridCol w:w="356"/>
        <w:gridCol w:w="1445"/>
        <w:gridCol w:w="259"/>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CASH, CASH EQUIVALENTS AND RESTRICTED CASH</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235,915 </w:t>
            </w:r>
          </w:p>
        </w:tc>
        <w:tc>
          <w:tcPr>
            <w:tcW w:w="18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216,454 </w:t>
            </w:r>
          </w:p>
        </w:tc>
        <w:tc>
          <w:tcPr>
            <w:tcW w:w="25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237,003 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217,330 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89"/>
        <w:gridCol w:w="1223"/>
        <w:gridCol w:w="1226"/>
        <w:gridCol w:w="215"/>
        <w:gridCol w:w="768"/>
        <w:gridCol w:w="292"/>
        <w:gridCol w:w="111"/>
        <w:gridCol w:w="111"/>
        <w:gridCol w:w="111"/>
        <w:gridCol w:w="215"/>
        <w:gridCol w:w="768"/>
        <w:gridCol w:w="292"/>
        <w:gridCol w:w="111"/>
        <w:gridCol w:w="111"/>
        <w:gridCol w:w="111"/>
        <w:gridCol w:w="215"/>
        <w:gridCol w:w="875"/>
        <w:gridCol w:w="292"/>
        <w:gridCol w:w="111"/>
        <w:gridCol w:w="111"/>
        <w:gridCol w:w="111"/>
        <w:gridCol w:w="215"/>
        <w:gridCol w:w="875"/>
        <w:gridCol w:w="346"/>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Gross Margin:</w:t>
            </w:r>
          </w:p>
        </w:tc>
        <w:tc>
          <w:tcPr>
            <w:tcW w:w="12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Profit</w:t>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77,913 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55,820 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140,381 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107,209 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Margin</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3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4,814 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5,824 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9,618 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1,091 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Profit</w:t>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81,426 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61,131 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147,362 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117,785 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Operating Expenses:</w:t>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research and development</w:t>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16,465 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12,541 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32,430 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25,310 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(1,895)</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(3,658)</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(2,696)</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research and development</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14,595 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11,102 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28,099 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22,614 </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sales and marketing</w:t>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24,216 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25,756 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47,998 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51,886 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(2,494)</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(3,235)</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(4,606)</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(1,094)</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sales and marketing</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21,880 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22,695 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43,545 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46,122 </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general and administrative</w:t>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31,745 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25,047 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57,955 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46,100 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(5,213)</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(6,019)</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(9,889)</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(10,364)</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(4,585)</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(1,624)</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(2,854)</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(3,120)</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general and administrative</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22,562 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17,894 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40,361 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34,178 </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total operating expenses</w:t>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73,307 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63,871 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140,431 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125,758 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(1,619)</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(9,250)</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(9,952)</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(16,782)</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(17,666)</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(5,536)</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(3,046)</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(4,490)</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total operating expenses</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59,037 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51,691 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112,004 </w:t>
            </w:r>
          </w:p>
        </w:tc>
        <w:tc>
          <w:tcPr>
            <w:tcW w:w="2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102,914 </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2"/>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603"/>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as well as post-combination compensation expenses. For the three months ended June 30, 2024, adjustments consist primarily of transaction related expenses associated with the acquisition of C2i Genomics ($1.0 million) and adjustments relating to the remeasurement of contingent consideration related to our adoption of a multi-platform IVD strategy ($0.1 million). For the three months ended June 30, 2023, adjustments consist primarily of post-combination compensation expenses associated with the acquisition of HalioDx. For the six months ended June 30, 2024, adjustments consist of transaction related expenses associated with the acquisition of C2i Genomics. For the six months ended June 30, 2023, adjustments consist primarily of post-combination compensation expenses associated with the acquisition of HalioDx.</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2.For the three months ended June 30, 2024, adjustments primarily include expense related to restructuring costs associated with a reduction in our Biopharmaceutical and Other segment ($2.9 million) and expense related to restructuring costs associated with portfolio prioritization including the reduction in Envisia commercial support ($0.2 million). For the six months ended June 30, 2024, adjustments include additional restructuring costs associated with the portfolio prioritization including the reduction in Envisia commercial support ($1.4 million). For the six months ended June 30, 2023, includes $1.3 million related to impairment charges.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70"/>
        <w:gridCol w:w="1294"/>
        <w:gridCol w:w="1297"/>
        <w:gridCol w:w="250"/>
        <w:gridCol w:w="882"/>
        <w:gridCol w:w="117"/>
        <w:gridCol w:w="117"/>
        <w:gridCol w:w="117"/>
        <w:gridCol w:w="117"/>
        <w:gridCol w:w="250"/>
        <w:gridCol w:w="882"/>
        <w:gridCol w:w="117"/>
        <w:gridCol w:w="117"/>
        <w:gridCol w:w="117"/>
        <w:gridCol w:w="117"/>
        <w:gridCol w:w="250"/>
        <w:gridCol w:w="882"/>
        <w:gridCol w:w="117"/>
        <w:gridCol w:w="117"/>
        <w:gridCol w:w="117"/>
        <w:gridCol w:w="117"/>
        <w:gridCol w:w="250"/>
        <w:gridCol w:w="914"/>
        <w:gridCol w:w="180"/>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Six Months Ended June 30,</w:t>
            </w:r>
          </w:p>
        </w:tc>
      </w:tr>
      <w:tr>
        <w:trPr/>
        <w:tc>
          <w:tcPr>
            <w:tcW w:w="4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2024</w:t>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2023</w:t>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EBITDA:</w:t>
            </w:r>
          </w:p>
        </w:tc>
        <w:tc>
          <w:tcPr>
            <w:tcW w:w="12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(16,493)</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expense</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 (2)</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(6,313)</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24,040 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38,433 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18,009 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Net Income (Loss)</w:t>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(16,493)</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10,449 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17,873 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18,550 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adjustments (4)</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(1,246)</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38,032 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15,800 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Earnings per Share</w:t>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GAAP</w:t>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0.26 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adjustments (4)</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Rounding and impact of dilutive shares</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non-GAAP</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used in computing diluted earnings per share</w:t>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GAAP</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77,163,149 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72,478,662 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76,600,079 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72,327,897 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equity awards (5)</w:t>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1,221,721 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1,354,135 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non-GAAP</w:t>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77,163,149 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73,700,383 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76,600,079 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73,682,032 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2"/>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415"/>
        <w:gridCol w:w="603"/>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as well as post-combination compensation expenses. For the three months ended June 30, 2024, adjustments consist primarily of transaction related expenses associated with the acquisition of C2i Genomics ($1.0 million) and adjustments relating to the remeasurement of contingent consideration related to our adoption of a multi-platform IVD strategy ($0.1 million). For the three months ended June 30, 2023, adjustments consist primarily of post-combination compensation expenses associated with the acquisition of HalioDx. For the six months ended June 30, 2024, adjustments consist of transaction related expenses associated with the acquisition of C2i Genomics. For the six months ended June 30, 2023, adjustments consist primarily of post-combination compensation expenses associated with the acquisition of HalioDx.</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2.Includes interest income and income related to research tax credits.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3.For the three months ended June 30, 2024, adjustments primarily include expense related to restructuring costs associated with a reduction in our Biopharmaceutical and Other segment ($2.9 million) and expense related to restructuring costs associated with portfolio prioritization including the reduction in Envisia commercial support ($0.2 million). For the six months ended June 30, 2024, adjustments include additional restructuring costs associated with the portfolio prioritization including the reduction in Envisia commercial support ($1.4 million). For the six months ended June 30, 2023, includes $1.3 million related to impairment charges.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4.Incremental non-GAAP tax expense reflects the tax impact of the non-GAAP adjustments listed.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5.In those periods in which GAAP net (loss) income is negative and Non-GAAP net (loss) income is positive, Non-GAAP diluted weighted average shares outstanding includes potentially dilutive common shares from equity awards as determined using the treasury stock method.</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Shayla Gorman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investors@veracyte.com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619-393-1545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Tracy Morris</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media@veracyte.com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650-380-4413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4299</Words>
  <Characters>24937</Characters>
  <CharactersWithSpaces>28709</CharactersWithSpaces>
  <Paragraphs>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