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1,918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91,568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724, 452 and 742 shares of common stock to satisfy the reporting person's tax withholding obligations in connection with the vesting of 1,428, 891 and 1,464 Restricted Stock Units granted on February 28,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2024-12-04T16:09:14Z</dcterms:created>
  <dcterms:modified xsi:type="dcterms:W3CDTF">2024-12-04T16:09:14Z</dcterms:modified>
</cp:coreProperties>
</file>