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25, 2026</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25, 2026, Veracyte, Inc. issued a press release announcing its financial results for the quarter and year ended December 31, 2025. The full text of the press release is furnished as Exhibit 99.1 to this report.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Veracyte, Inc. dated February 25, 2026.</w:t>
            </w:r>
          </w:p>
        </w:tc>
        <w:tc>
          <w:tcPr>
            <w:tcW w:w="5000" w:type="dxa"/>
            <w:vAlign w:val="bottom"/>
            <w:gridSpan w:val="2"/>
          </w:tcPr>
          <w:p>
            <w:pPr>
              <w:spacing w:after="0"/>
              <w:rPr>
                <w:sz w:val="24"/>
                <w:szCs w:val="24"/>
                <w:color w:val="auto"/>
              </w:rPr>
            </w:pPr>
          </w:p>
        </w:tc>
      </w:tr>
      <w:tr>
        <w:trPr>
          <w:trHeight w:val="277"/>
        </w:trPr>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25, 2026</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172085</wp:posOffset>
            </wp:positionV>
            <wp:extent cx="222885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Fourth Quarter and Full Year 2025 Financial Results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fourth quarter total revenue to $140.6 million, an increase of 19%</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fourth quarter testing revenue to $135.8 million, an increase of 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37"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SOUTH SAN FRANCISCO, Calif., February 25, 2026 --- Veracyte, Inc. (Nasdaq: VCYT), a leading cancer diagnostics company, today announced financial results for the fourth quarter and full year ended December 31, 2025.</w:t>
      </w:r>
    </w:p>
    <w:p>
      <w:pPr>
        <w:spacing w:after="0" w:line="15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delivered an exceptional finish to 2025, with strong double-digit growth across both Decipher and Afirma and more than 45,000 patients served with our core testing business in the quarter,” said Marc Stapley, Veracyte’s chief executive officer. “We are achieving this growth while maintaining best-in-class profitability, with more than $50 million of cash generated from operations in the quarter. Looking ahead, 2026 will be an exciting year as we launch Prosigna as an LDT and TrueMRD, expanding our reach to more patients across the continuum of care while also continuing to invest in clinical evidence that reinforces the value and utility of our portfolio.”</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Fourth Quarter 2025 Financial Highlights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the three-month period ended December 31, 2025, as compared to the same period in 2024:</w:t>
      </w:r>
    </w:p>
    <w:p>
      <w:pPr>
        <w:spacing w:after="0" w:line="8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total revenue by 19% to $140.6 million and testing revenue by 21% to $135.8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total volume by 16% to 48,019 tests and testing volume by 16% to 45,516 tests.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Decipher revenue by 27% to $85.6 million and Afirma revenue by 16% to $47.9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Decipher volume by 21% to approximately 27,200 tests and Afirma volume by 12% to approximately 18,250 tests.</w:t>
      </w:r>
    </w:p>
    <w:p>
      <w:pPr>
        <w:spacing w:after="0" w:line="103" w:lineRule="exact"/>
        <w:rPr>
          <w:rFonts w:ascii="Arial" w:cs="Arial" w:eastAsia="Arial" w:hAnsi="Arial"/>
          <w:sz w:val="18"/>
          <w:szCs w:val="18"/>
          <w:color w:val="auto"/>
        </w:rPr>
      </w:pPr>
    </w:p>
    <w:p>
      <w:pPr>
        <w:ind w:left="660" w:right="46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Recorded GAAP net income of $41.1 million, or 29.3% of revenue, and delivered adjusted EBITDA of $42.3 million, or 30.1% of revenue.</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$52.6 million of cash from operations.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Full Year 2025 Financial Highlights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the twelve-month period ended December 31, 2025, as compared to the same period in 2024:</w:t>
      </w:r>
    </w:p>
    <w:p>
      <w:pPr>
        <w:spacing w:after="0" w:line="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total revenue by 16% to $517.1 million and testing revenue by 18% to $493.2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total volume by 18% to 179,528 tests and testing volume by 19% to 169,714 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Grew Decipher revenue by 27% to $310.7 million and Afirma revenue by 9% to $172.9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Grew Decipher volume by 27% to approximately 102,000 tests and Afirma volume by 11% to approximately 67,700 tests.</w:t>
      </w:r>
    </w:p>
    <w:p>
      <w:pPr>
        <w:spacing w:after="0" w:line="103" w:lineRule="exact"/>
        <w:rPr>
          <w:rFonts w:ascii="Arial" w:cs="Arial" w:eastAsia="Arial" w:hAnsi="Arial"/>
          <w:sz w:val="18"/>
          <w:szCs w:val="18"/>
          <w:color w:val="auto"/>
        </w:rPr>
      </w:pPr>
    </w:p>
    <w:p>
      <w:pPr>
        <w:ind w:left="660" w:right="36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Recorded GAAP net income of $66.4 million, or 12.8% of revenue, and delivered adjusted EBITDA of $142.5 million, or 27.6% of revenue.</w:t>
      </w:r>
    </w:p>
    <w:p>
      <w:pPr>
        <w:spacing w:after="0" w:line="45" w:lineRule="exact"/>
        <w:rPr>
          <w:rFonts w:ascii="Arial" w:cs="Arial" w:eastAsia="Arial" w:hAnsi="Arial"/>
          <w:sz w:val="18"/>
          <w:szCs w:val="18"/>
          <w:color w:val="auto"/>
        </w:rPr>
      </w:pPr>
    </w:p>
    <w:p>
      <w:pPr>
        <w:ind w:left="660" w:right="52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$136.3 million of cash from operations to end the year with $412.9 million of cash, cash equivalents, and short-term investments as of December 31, 2025.</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ectPr>
          <w:pgSz w:w="11900" w:h="16838" w:orient="portrait"/>
          <w:cols w:equalWidth="0" w:num="1">
            <w:col w:w="11240"/>
          </w:cols>
          <w:pgMar w:left="320" w:top="890" w:right="339" w:bottom="1440" w:gutter="0" w:footer="0" w:header="0"/>
        </w:sectPr>
      </w:pPr>
    </w:p>
    <w:bookmarkStart w:id="4" w:name="page5"/>
    <w:bookmarkEnd w:id="4"/>
    <w:p>
      <w:pPr>
        <w:ind w:left="660" w:right="6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over 15 abstracts featuring Decipher Prostate and Decipher Bladder that will be presented at the ASCO GU meeting this week, including results for Decipher Bladder from the SURE-02, NURE-combo, and BLASST-01 trials.</w:t>
      </w:r>
    </w:p>
    <w:p>
      <w:pPr>
        <w:spacing w:after="0" w:line="45" w:lineRule="exact"/>
        <w:rPr>
          <w:rFonts w:ascii="Arial" w:cs="Arial" w:eastAsia="Arial" w:hAnsi="Arial"/>
          <w:sz w:val="18"/>
          <w:szCs w:val="18"/>
          <w:color w:val="auto"/>
        </w:rPr>
      </w:pPr>
    </w:p>
    <w:p>
      <w:pPr>
        <w:ind w:left="660" w:right="48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Highlighted the upcoming TrueMRD Muscle-Invasive Bladder Cancer (MIBC) test’s inclusion in the HCRN GU 20-444 response guided bladder-sparing trial, with data planned to be presented at ASCO GU.</w:t>
      </w:r>
    </w:p>
    <w:p>
      <w:pPr>
        <w:spacing w:after="0" w:line="45" w:lineRule="exact"/>
        <w:rPr>
          <w:rFonts w:ascii="Arial" w:cs="Arial" w:eastAsia="Arial" w:hAnsi="Arial"/>
          <w:sz w:val="18"/>
          <w:szCs w:val="18"/>
          <w:color w:val="auto"/>
        </w:rPr>
      </w:pPr>
    </w:p>
    <w:p>
      <w:pPr>
        <w:ind w:left="660" w:right="30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the transition of all Afirma samples to the v2 transcriptome to improve the efficiency of the Afirma testing business and enable more patients to receive a result, while providing a platform for future product launches, such as Prosigna LDT.</w:t>
      </w:r>
    </w:p>
    <w:p>
      <w:pPr>
        <w:spacing w:after="0" w:line="18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2025 Financial Results</w:t>
      </w:r>
    </w:p>
    <w:p>
      <w:pPr>
        <w:spacing w:after="0" w:line="23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Total revenue for the fourth quarter of 2025 was $140.6 million, an increase of 19% compared to $118.6 million reported in the fourth quarter of 2024. Testing revenue was $135.8 million, an increase of 21% compared to $112.2 million in the fourth quarter of 2024, driven by growth in</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our Decipher Prostate and Afirma tests. Product revenue was $3.8 million, an increase of 27% compared to $3.0 million in the fourth quarter of 2024. Biopharmaceutical and other revenue was $1.0 million, a decrease compared to $3.5 million in the fourth quarter of 2024 given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liquidation proceedings of Veracyte SAS.</w:t>
      </w:r>
    </w:p>
    <w:p>
      <w:pPr>
        <w:spacing w:after="0" w:line="22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Total gross margin for the fourth quarter of 2025 was 72.5%, compared to 66.4% in the fourth quarter of 2024. Non-GAAP gross margin was 75.1%, compared to 69.3% in the fourth quarter of 2024.</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Operating expenses were $64.8 million for the fourth quarter of 2025. Non-GAAP operating expenses grew 12% to $65.1 million compared to $57.9 million in the fourth quarter of 2024.</w:t>
      </w:r>
    </w:p>
    <w:p>
      <w:pPr>
        <w:spacing w:after="0" w:line="181"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Net income for the fourth quarter of 2025 was $41.1 million, an improvement of 705% compared to the fourth quarter of 2024, representing 29.3% of revenue compared to 4.3% in the same period in 2024. Diluted net earnings per common share was $0.51, an improvement of $0.45 compared to the fourth quarter of 2024. Non-GAAP diluted net earnings per common share was $ 0.53, an improvement of $0.17 compared to the fourth quarter of 2024. Net cash provided by operating activities in the fourth quarter of 2025 was $52.6 million, an improvement of $28.1 million compared to the same period in 2024.</w:t>
      </w:r>
    </w:p>
    <w:p>
      <w:pPr>
        <w:spacing w:after="0" w:line="203"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auto"/>
        </w:rPr>
        <w:t>Adjusted EBITDA for the fourth quarter of 2025 was $42.3 million, an improvement of 62% compared to the fourth quarter of 2024, representing 30.1% of revenue compared to 22.0% of revenue in the same period of 2024.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2025 Financial Results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2025 was $517.1 million, an increase of 16% compared to $445.8 million reported in 2024. Testing revenue was</w:t>
      </w:r>
    </w:p>
    <w:p>
      <w:pPr>
        <w:spacing w:after="0" w:line="14"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$493.2 million, an increase of 18% compared to $419.0 million in 2024, driven by growth in our Decipher Prostate and Afirma tests. Product revenue was $14.3 million, an increase of 5% compared to $13.7 million in 2024. Biopharmaceutical and other revenue was $9.7 million, a decrease compared to $13.2 million in 2024 given the restructuring and liquidation proceedings of Veracyte SAS.</w:t>
      </w:r>
    </w:p>
    <w:p>
      <w:pPr>
        <w:spacing w:after="0" w:line="19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Total gross margin for the full year 2025 was 70.1%, compared to 66.9% in 2024. Non-GAAP gross margin was 72.9%, compared to 70.0% in 2024.</w:t>
      </w:r>
    </w:p>
    <w:p>
      <w:pPr>
        <w:spacing w:after="0" w:line="18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Operating expenses were $304.8 million for the full year 2025. Non-GAAP operating expenses grew 7% to $244.6 million compared to $227.6 million in 2024.</w:t>
      </w:r>
    </w:p>
    <w:p>
      <w:pPr>
        <w:spacing w:after="0" w:line="18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Net income for the full year 2025 was $66.4 million, an improvement of 175% compared to 2024, representing 12.8% of revenue compared to 5.4% in 2024. Diluted net earnings per common share was $0.82, an improvement of $ 0.51 compared to 2024. Non-GAAP diluted net earnings per common share was $1.78, an improvement of $ 0.59 compared to 2024. Net cash provided by operating activities in 2025 was $136.3 million, an improvement of $61.2 million compared to 2024.</w:t>
      </w:r>
    </w:p>
    <w:p>
      <w:pPr>
        <w:sectPr>
          <w:pgSz w:w="11900" w:h="16838" w:orient="portrait"/>
          <w:cols w:equalWidth="0" w:num="1">
            <w:col w:w="11240"/>
          </w:cols>
          <w:pgMar w:left="320" w:top="877" w:right="339" w:bottom="1440" w:gutter="0" w:footer="0" w:header="0"/>
        </w:sectPr>
      </w:pPr>
    </w:p>
    <w:bookmarkStart w:id="5" w:name="page6"/>
    <w:bookmarkEnd w:id="5"/>
    <w:p>
      <w:pPr>
        <w:ind w:right="340"/>
        <w:spacing w:after="0" w:line="271" w:lineRule="auto"/>
        <w:rPr>
          <w:sz w:val="20"/>
          <w:szCs w:val="20"/>
          <w:color w:val="auto"/>
        </w:rPr>
      </w:pPr>
      <w:r>
        <w:rPr>
          <w:rFonts w:ascii="Arial" w:cs="Arial" w:eastAsia="Arial" w:hAnsi="Arial"/>
          <w:sz w:val="18"/>
          <w:szCs w:val="18"/>
          <w:color w:val="auto"/>
        </w:rPr>
        <w:t>Adjusted EBITDA for the full year of 2025 was $142.5 million, an improvement of 55% compared to 2024, representing 27.6% of revenue compared to 20.6% of revenue in 2024.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Financial Outlook</w:t>
      </w:r>
    </w:p>
    <w:p>
      <w:pPr>
        <w:spacing w:after="0" w:line="22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company is reiterating 2026 total revenue guidance of 10% to 13% growth, or $570 million to $582 million, driven by testing revenue guidance of 14% to 16% growth, or $560 million to $570 million, excluding the contribution from new tests.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Further, adjusted EBITDA margin is expected to be approximately 25%.</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is unable to provide a quantitative reconciliation of expected adjusted EBITDA margin to the most directly comparable forward-looking GAAP measure without unreasonable effort, because of the inherent difficulty in accurately forecasting the occurrence and financial impact of the various adjusting items necessary for such reconciliations that have not yet occurred, that are dependent on various factors, are out of the company’s control, or that cannot be reasonably predicted. Such adjustments include, but are not limited to, acquisition-related expenses, and other adjustments. Any associated estimate of these items and their impact on GAAP performance for the guidance period</w:t>
      </w:r>
    </w:p>
    <w:p>
      <w:pPr>
        <w:spacing w:after="0" w:line="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could vary materially. For more information on the non-GAAP financial measures, please refer to the section titled “Note Regarding Use of Non-GAAP Financial Measures” at the end of this press release.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39"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 w:cs="Arial" w:eastAsia="Arial" w:hAnsi="Arial"/>
          <w:sz w:val="18"/>
          <w:szCs w:val="18"/>
          <w:color w:val="0000FF"/>
        </w:rPr>
        <w:t>https://edge.media-server.com/mmc/p/motsphxv/</w:t>
      </w:r>
      <w:r>
        <w:rPr>
          <w:rFonts w:ascii="Arial" w:cs="Arial" w:eastAsia="Arial" w:hAnsi="Arial"/>
          <w:sz w:val="18"/>
          <w:szCs w:val="18"/>
          <w:color w:val="000000"/>
        </w:rPr>
        <w:t>. The webcast should be accessed 10 minutes prior to the conference call start time. A</w:t>
      </w:r>
      <w:r>
        <w:rPr>
          <w:rFonts w:ascii="Arial" w:cs="Arial" w:eastAsia="Arial" w:hAnsi="Arial"/>
          <w:sz w:val="18"/>
          <w:szCs w:val="18"/>
          <w:color w:val="0000FF"/>
        </w:rPr>
        <w:t xml:space="preserve"> </w:t>
      </w:r>
      <w:r>
        <w:rPr>
          <w:rFonts w:ascii="Arial" w:cs="Arial" w:eastAsia="Arial" w:hAnsi="Arial"/>
          <w:sz w:val="18"/>
          <w:szCs w:val="18"/>
          <w:color w:val="000000"/>
        </w:rPr>
        <w:t xml:space="preserve">replay of the webcast will be available for one year following the conclusion of the live broadcast and will be accessible on the company’s website at </w:t>
      </w:r>
      <w:r>
        <w:rPr>
          <w:rFonts w:ascii="Arial" w:cs="Arial" w:eastAsia="Arial" w:hAnsi="Arial"/>
          <w:sz w:val="18"/>
          <w:szCs w:val="18"/>
          <w:color w:val="0000FF"/>
        </w:rPr>
        <w:t>https://investor.veracyte.com/events-presentations</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dial-in can be accessed by registering via the following link: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0000FF"/>
        </w:rPr>
        <w:t>https://register-conf.media-server.com/register/BI4553e156b9684d869faee6cbab4cb045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39" w:lineRule="exact"/>
        <w:rPr>
          <w:sz w:val="20"/>
          <w:szCs w:val="20"/>
          <w:color w:val="auto"/>
        </w:rPr>
      </w:pPr>
    </w:p>
    <w:p>
      <w:pPr>
        <w:ind w:right="160"/>
        <w:spacing w:after="0"/>
        <w:rPr>
          <w:sz w:val="20"/>
          <w:szCs w:val="20"/>
          <w:color w:val="auto"/>
        </w:rPr>
      </w:pPr>
      <w:r>
        <w:rPr>
          <w:rFonts w:ascii="Arial" w:cs="Arial" w:eastAsia="Arial" w:hAnsi="Arial"/>
          <w:sz w:val="18"/>
          <w:szCs w:val="18"/>
          <w:color w:val="222222"/>
        </w:rPr>
        <w:t>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 cancer tests that are fueled by broad genomic and clinical data, deep bioinformatic and AI capabilities, and a powerful evidence-generation engine, which ultimately drives durable reimbursement and guideline</w:t>
      </w:r>
    </w:p>
    <w:p>
      <w:pPr>
        <w:ind w:right="180"/>
        <w:spacing w:after="0" w:line="237" w:lineRule="auto"/>
        <w:rPr>
          <w:sz w:val="20"/>
          <w:szCs w:val="20"/>
          <w:color w:val="auto"/>
        </w:rPr>
      </w:pPr>
      <w:r>
        <w:rPr>
          <w:rFonts w:ascii="Arial" w:cs="Arial" w:eastAsia="Arial" w:hAnsi="Arial"/>
          <w:sz w:val="18"/>
          <w:szCs w:val="18"/>
          <w:color w:val="222222"/>
        </w:rPr>
        <w:t xml:space="preserve">inclusion for our tests, along with new insights to support continued innovation and pipeline development. </w:t>
      </w:r>
      <w:r>
        <w:rPr>
          <w:rFonts w:ascii="Arial" w:cs="Arial" w:eastAsia="Arial" w:hAnsi="Arial"/>
          <w:sz w:val="18"/>
          <w:szCs w:val="18"/>
          <w:color w:val="000000"/>
        </w:rPr>
        <w:t>For more information, please visit</w:t>
      </w:r>
      <w:r>
        <w:rPr>
          <w:rFonts w:ascii="Arial" w:cs="Arial" w:eastAsia="Arial" w:hAnsi="Arial"/>
          <w:sz w:val="18"/>
          <w:szCs w:val="18"/>
          <w:color w:val="222222"/>
        </w:rPr>
        <w:t xml:space="preserve"> </w:t>
      </w:r>
      <w:r>
        <w:rPr>
          <w:rFonts w:ascii="Arial" w:cs="Arial" w:eastAsia="Arial" w:hAnsi="Arial"/>
          <w:sz w:val="18"/>
          <w:szCs w:val="18"/>
          <w:color w:val="0000FF"/>
        </w:rPr>
        <w:t xml:space="preserve">www.veracyte.com </w:t>
      </w:r>
      <w:r>
        <w:rPr>
          <w:rFonts w:ascii="Arial" w:cs="Arial" w:eastAsia="Arial" w:hAnsi="Arial"/>
          <w:sz w:val="18"/>
          <w:szCs w:val="18"/>
          <w:color w:val="000000"/>
        </w:rPr>
        <w:t>or follow us on</w:t>
      </w:r>
      <w:r>
        <w:rPr>
          <w:rFonts w:ascii="Arial" w:cs="Arial" w:eastAsia="Arial" w:hAnsi="Arial"/>
          <w:sz w:val="18"/>
          <w:szCs w:val="18"/>
          <w:color w:val="0000FF"/>
        </w:rPr>
        <w:t xml:space="preserve"> LinkedIn </w:t>
      </w:r>
      <w:r>
        <w:rPr>
          <w:rFonts w:ascii="Arial" w:cs="Arial" w:eastAsia="Arial" w:hAnsi="Arial"/>
          <w:sz w:val="18"/>
          <w:szCs w:val="18"/>
          <w:color w:val="000000"/>
        </w:rPr>
        <w:t>or</w:t>
      </w:r>
      <w:r>
        <w:rPr>
          <w:rFonts w:ascii="Arial" w:cs="Arial" w:eastAsia="Arial" w:hAnsi="Arial"/>
          <w:sz w:val="18"/>
          <w:szCs w:val="18"/>
          <w:color w:val="0000FF"/>
        </w:rPr>
        <w:t xml:space="preserve"> X (Twitter).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plans, objectives, and expectations (financial and otherwise), including with respect to our 2026 financial and operating results; and our intentions with respect to our tests and products, including upcoming product launches. Forward-looking statements can be identified by words such as: “appears,” “anticipate,” “intend,” “plan,” “expect,” “believe,” “should,” “may,” “could,” “would,” “will,” “enable,” “positioned,” “offers,” “designed,” “ultimately,” “strategic,” “outlook,” “guidance,”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 ability to continue to scale our global operations and enhance our</w:t>
      </w:r>
    </w:p>
    <w:p>
      <w:pPr>
        <w:spacing w:after="0" w:line="8"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internal control environment; the impact of the war in Ukraine and other regional conflicts on European economies; the impact of foreign currency fluctuations, volatile interest rates, inflation, the impact of legislation and policies enacted by the current U.S. administration; turmoil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the global banking and finance system; the ongoing</w:t>
      </w:r>
    </w:p>
    <w:p>
      <w:pPr>
        <w:sectPr>
          <w:pgSz w:w="11900" w:h="16838" w:orient="portrait"/>
          <w:cols w:equalWidth="0" w:num="1">
            <w:col w:w="11240"/>
          </w:cols>
          <w:pgMar w:left="320" w:top="877" w:right="339" w:bottom="1440" w:gutter="0" w:footer="0" w:header="0"/>
        </w:sectPr>
      </w:pPr>
    </w:p>
    <w:bookmarkStart w:id="6" w:name="page7"/>
    <w:bookmarkEnd w:id="6"/>
    <w:p>
      <w:pPr>
        <w:spacing w:after="0" w:line="242" w:lineRule="auto"/>
        <w:rPr>
          <w:sz w:val="20"/>
          <w:szCs w:val="20"/>
          <w:color w:val="auto"/>
        </w:rPr>
      </w:pPr>
      <w:r>
        <w:rPr>
          <w:rFonts w:ascii="Arial" w:cs="Arial" w:eastAsia="Arial" w:hAnsi="Arial"/>
          <w:sz w:val="18"/>
          <w:szCs w:val="18"/>
          <w:color w:val="auto"/>
        </w:rPr>
        <w:t>conflict in the Middle East; and the performance and utility of our tests in the clinical environment. Additional factors that may impact these forward-looking statements can be found under the caption “Risk Factors” in our Annual Report on Form 10-K filed on February 28, 2025,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5" w:lineRule="exact"/>
        <w:rPr>
          <w:sz w:val="20"/>
          <w:szCs w:val="20"/>
          <w:color w:val="auto"/>
        </w:rPr>
      </w:pPr>
    </w:p>
    <w:p>
      <w:pPr>
        <w:ind w:right="140"/>
        <w:spacing w:after="0" w:line="207"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 expenses, adjusted EBITDA, adjusted EBITDA as a percentage of revenue (also referred to as adjusted EBITDA margin), non-GAAP net income, and non-GAAP earnings per share (EPS) and non-GAAP weighted average shares outstanding. These non-GAAP financial</w:t>
      </w:r>
    </w:p>
    <w:p>
      <w:pPr>
        <w:ind w:right="380"/>
        <w:spacing w:after="0" w:line="263" w:lineRule="auto"/>
        <w:rPr>
          <w:sz w:val="20"/>
          <w:szCs w:val="20"/>
          <w:color w:val="auto"/>
        </w:rPr>
      </w:pPr>
      <w:r>
        <w:rPr>
          <w:rFonts w:ascii="Arial" w:cs="Arial" w:eastAsia="Arial" w:hAnsi="Arial"/>
          <w:sz w:val="17"/>
          <w:szCs w:val="17"/>
          <w:color w:val="auto"/>
        </w:rPr>
        <w:t>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18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use non-GAAP financial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financial measures we present may be different from those used by other companies, including similarly titled measures.</w:t>
      </w:r>
    </w:p>
    <w:p>
      <w:pPr>
        <w:spacing w:after="0" w:line="20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compute these non-GAAP measures by adjusting the applicable GAAP measure to remove the impact of certain recurring and non-recurring charges and gains and to adjust for the impact of income tax items related to such adjustments to our GAAP financial statements. In particular, we exclude amortization of acquired intangible assets, 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from all of our non-GAAP financial measures as well as depreciation and income tax items from our adjusted EBITDA and adjusted EBITDA as a percentage of</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revenue. Beginning in the second quarter of 2024, we changed our non-GAAP policy to exclude all stock-based compensation to align with our peers and we have also excluded all stock-based compensation from our prior period non-GAAP financial measures. Management has</w:t>
      </w:r>
    </w:p>
    <w:p>
      <w:pPr>
        <w:spacing w:after="0" w:line="2" w:lineRule="exact"/>
        <w:rPr>
          <w:sz w:val="20"/>
          <w:szCs w:val="20"/>
          <w:color w:val="auto"/>
        </w:rPr>
      </w:pPr>
    </w:p>
    <w:p>
      <w:pPr>
        <w:ind w:right="20"/>
        <w:spacing w:after="0" w:line="206" w:lineRule="exact"/>
        <w:rPr>
          <w:sz w:val="20"/>
          <w:szCs w:val="20"/>
          <w:color w:val="auto"/>
        </w:rPr>
      </w:pPr>
      <w:r>
        <w:rPr>
          <w:rFonts w:ascii="Arial" w:cs="Arial" w:eastAsia="Arial" w:hAnsi="Arial"/>
          <w:sz w:val="18"/>
          <w:szCs w:val="18"/>
          <w:color w:val="auto"/>
        </w:rPr>
        <w:t>excluded the effects of these items in non-GAAP financial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together with its supplemental non</w:t>
      </w:r>
      <w:r>
        <w:rPr>
          <w:rFonts w:ascii="MS PGothic" w:cs="MS PGothic" w:eastAsia="MS PGothic" w:hAnsi="MS PGothic"/>
          <w:sz w:val="18"/>
          <w:szCs w:val="18"/>
          <w:color w:val="auto"/>
        </w:rPr>
        <w:t>‐</w:t>
      </w:r>
      <w:r>
        <w:rPr>
          <w:rFonts w:ascii="Arial" w:cs="Arial" w:eastAsia="Arial" w:hAnsi="Arial"/>
          <w:sz w:val="18"/>
          <w:szCs w:val="18"/>
          <w:color w:val="auto"/>
        </w:rPr>
        <w:t>GAAP information and the reconciliation between these presentations. See “Reconciliation of U.S. GAAP to Non-GAAP Financial Measures” for a reconciliation of each non-GAAP measure presented to the comparable GAAP financial measure.</w:t>
      </w:r>
    </w:p>
    <w:p>
      <w:pPr>
        <w:sectPr>
          <w:pgSz w:w="11900" w:h="16838" w:orient="portrait"/>
          <w:cols w:equalWidth="0" w:num="1">
            <w:col w:w="11160"/>
          </w:cols>
          <w:pgMar w:left="320" w:top="877" w:right="419" w:bottom="1440" w:gutter="0" w:footer="0" w:header="0"/>
        </w:sectPr>
      </w:pPr>
    </w:p>
    <w:bookmarkStart w:id="7" w:name="page8"/>
    <w:bookmarkEnd w:id="7"/>
    <w:p>
      <w:pPr>
        <w:jc w:val="center"/>
        <w:ind w:right="-171"/>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(In thousands, except share and per share amounts)</w:t>
      </w:r>
    </w:p>
    <w:p>
      <w:pPr>
        <w:spacing w:after="0" w:line="244" w:lineRule="exact"/>
        <w:rPr>
          <w:sz w:val="20"/>
          <w:szCs w:val="20"/>
          <w:color w:val="auto"/>
        </w:rPr>
      </w:pPr>
    </w:p>
    <w:tbl>
      <w:tblPr>
        <w:tblLayout w:type="fixed"/>
        <w:tblInd w:w="192"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880" w:type="dxa"/>
            <w:vAlign w:val="bottom"/>
            <w:gridSpan w:val="7"/>
          </w:tcPr>
          <w:p>
            <w:pPr>
              <w:ind w:left="100"/>
              <w:spacing w:after="0"/>
              <w:rPr>
                <w:sz w:val="20"/>
                <w:szCs w:val="20"/>
                <w:color w:val="auto"/>
              </w:rPr>
            </w:pPr>
            <w:r>
              <w:rPr>
                <w:rFonts w:ascii="Arial" w:cs="Arial" w:eastAsia="Arial" w:hAnsi="Arial"/>
                <w:sz w:val="18"/>
                <w:szCs w:val="18"/>
                <w:color w:val="auto"/>
              </w:rPr>
              <w:t>Three Months Ended December</w:t>
            </w:r>
          </w:p>
        </w:tc>
        <w:tc>
          <w:tcPr>
            <w:tcW w:w="2780" w:type="dxa"/>
            <w:vAlign w:val="bottom"/>
            <w:gridSpan w:val="6"/>
          </w:tcPr>
          <w:p>
            <w:pPr>
              <w:jc w:val="right"/>
              <w:spacing w:after="0"/>
              <w:rPr>
                <w:sz w:val="20"/>
                <w:szCs w:val="20"/>
                <w:color w:val="auto"/>
              </w:rPr>
            </w:pPr>
            <w:r>
              <w:rPr>
                <w:rFonts w:ascii="Arial" w:cs="Arial" w:eastAsia="Arial" w:hAnsi="Arial"/>
                <w:sz w:val="18"/>
                <w:szCs w:val="18"/>
                <w:color w:val="auto"/>
              </w:rPr>
              <w:t>Twelve Months Ended December</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9"/>
              </w:rPr>
              <w:t>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99"/>
              </w:rPr>
              <w:t>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135,826</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112,152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493,154</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418,961</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Biopharmaceutical and other revenue</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9,664</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140,636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445,764</w:t>
            </w:r>
          </w:p>
        </w:tc>
        <w:tc>
          <w:tcPr>
            <w:tcW w:w="0" w:type="dxa"/>
            <w:vAlign w:val="bottom"/>
          </w:tcPr>
          <w:p>
            <w:pPr>
              <w:spacing w:after="0"/>
              <w:rPr>
                <w:sz w:val="1"/>
                <w:szCs w:val="1"/>
                <w:color w:val="auto"/>
              </w:rPr>
            </w:pPr>
          </w:p>
        </w:tc>
      </w:tr>
      <w:tr>
        <w:trPr>
          <w:trHeight w:val="461"/>
        </w:trPr>
        <w:tc>
          <w:tcPr>
            <w:tcW w:w="5200" w:type="dxa"/>
            <w:vAlign w:val="bottom"/>
          </w:tcPr>
          <w:p>
            <w:pPr>
              <w:spacing w:after="0"/>
              <w:rPr>
                <w:sz w:val="20"/>
                <w:szCs w:val="20"/>
                <w:color w:val="auto"/>
              </w:rPr>
            </w:pPr>
            <w:r>
              <w:rPr>
                <w:rFonts w:ascii="Arial" w:cs="Arial" w:eastAsia="Arial" w:hAnsi="Arial"/>
                <w:sz w:val="18"/>
                <w:szCs w:val="18"/>
                <w:color w:val="auto"/>
              </w:rPr>
              <w:t>Cost of revenue: (1)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127,562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114,573</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biopharmaceutical and other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 - cost of revenue</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10,666</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11,552</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154,613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147,619</w:t>
            </w:r>
          </w:p>
        </w:tc>
        <w:tc>
          <w:tcPr>
            <w:tcW w:w="0" w:type="dxa"/>
            <w:vAlign w:val="bottom"/>
          </w:tcPr>
          <w:p>
            <w:pPr>
              <w:spacing w:after="0"/>
              <w:rPr>
                <w:sz w:val="1"/>
                <w:szCs w:val="1"/>
                <w:color w:val="auto"/>
              </w:rPr>
            </w:pPr>
          </w:p>
        </w:tc>
      </w:tr>
      <w:tr>
        <w:trPr>
          <w:trHeight w:val="223"/>
        </w:trPr>
        <w:tc>
          <w:tcPr>
            <w:tcW w:w="520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101,973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362,532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298,145</w:t>
            </w:r>
          </w:p>
        </w:tc>
        <w:tc>
          <w:tcPr>
            <w:tcW w:w="0" w:type="dxa"/>
            <w:vAlign w:val="bottom"/>
          </w:tcPr>
          <w:p>
            <w:pPr>
              <w:spacing w:after="0"/>
              <w:rPr>
                <w:sz w:val="1"/>
                <w:szCs w:val="1"/>
                <w:color w:val="auto"/>
              </w:rPr>
            </w:pPr>
          </w:p>
        </w:tc>
      </w:tr>
      <w:tr>
        <w:trPr>
          <w:trHeight w:val="204"/>
        </w:trPr>
        <w:tc>
          <w:tcPr>
            <w:tcW w:w="5200" w:type="dxa"/>
            <w:vAlign w:val="bottom"/>
          </w:tcPr>
          <w:p>
            <w:pPr>
              <w:spacing w:after="0" w:line="204" w:lineRule="exact"/>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69,294</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95,434</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110,784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110,610</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Impairment of assets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 - operating expenses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304,755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282,003</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16,142</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Other income (loss), net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41,149</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66,353</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24,138</w:t>
            </w:r>
          </w:p>
        </w:tc>
        <w:tc>
          <w:tcPr>
            <w:tcW w:w="0" w:type="dxa"/>
            <w:vAlign w:val="bottom"/>
          </w:tcPr>
          <w:p>
            <w:pPr>
              <w:spacing w:after="0"/>
              <w:rPr>
                <w:sz w:val="1"/>
                <w:szCs w:val="1"/>
                <w:color w:val="auto"/>
              </w:rPr>
            </w:pPr>
          </w:p>
        </w:tc>
      </w:tr>
      <w:tr>
        <w:trPr>
          <w:trHeight w:val="34"/>
        </w:trPr>
        <w:tc>
          <w:tcPr>
            <w:tcW w:w="52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0.52</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0.84</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0.51</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Shares used to compute earnings per common share: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79,178,087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77,608,924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78,584,291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76,484,759</w:t>
            </w:r>
          </w:p>
        </w:tc>
        <w:tc>
          <w:tcPr>
            <w:tcW w:w="0" w:type="dxa"/>
            <w:vAlign w:val="bottom"/>
          </w:tcPr>
          <w:p>
            <w:pPr>
              <w:spacing w:after="0"/>
              <w:rPr>
                <w:sz w:val="1"/>
                <w:szCs w:val="1"/>
                <w:color w:val="auto"/>
              </w:rPr>
            </w:pPr>
          </w:p>
        </w:tc>
      </w:tr>
      <w:tr>
        <w:trPr>
          <w:trHeight w:val="239"/>
        </w:trPr>
        <w:tc>
          <w:tcPr>
            <w:tcW w:w="5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81,387,089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79,905,412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80,573,140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78,163,217</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8" w:right="100" w:firstLine="8"/>
        <w:spacing w:after="0" w:line="287" w:lineRule="auto"/>
        <w:tabs>
          <w:tab w:leader="none" w:pos="192"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ectPr>
          <w:pgSz w:w="11900" w:h="16838" w:orient="portrait"/>
          <w:cols w:equalWidth="0" w:num="1">
            <w:col w:w="11052"/>
          </w:cols>
          <w:pgMar w:left="328" w:top="1268" w:right="5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860" w:type="dxa"/>
            <w:vAlign w:val="bottom"/>
            <w:gridSpan w:val="7"/>
          </w:tcPr>
          <w:p>
            <w:pPr>
              <w:ind w:left="100"/>
              <w:spacing w:after="0"/>
              <w:rPr>
                <w:sz w:val="20"/>
                <w:szCs w:val="20"/>
                <w:color w:val="auto"/>
              </w:rPr>
            </w:pPr>
            <w:r>
              <w:rPr>
                <w:rFonts w:ascii="Arial" w:cs="Arial" w:eastAsia="Arial" w:hAnsi="Arial"/>
                <w:sz w:val="18"/>
                <w:szCs w:val="18"/>
                <w:color w:val="auto"/>
              </w:rPr>
              <w:t>Three Months Ended December</w:t>
            </w: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Twelve Months Ended December</w:t>
            </w:r>
          </w:p>
        </w:tc>
      </w:tr>
      <w:tr>
        <w:trPr>
          <w:trHeight w:val="250"/>
        </w:trPr>
        <w:tc>
          <w:tcPr>
            <w:tcW w:w="5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9"/>
              </w:rPr>
              <w:t>31</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9"/>
              </w:rPr>
              <w:t>31</w:t>
            </w:r>
          </w:p>
        </w:tc>
        <w:tc>
          <w:tcPr>
            <w:tcW w:w="1040" w:type="dxa"/>
            <w:vAlign w:val="bottom"/>
            <w:tcBorders>
              <w:bottom w:val="single" w:sz="8" w:color="auto"/>
            </w:tcBorders>
          </w:tcPr>
          <w:p>
            <w:pPr>
              <w:spacing w:after="0"/>
              <w:rPr>
                <w:sz w:val="21"/>
                <w:szCs w:val="21"/>
                <w:color w:val="auto"/>
              </w:rPr>
            </w:pPr>
          </w:p>
        </w:tc>
      </w:tr>
      <w:tr>
        <w:trPr>
          <w:trHeight w:val="237"/>
        </w:trPr>
        <w:tc>
          <w:tcPr>
            <w:tcW w:w="5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2,286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2,319</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7,511</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6,897</w:t>
            </w: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6,328</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25,079</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w:t>
            </w:r>
          </w:p>
        </w:tc>
      </w:tr>
      <w:tr>
        <w:trPr>
          <w:trHeight w:val="223"/>
        </w:trPr>
        <w:tc>
          <w:tcPr>
            <w:tcW w:w="52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36,249</w:t>
            </w:r>
          </w:p>
        </w:tc>
      </w:tr>
      <w:tr>
        <w:trPr>
          <w:trHeight w:val="20"/>
        </w:trPr>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60"/>
          </w:cols>
          <w:pgMar w:left="580" w:top="905" w:right="4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 OF COMPREHENSIVE INCOME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3000" w:type="dxa"/>
            <w:vAlign w:val="bottom"/>
            <w:gridSpan w:val="6"/>
            <w:vMerge w:val="restart"/>
          </w:tcPr>
          <w:p>
            <w:pPr>
              <w:ind w:left="40"/>
              <w:spacing w:after="0"/>
              <w:rPr>
                <w:sz w:val="20"/>
                <w:szCs w:val="20"/>
                <w:color w:val="auto"/>
              </w:rPr>
            </w:pPr>
            <w:r>
              <w:rPr>
                <w:rFonts w:ascii="Arial" w:cs="Arial" w:eastAsia="Arial" w:hAnsi="Arial"/>
                <w:sz w:val="18"/>
                <w:szCs w:val="18"/>
                <w:color w:val="auto"/>
              </w:rPr>
              <w:t>Three Months Ended December 31</w:t>
            </w:r>
          </w:p>
        </w:tc>
        <w:tc>
          <w:tcPr>
            <w:tcW w:w="120" w:type="dxa"/>
            <w:vAlign w:val="bottom"/>
          </w:tcPr>
          <w:p>
            <w:pPr>
              <w:spacing w:after="0"/>
              <w:rPr>
                <w:sz w:val="17"/>
                <w:szCs w:val="17"/>
                <w:color w:val="auto"/>
              </w:rPr>
            </w:pPr>
          </w:p>
        </w:tc>
        <w:tc>
          <w:tcPr>
            <w:tcW w:w="2780" w:type="dxa"/>
            <w:vAlign w:val="bottom"/>
            <w:gridSpan w:val="5"/>
          </w:tcPr>
          <w:p>
            <w:pPr>
              <w:jc w:val="right"/>
              <w:ind w:right="30"/>
              <w:spacing w:after="0"/>
              <w:rPr>
                <w:sz w:val="20"/>
                <w:szCs w:val="20"/>
                <w:color w:val="auto"/>
              </w:rPr>
            </w:pPr>
            <w:r>
              <w:rPr>
                <w:rFonts w:ascii="Arial" w:cs="Arial" w:eastAsia="Arial" w:hAnsi="Arial"/>
                <w:sz w:val="18"/>
                <w:szCs w:val="18"/>
                <w:color w:val="auto"/>
                <w:w w:val="99"/>
              </w:rPr>
              <w:t>Twelve Months Ended December</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3000" w:type="dxa"/>
            <w:vAlign w:val="bottom"/>
            <w:gridSpan w:val="6"/>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w w:val="89"/>
              </w:rPr>
              <w:t>31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53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41,149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66,353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24,138</w:t>
            </w:r>
          </w:p>
        </w:tc>
        <w:tc>
          <w:tcPr>
            <w:tcW w:w="0" w:type="dxa"/>
            <w:vAlign w:val="bottom"/>
          </w:tcPr>
          <w:p>
            <w:pPr>
              <w:spacing w:after="0"/>
              <w:rPr>
                <w:sz w:val="1"/>
                <w:szCs w:val="1"/>
                <w:color w:val="auto"/>
              </w:rPr>
            </w:pPr>
          </w:p>
        </w:tc>
      </w:tr>
      <w:tr>
        <w:trPr>
          <w:trHeight w:val="229"/>
        </w:trPr>
        <w:tc>
          <w:tcPr>
            <w:tcW w:w="532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35"/>
        </w:trPr>
        <w:tc>
          <w:tcPr>
            <w:tcW w:w="5320" w:type="dxa"/>
            <w:vAlign w:val="bottom"/>
          </w:tcPr>
          <w:p>
            <w:pPr>
              <w:ind w:left="220"/>
              <w:spacing w:after="0"/>
              <w:rPr>
                <w:sz w:val="20"/>
                <w:szCs w:val="20"/>
                <w:color w:val="auto"/>
              </w:rPr>
            </w:pPr>
            <w:r>
              <w:rPr>
                <w:rFonts w:ascii="Arial" w:cs="Arial" w:eastAsia="Arial" w:hAnsi="Arial"/>
                <w:sz w:val="18"/>
                <w:szCs w:val="18"/>
                <w:color w:val="auto"/>
              </w:rPr>
              <w:t>Release of accumulated translation adjustment</w:t>
            </w: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8,295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comprehensive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31"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December 31,</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9"/>
        </w:trPr>
        <w:tc>
          <w:tcPr>
            <w:tcW w:w="6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0"/>
                <w:szCs w:val="20"/>
                <w:color w:val="auto"/>
              </w:rPr>
            </w:pPr>
          </w:p>
        </w:tc>
        <w:tc>
          <w:tcPr>
            <w:tcW w:w="1820" w:type="dxa"/>
            <w:vAlign w:val="bottom"/>
          </w:tcPr>
          <w:p>
            <w:pPr>
              <w:jc w:val="center"/>
              <w:ind w:right="23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362,578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239,087</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50,354</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44,660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46,525</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21,750</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488,376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372,267</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22,953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36,599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48,189</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89,148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102,301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767,154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745,800</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1,406,019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1,300,035</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8,634</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48,801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43,826</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16,981</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00" w:type="dxa"/>
            <w:vAlign w:val="bottom"/>
          </w:tcPr>
          <w:p>
            <w:pPr>
              <w:spacing w:after="0"/>
              <w:rPr>
                <w:sz w:val="20"/>
                <w:szCs w:val="20"/>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59,937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78,633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0"/>
                <w:szCs w:val="20"/>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96,443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124,069</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1,309,576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1,175,966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1,406,019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1,300,035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160" w:right="60" w:hanging="159"/>
        <w:spacing w:after="0" w:line="227" w:lineRule="auto"/>
        <w:tabs>
          <w:tab w:leader="none" w:pos="1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2024 has been derived from the audited financial statements at that date included in the company's Annual Report on Form 10-K for the year ended December 31, 2024, filed with the Securities and Exchange Commission on February 28, 2025.</w:t>
      </w:r>
    </w:p>
    <w:p>
      <w:pPr>
        <w:sectPr>
          <w:pgSz w:w="11900" w:h="16838" w:orient="portrait"/>
          <w:cols w:equalWidth="0" w:num="1">
            <w:col w:w="10940"/>
          </w:cols>
          <w:pgMar w:left="480" w:top="1025" w:right="47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8"/>
              </w:rPr>
              <w:t>Twelve Months Ended December 31</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4"/>
        </w:trPr>
        <w:tc>
          <w:tcPr>
            <w:tcW w:w="7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66,353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24,138</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23,459</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43,601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36,249</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Amortization of discount on short-term investments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Impairment loss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20,505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Non-cash loss on deconsolidation of subsidiary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35"/>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136,307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75,096</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153,311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Loss on deconsolidation of subsidiary - cash</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Acquisition of C2i, net of cash acquired</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(56,275)</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contingent consideration for acquisition</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(10,589)</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19,993</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Increase in cash, cash equivalents and restricted cash</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122,876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123,595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23,301</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25" w:right="3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42"/>
        </w:trPr>
        <w:tc>
          <w:tcPr>
            <w:tcW w:w="7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r>
      <w:tr>
        <w:trPr>
          <w:trHeight w:val="224"/>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362,578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239,087</w:t>
            </w:r>
          </w:p>
        </w:tc>
      </w:tr>
      <w:tr>
        <w:trPr>
          <w:trHeight w:val="235"/>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240,631</w:t>
            </w:r>
          </w:p>
        </w:tc>
      </w:tr>
      <w:tr>
        <w:trPr>
          <w:trHeight w:val="21"/>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0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840" w:type="dxa"/>
            <w:vAlign w:val="bottom"/>
          </w:tcPr>
          <w:p>
            <w:pPr>
              <w:spacing w:after="0"/>
              <w:rPr>
                <w:sz w:val="21"/>
                <w:szCs w:val="21"/>
                <w:color w:val="auto"/>
              </w:rPr>
            </w:pPr>
          </w:p>
        </w:tc>
        <w:tc>
          <w:tcPr>
            <w:tcW w:w="3060" w:type="dxa"/>
            <w:vAlign w:val="bottom"/>
            <w:gridSpan w:val="6"/>
          </w:tcPr>
          <w:p>
            <w:pPr>
              <w:ind w:left="60"/>
              <w:spacing w:after="0"/>
              <w:rPr>
                <w:sz w:val="20"/>
                <w:szCs w:val="20"/>
                <w:color w:val="auto"/>
              </w:rPr>
            </w:pPr>
            <w:r>
              <w:rPr>
                <w:rFonts w:ascii="Arial" w:cs="Arial" w:eastAsia="Arial" w:hAnsi="Arial"/>
                <w:sz w:val="18"/>
                <w:szCs w:val="18"/>
                <w:color w:val="auto"/>
              </w:rPr>
              <w:t>Three Months Ended December 31</w:t>
            </w:r>
          </w:p>
        </w:tc>
        <w:tc>
          <w:tcPr>
            <w:tcW w:w="2960" w:type="dxa"/>
            <w:vAlign w:val="bottom"/>
            <w:gridSpan w:val="5"/>
          </w:tcPr>
          <w:p>
            <w:pPr>
              <w:ind w:left="40"/>
              <w:spacing w:after="0"/>
              <w:rPr>
                <w:sz w:val="20"/>
                <w:szCs w:val="20"/>
                <w:color w:val="auto"/>
              </w:rPr>
            </w:pPr>
            <w:r>
              <w:rPr>
                <w:rFonts w:ascii="Arial" w:cs="Arial" w:eastAsia="Arial" w:hAnsi="Arial"/>
                <w:sz w:val="18"/>
                <w:szCs w:val="18"/>
                <w:color w:val="auto"/>
                <w:w w:val="99"/>
              </w:rPr>
              <w:t>Twelve Months Ended December 31</w:t>
            </w:r>
          </w:p>
        </w:tc>
      </w:tr>
      <w:tr>
        <w:trPr>
          <w:trHeight w:val="236"/>
        </w:trPr>
        <w:tc>
          <w:tcPr>
            <w:tcW w:w="48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r>
      <w:tr>
        <w:trPr>
          <w:trHeight w:val="211"/>
        </w:trPr>
        <w:tc>
          <w:tcPr>
            <w:tcW w:w="4840" w:type="dxa"/>
            <w:vAlign w:val="bottom"/>
          </w:tcPr>
          <w:p>
            <w:pPr>
              <w:spacing w:after="0"/>
              <w:rPr>
                <w:sz w:val="20"/>
                <w:szCs w:val="20"/>
                <w:color w:val="auto"/>
              </w:rPr>
            </w:pPr>
            <w:r>
              <w:rPr>
                <w:rFonts w:ascii="Arial" w:cs="Arial" w:eastAsia="Arial" w:hAnsi="Arial"/>
                <w:sz w:val="18"/>
                <w:szCs w:val="18"/>
                <w:b w:val="1"/>
                <w:bCs w:val="1"/>
                <w:color w:val="auto"/>
              </w:rPr>
              <w:t>Reconciliation of Non-GAAP Cost of Revenue: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4840" w:type="dxa"/>
            <w:vAlign w:val="bottom"/>
          </w:tcPr>
          <w:p>
            <w:pPr>
              <w:ind w:left="120"/>
              <w:spacing w:after="0"/>
              <w:rPr>
                <w:sz w:val="20"/>
                <w:szCs w:val="20"/>
                <w:color w:val="auto"/>
              </w:rPr>
            </w:pPr>
            <w:r>
              <w:rPr>
                <w:rFonts w:ascii="Arial" w:cs="Arial" w:eastAsia="Arial" w:hAnsi="Arial"/>
                <w:sz w:val="18"/>
                <w:szCs w:val="18"/>
                <w:color w:val="auto"/>
              </w:rPr>
              <w:t>GAAP cost of testing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33,118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31,645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127,562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114,573</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(1,973)</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(60)</w:t>
            </w: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cost of testing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32,502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31,083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125,403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112,534</w:t>
            </w:r>
          </w:p>
        </w:tc>
      </w:tr>
      <w:tr>
        <w:trPr>
          <w:trHeight w:val="461"/>
        </w:trPr>
        <w:tc>
          <w:tcPr>
            <w:tcW w:w="4840" w:type="dxa"/>
            <w:vAlign w:val="bottom"/>
          </w:tcPr>
          <w:p>
            <w:pPr>
              <w:ind w:left="120"/>
              <w:spacing w:after="0"/>
              <w:rPr>
                <w:sz w:val="20"/>
                <w:szCs w:val="20"/>
                <w:color w:val="auto"/>
              </w:rPr>
            </w:pPr>
            <w:r>
              <w:rPr>
                <w:rFonts w:ascii="Arial" w:cs="Arial" w:eastAsia="Arial" w:hAnsi="Arial"/>
                <w:sz w:val="18"/>
                <w:szCs w:val="18"/>
                <w:color w:val="auto"/>
              </w:rPr>
              <w:t>GAAP cost of product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2,621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8,807</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9,110</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cost of product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7,074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9,106</w:t>
            </w:r>
          </w:p>
        </w:tc>
      </w:tr>
      <w:tr>
        <w:trPr>
          <w:trHeight w:val="461"/>
        </w:trPr>
        <w:tc>
          <w:tcPr>
            <w:tcW w:w="4840" w:type="dxa"/>
            <w:vAlign w:val="bottom"/>
          </w:tcPr>
          <w:p>
            <w:pPr>
              <w:ind w:left="120"/>
              <w:spacing w:after="0"/>
              <w:rPr>
                <w:sz w:val="20"/>
                <w:szCs w:val="20"/>
                <w:color w:val="auto"/>
              </w:rPr>
            </w:pPr>
            <w:r>
              <w:rPr>
                <w:rFonts w:ascii="Arial" w:cs="Arial" w:eastAsia="Arial" w:hAnsi="Arial"/>
                <w:sz w:val="18"/>
                <w:szCs w:val="18"/>
                <w:color w:val="auto"/>
              </w:rPr>
              <w:t>GAAP cost of biopharmaceutical and other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7,578</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12,384</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(342)</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cost of biopharmaceutical and other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7,453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12,042</w:t>
            </w:r>
          </w:p>
        </w:tc>
      </w:tr>
      <w:tr>
        <w:trPr>
          <w:trHeight w:val="461"/>
        </w:trPr>
        <w:tc>
          <w:tcPr>
            <w:tcW w:w="4840" w:type="dxa"/>
            <w:vAlign w:val="bottom"/>
          </w:tcPr>
          <w:p>
            <w:pPr>
              <w:spacing w:after="0"/>
              <w:rPr>
                <w:sz w:val="20"/>
                <w:szCs w:val="20"/>
                <w:color w:val="auto"/>
              </w:rPr>
            </w:pPr>
            <w:r>
              <w:rPr>
                <w:rFonts w:ascii="Arial" w:cs="Arial" w:eastAsia="Arial" w:hAnsi="Arial"/>
                <w:sz w:val="18"/>
                <w:szCs w:val="18"/>
                <w:b w:val="1"/>
                <w:bCs w:val="1"/>
                <w:color w:val="auto"/>
              </w:rPr>
              <w:t>Reconciliation of Non-GAAP Gross Margin:</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4840" w:type="dxa"/>
            <w:vAlign w:val="bottom"/>
          </w:tcPr>
          <w:p>
            <w:pPr>
              <w:ind w:left="120"/>
              <w:spacing w:after="0"/>
              <w:rPr>
                <w:sz w:val="20"/>
                <w:szCs w:val="20"/>
                <w:color w:val="auto"/>
              </w:rPr>
            </w:pPr>
            <w:r>
              <w:rPr>
                <w:rFonts w:ascii="Arial" w:cs="Arial" w:eastAsia="Arial" w:hAnsi="Arial"/>
                <w:sz w:val="18"/>
                <w:szCs w:val="18"/>
                <w:color w:val="auto"/>
              </w:rPr>
              <w:t>GAAP 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101,973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78,754</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362,532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298,145</w:t>
            </w: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GAAP Gross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10,666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11,552</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2,319</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2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Gross Profit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105,579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82,206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377,215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312,082</w:t>
            </w:r>
          </w:p>
        </w:tc>
      </w:tr>
      <w:tr>
        <w:trPr>
          <w:trHeight w:val="232"/>
        </w:trPr>
        <w:tc>
          <w:tcPr>
            <w:tcW w:w="4840" w:type="dxa"/>
            <w:vAlign w:val="bottom"/>
          </w:tcPr>
          <w:p>
            <w:pPr>
              <w:ind w:left="120"/>
              <w:spacing w:after="0"/>
              <w:rPr>
                <w:sz w:val="20"/>
                <w:szCs w:val="20"/>
                <w:color w:val="auto"/>
              </w:rPr>
            </w:pPr>
            <w:r>
              <w:rPr>
                <w:rFonts w:ascii="Arial" w:cs="Arial" w:eastAsia="Arial" w:hAnsi="Arial"/>
                <w:sz w:val="18"/>
                <w:szCs w:val="18"/>
                <w:color w:val="auto"/>
              </w:rPr>
              <w:t>Non-GAAP Gross Margin</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r>
    </w:tbl>
    <w:p>
      <w:pPr>
        <w:spacing w:after="0" w:line="242" w:lineRule="exact"/>
        <w:rPr>
          <w:sz w:val="20"/>
          <w:szCs w:val="20"/>
          <w:color w:val="auto"/>
        </w:rPr>
      </w:pPr>
    </w:p>
    <w:p>
      <w:pPr>
        <w:ind w:left="160" w:right="320" w:hanging="161"/>
        <w:spacing w:after="0" w:line="227" w:lineRule="auto"/>
        <w:rPr>
          <w:sz w:val="20"/>
          <w:szCs w:val="20"/>
          <w:color w:val="auto"/>
        </w:rPr>
      </w:pPr>
      <w:r>
        <w:rPr>
          <w:rFonts w:ascii="Arial" w:cs="Arial" w:eastAsia="Arial" w:hAnsi="Arial"/>
          <w:sz w:val="18"/>
          <w:szCs w:val="18"/>
          <w:color w:val="auto"/>
        </w:rPr>
        <w:t>1.Includes transaction-related expenses and post-combination compensation expenses. For the twelve months ended December 31, 2024, adjustments consist primarily of transaction-related expenses associated with the acquisition of C2i Genomics Ltd. (“C2i Genomics”).</w:t>
      </w:r>
    </w:p>
    <w:p>
      <w:pPr>
        <w:spacing w:after="0" w:line="7" w:lineRule="exact"/>
        <w:rPr>
          <w:sz w:val="20"/>
          <w:szCs w:val="20"/>
          <w:color w:val="auto"/>
        </w:rPr>
      </w:pPr>
    </w:p>
    <w:p>
      <w:pPr>
        <w:jc w:val="both"/>
        <w:ind w:left="160" w:right="140" w:hanging="161"/>
        <w:spacing w:after="0" w:line="228" w:lineRule="auto"/>
        <w:rPr>
          <w:sz w:val="20"/>
          <w:szCs w:val="20"/>
          <w:color w:val="auto"/>
        </w:rPr>
      </w:pPr>
      <w:r>
        <w:rPr>
          <w:rFonts w:ascii="Arial" w:cs="Arial" w:eastAsia="Arial" w:hAnsi="Arial"/>
          <w:sz w:val="17"/>
          <w:szCs w:val="17"/>
          <w:color w:val="auto"/>
        </w:rPr>
        <w:t>2.For the three months ended December 31, 2025, adjustments primarily include expense related to the restructuring of Veracyte SAS ($0.3 million). For the twelve months ended December 31, 2025, adjustments include additional expenses related to the restructuring and liquidation proceedings of Veracyte SAS. For the twelve months ended December 31, 2024, adjustments primarily include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expense related to restructuring costs associated with portfolio prioritization.</w:t>
      </w:r>
    </w:p>
    <w:p>
      <w:pPr>
        <w:sectPr>
          <w:pgSz w:w="11900" w:h="16838" w:orient="portrait"/>
          <w:cols w:equalWidth="0" w:num="1">
            <w:col w:w="10860"/>
          </w:cols>
          <w:pgMar w:left="340" w:top="1025" w:right="6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860" w:type="dxa"/>
            <w:vAlign w:val="bottom"/>
            <w:gridSpan w:val="6"/>
          </w:tcPr>
          <w:p>
            <w:pPr>
              <w:ind w:left="80"/>
              <w:spacing w:after="0"/>
              <w:rPr>
                <w:sz w:val="20"/>
                <w:szCs w:val="20"/>
                <w:color w:val="auto"/>
              </w:rPr>
            </w:pPr>
            <w:r>
              <w:rPr>
                <w:rFonts w:ascii="Arial" w:cs="Arial" w:eastAsia="Arial" w:hAnsi="Arial"/>
                <w:sz w:val="18"/>
                <w:szCs w:val="18"/>
                <w:color w:val="auto"/>
              </w:rPr>
              <w:t>Three Months Ended December</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rPr>
              <w:t>Twelve Months Ended December</w:t>
            </w:r>
          </w:p>
        </w:tc>
      </w:tr>
      <w:tr>
        <w:trPr>
          <w:trHeight w:val="250"/>
        </w:trPr>
        <w:tc>
          <w:tcPr>
            <w:tcW w:w="5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auto"/>
            </w:tcBorders>
          </w:tcPr>
          <w:p>
            <w:pPr>
              <w:spacing w:after="0"/>
              <w:rPr>
                <w:sz w:val="21"/>
                <w:szCs w:val="21"/>
                <w:color w:val="auto"/>
              </w:rPr>
            </w:pPr>
          </w:p>
        </w:tc>
      </w:tr>
      <w:tr>
        <w:trPr>
          <w:trHeight w:val="237"/>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r>
      <w:tr>
        <w:trPr>
          <w:trHeight w:val="211"/>
        </w:trPr>
        <w:tc>
          <w:tcPr>
            <w:tcW w:w="5260" w:type="dxa"/>
            <w:vAlign w:val="bottom"/>
          </w:tcPr>
          <w:p>
            <w:pPr>
              <w:spacing w:after="0"/>
              <w:rPr>
                <w:sz w:val="20"/>
                <w:szCs w:val="20"/>
                <w:color w:val="auto"/>
              </w:rPr>
            </w:pPr>
            <w:r>
              <w:rPr>
                <w:rFonts w:ascii="Arial" w:cs="Arial" w:eastAsia="Arial" w:hAnsi="Arial"/>
                <w:sz w:val="18"/>
                <w:szCs w:val="18"/>
                <w:b w:val="1"/>
                <w:bCs w:val="1"/>
                <w:color w:val="auto"/>
              </w:rPr>
              <w:t>Reconciliation of Non-GAAP 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260" w:type="dxa"/>
            <w:vAlign w:val="bottom"/>
          </w:tcPr>
          <w:p>
            <w:pPr>
              <w:ind w:left="120"/>
              <w:spacing w:after="0"/>
              <w:rPr>
                <w:sz w:val="20"/>
                <w:szCs w:val="20"/>
                <w:color w:val="auto"/>
              </w:rPr>
            </w:pPr>
            <w:r>
              <w:rPr>
                <w:rFonts w:ascii="Arial" w:cs="Arial" w:eastAsia="Arial" w:hAnsi="Arial"/>
                <w:sz w:val="18"/>
                <w:szCs w:val="18"/>
                <w:color w:val="auto"/>
              </w:rPr>
              <w:t>GAAP 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19,290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70,814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69,294</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(7,511)</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research and development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61,574</w:t>
            </w:r>
          </w:p>
        </w:tc>
      </w:tr>
      <w:tr>
        <w:trPr>
          <w:trHeight w:val="366"/>
        </w:trPr>
        <w:tc>
          <w:tcPr>
            <w:tcW w:w="5260" w:type="dxa"/>
            <w:vAlign w:val="bottom"/>
          </w:tcPr>
          <w:p>
            <w:pPr>
              <w:ind w:left="120"/>
              <w:spacing w:after="0"/>
              <w:rPr>
                <w:sz w:val="20"/>
                <w:szCs w:val="20"/>
                <w:color w:val="auto"/>
              </w:rPr>
            </w:pPr>
            <w:r>
              <w:rPr>
                <w:rFonts w:ascii="Arial" w:cs="Arial" w:eastAsia="Arial" w:hAnsi="Arial"/>
                <w:sz w:val="18"/>
                <w:szCs w:val="18"/>
                <w:color w:val="auto"/>
              </w:rPr>
              <w:t>GAAP sales and marketing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25,940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24,824</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100,165</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95,434</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(6,897)</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sales and marketing</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91,848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87,326</w:t>
            </w:r>
          </w:p>
        </w:tc>
      </w:tr>
      <w:tr>
        <w:trPr>
          <w:trHeight w:val="366"/>
        </w:trPr>
        <w:tc>
          <w:tcPr>
            <w:tcW w:w="5260" w:type="dxa"/>
            <w:vAlign w:val="bottom"/>
          </w:tcPr>
          <w:p>
            <w:pPr>
              <w:ind w:left="120"/>
              <w:spacing w:after="0"/>
              <w:rPr>
                <w:sz w:val="20"/>
                <w:szCs w:val="20"/>
                <w:color w:val="auto"/>
              </w:rPr>
            </w:pPr>
            <w:r>
              <w:rPr>
                <w:rFonts w:ascii="Arial" w:cs="Arial" w:eastAsia="Arial" w:hAnsi="Arial"/>
                <w:sz w:val="18"/>
                <w:szCs w:val="18"/>
                <w:color w:val="auto"/>
              </w:rPr>
              <w:t>GAAP 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17,367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26,913</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110,784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110,610</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(19,522)</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(5,862)</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general and administrative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78,662</w:t>
            </w:r>
          </w:p>
        </w:tc>
      </w:tr>
      <w:tr>
        <w:trPr>
          <w:trHeight w:val="366"/>
        </w:trPr>
        <w:tc>
          <w:tcPr>
            <w:tcW w:w="5260" w:type="dxa"/>
            <w:vAlign w:val="bottom"/>
          </w:tcPr>
          <w:p>
            <w:pPr>
              <w:ind w:left="120"/>
              <w:spacing w:after="0"/>
              <w:rPr>
                <w:sz w:val="20"/>
                <w:szCs w:val="20"/>
                <w:color w:val="auto"/>
              </w:rPr>
            </w:pPr>
            <w:r>
              <w:rPr>
                <w:rFonts w:ascii="Arial" w:cs="Arial" w:eastAsia="Arial" w:hAnsi="Arial"/>
                <w:sz w:val="18"/>
                <w:szCs w:val="18"/>
                <w:color w:val="auto"/>
              </w:rPr>
              <w:t>GAAP total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64,778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74,579</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304,755</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282,003</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(3,297)</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(33,930)</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(6,571)</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total operating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227,562</w:t>
            </w:r>
          </w:p>
        </w:tc>
      </w:tr>
    </w:tbl>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1.Includes transaction-related expenses and post-combination compensation expenses. For the three months ended December 31,</w:t>
      </w:r>
    </w:p>
    <w:p>
      <w:pPr>
        <w:ind w:left="160"/>
        <w:spacing w:after="0" w:line="219" w:lineRule="auto"/>
        <w:rPr>
          <w:sz w:val="20"/>
          <w:szCs w:val="20"/>
          <w:color w:val="auto"/>
        </w:rPr>
      </w:pPr>
      <w:r>
        <w:rPr>
          <w:rFonts w:ascii="Arial" w:cs="Arial" w:eastAsia="Arial" w:hAnsi="Arial"/>
          <w:sz w:val="18"/>
          <w:szCs w:val="18"/>
          <w:color w:val="auto"/>
        </w:rPr>
        <w:t>2025, adjustments consist primarily of transaction-related expenses associated with contingent consideration related to the</w:t>
      </w:r>
    </w:p>
    <w:p>
      <w:pPr>
        <w:ind w:left="160" w:right="260"/>
        <w:spacing w:after="0" w:line="221" w:lineRule="auto"/>
        <w:rPr>
          <w:sz w:val="20"/>
          <w:szCs w:val="20"/>
          <w:color w:val="auto"/>
        </w:rPr>
      </w:pPr>
      <w:r>
        <w:rPr>
          <w:rFonts w:ascii="Arial" w:cs="Arial" w:eastAsia="Arial" w:hAnsi="Arial"/>
          <w:sz w:val="17"/>
          <w:szCs w:val="17"/>
          <w:color w:val="auto"/>
        </w:rPr>
        <w:t>NanoString Technologies, Inc. ("NanoString") transaction ($0.7 million) and contingent consideration associated with the C2i Genomics acquisition ($11.9 million). For the three months ended December 31, 2024, adjustments consist primarily of transaction-related expenses associated with the acquisition of C2i Genomics ($1.0 million). For the twelve months ended December 31, 2025,</w:t>
      </w:r>
    </w:p>
    <w:p>
      <w:pPr>
        <w:ind w:left="160" w:right="60"/>
        <w:spacing w:after="0" w:line="221" w:lineRule="auto"/>
        <w:rPr>
          <w:sz w:val="20"/>
          <w:szCs w:val="20"/>
          <w:color w:val="auto"/>
        </w:rPr>
      </w:pPr>
      <w:r>
        <w:rPr>
          <w:rFonts w:ascii="Arial" w:cs="Arial" w:eastAsia="Arial" w:hAnsi="Arial"/>
          <w:sz w:val="18"/>
          <w:szCs w:val="18"/>
          <w:color w:val="auto"/>
        </w:rPr>
        <w:t>adjustments consist primarily of transaction-related expenses associated with the acquisition of C2i Genomics ($10.3 million) and NanoString contingent consideration ($1.7 million). For the twelve months ended December 31, 2024, adjustments consist primarily of transaction-related expenses associated with the acquisition of C2i Genomics.</w:t>
      </w:r>
    </w:p>
    <w:p>
      <w:pPr>
        <w:spacing w:after="0" w:line="4" w:lineRule="exact"/>
        <w:rPr>
          <w:sz w:val="20"/>
          <w:szCs w:val="20"/>
          <w:color w:val="auto"/>
        </w:rPr>
      </w:pPr>
    </w:p>
    <w:p>
      <w:pPr>
        <w:ind w:left="160" w:right="260" w:hanging="161"/>
        <w:spacing w:after="0" w:line="234" w:lineRule="auto"/>
        <w:rPr>
          <w:sz w:val="20"/>
          <w:szCs w:val="20"/>
          <w:color w:val="auto"/>
        </w:rPr>
      </w:pPr>
      <w:r>
        <w:rPr>
          <w:rFonts w:ascii="Arial" w:cs="Arial" w:eastAsia="Arial" w:hAnsi="Arial"/>
          <w:sz w:val="17"/>
          <w:szCs w:val="17"/>
          <w:color w:val="auto"/>
        </w:rPr>
        <w:t>2.For the three months ended December 31, 2025, adjustments primarily include expenses related to the restructuring and liquidation proceedings of Veracyte SAS ($1.1 million) and other legal proceedings ($0.2 million). For the three months ended December 31,</w:t>
      </w:r>
    </w:p>
    <w:p>
      <w:pPr>
        <w:spacing w:after="0" w:line="1" w:lineRule="exact"/>
        <w:rPr>
          <w:sz w:val="20"/>
          <w:szCs w:val="20"/>
          <w:color w:val="auto"/>
        </w:rPr>
      </w:pPr>
    </w:p>
    <w:p>
      <w:pPr>
        <w:ind w:left="160" w:right="60"/>
        <w:spacing w:after="0" w:line="221" w:lineRule="auto"/>
        <w:rPr>
          <w:sz w:val="20"/>
          <w:szCs w:val="20"/>
          <w:color w:val="auto"/>
        </w:rPr>
      </w:pPr>
      <w:r>
        <w:rPr>
          <w:rFonts w:ascii="Arial" w:cs="Arial" w:eastAsia="Arial" w:hAnsi="Arial"/>
          <w:sz w:val="17"/>
          <w:szCs w:val="17"/>
          <w:color w:val="auto"/>
        </w:rPr>
        <w:t>2024, adjustments primarily include expense related to Veracyte SAS site investment review ($3.2 million) and expense related to the impairment charge associated with HalioDx ($2.7 million). For the twelve months ended December 31, 2025, adjustments include additional expenses related to Veracyte SAS impairment loss ($20.5 million), the restructuring and liquidation proceedings of Veracyte</w:t>
      </w:r>
    </w:p>
    <w:p>
      <w:pPr>
        <w:ind w:left="160" w:right="220"/>
        <w:spacing w:after="0" w:line="208" w:lineRule="auto"/>
        <w:rPr>
          <w:sz w:val="20"/>
          <w:szCs w:val="20"/>
          <w:color w:val="auto"/>
        </w:rPr>
      </w:pPr>
      <w:r>
        <w:rPr>
          <w:rFonts w:ascii="Arial" w:cs="Arial" w:eastAsia="Arial" w:hAnsi="Arial"/>
          <w:sz w:val="18"/>
          <w:szCs w:val="18"/>
          <w:color w:val="auto"/>
        </w:rPr>
        <w:t>SAS ($ 8.7 million), and other legal proceedings ($0.8 million), partially offset by adjustments related to vendor legal settlement ($2.8 million) and restructuring costs ($0.1 million). For the twelve months ended December 31, 2024, adjustments primarily include expense related to restructuring costs associated with a reduction in our Biopharmaceutical and Other segment and with portfolio</w:t>
      </w:r>
    </w:p>
    <w:p>
      <w:pPr>
        <w:spacing w:after="0" w:line="2" w:lineRule="exact"/>
        <w:rPr>
          <w:sz w:val="20"/>
          <w:szCs w:val="20"/>
          <w:color w:val="auto"/>
        </w:rPr>
      </w:pPr>
    </w:p>
    <w:p>
      <w:pPr>
        <w:ind w:left="160" w:right="160"/>
        <w:spacing w:after="0" w:line="229" w:lineRule="auto"/>
        <w:rPr>
          <w:sz w:val="20"/>
          <w:szCs w:val="20"/>
          <w:color w:val="auto"/>
        </w:rPr>
      </w:pPr>
      <w:r>
        <w:rPr>
          <w:rFonts w:ascii="Arial" w:cs="Arial" w:eastAsia="Arial" w:hAnsi="Arial"/>
          <w:sz w:val="18"/>
          <w:szCs w:val="18"/>
          <w:color w:val="auto"/>
        </w:rPr>
        <w:t>prioritization, expense related to Veracyte SAS site investment review and expense related to the impairment charge associated with HalioDx.</w:t>
      </w:r>
    </w:p>
    <w:p>
      <w:pPr>
        <w:sectPr>
          <w:pgSz w:w="11900" w:h="16838" w:orient="portrait"/>
          <w:cols w:equalWidth="0" w:num="1">
            <w:col w:w="10860"/>
          </w:cols>
          <w:pgMar w:left="340" w:top="931" w:right="6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20" w:type="dxa"/>
            <w:vAlign w:val="bottom"/>
          </w:tcPr>
          <w:p>
            <w:pPr>
              <w:spacing w:after="0"/>
              <w:rPr>
                <w:sz w:val="21"/>
                <w:szCs w:val="21"/>
                <w:color w:val="auto"/>
              </w:rPr>
            </w:pPr>
          </w:p>
        </w:tc>
        <w:tc>
          <w:tcPr>
            <w:tcW w:w="3120" w:type="dxa"/>
            <w:vAlign w:val="bottom"/>
            <w:gridSpan w:val="6"/>
          </w:tcPr>
          <w:p>
            <w:pPr>
              <w:ind w:left="100"/>
              <w:spacing w:after="0"/>
              <w:rPr>
                <w:sz w:val="20"/>
                <w:szCs w:val="20"/>
                <w:color w:val="auto"/>
              </w:rPr>
            </w:pPr>
            <w:r>
              <w:rPr>
                <w:rFonts w:ascii="Arial" w:cs="Arial" w:eastAsia="Arial" w:hAnsi="Arial"/>
                <w:sz w:val="18"/>
                <w:szCs w:val="18"/>
                <w:color w:val="auto"/>
              </w:rPr>
              <w:t>Three Months Ended December 31</w:t>
            </w:r>
          </w:p>
        </w:tc>
        <w:tc>
          <w:tcPr>
            <w:tcW w:w="3020" w:type="dxa"/>
            <w:vAlign w:val="bottom"/>
            <w:gridSpan w:val="5"/>
          </w:tcPr>
          <w:p>
            <w:pPr>
              <w:jc w:val="right"/>
              <w:spacing w:after="0"/>
              <w:rPr>
                <w:sz w:val="20"/>
                <w:szCs w:val="20"/>
                <w:color w:val="auto"/>
              </w:rPr>
            </w:pPr>
            <w:r>
              <w:rPr>
                <w:rFonts w:ascii="Arial" w:cs="Arial" w:eastAsia="Arial" w:hAnsi="Arial"/>
                <w:sz w:val="18"/>
                <w:szCs w:val="18"/>
                <w:color w:val="auto"/>
              </w:rPr>
              <w:t>Twelve Months Ended December 31</w:t>
            </w:r>
          </w:p>
        </w:tc>
      </w:tr>
      <w:tr>
        <w:trPr>
          <w:trHeight w:val="237"/>
        </w:trPr>
        <w:tc>
          <w:tcPr>
            <w:tcW w:w="4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r>
      <w:tr>
        <w:trPr>
          <w:trHeight w:val="211"/>
        </w:trPr>
        <w:tc>
          <w:tcPr>
            <w:tcW w:w="4720" w:type="dxa"/>
            <w:vAlign w:val="bottom"/>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720" w:type="dxa"/>
            <w:vAlign w:val="bottom"/>
          </w:tcPr>
          <w:p>
            <w:pPr>
              <w:ind w:left="120"/>
              <w:spacing w:after="0"/>
              <w:rPr>
                <w:sz w:val="20"/>
                <w:szCs w:val="20"/>
                <w:color w:val="auto"/>
              </w:rPr>
            </w:pPr>
            <w:r>
              <w:rPr>
                <w:rFonts w:ascii="Arial" w:cs="Arial" w:eastAsia="Arial" w:hAnsi="Arial"/>
                <w:sz w:val="18"/>
                <w:szCs w:val="18"/>
                <w:color w:val="auto"/>
              </w:rPr>
              <w:t>GAAP 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41,149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66,353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24,138</w:t>
            </w:r>
          </w:p>
        </w:tc>
      </w:tr>
      <w:tr>
        <w:trPr>
          <w:trHeight w:val="229"/>
        </w:trPr>
        <w:tc>
          <w:tcPr>
            <w:tcW w:w="4720" w:type="dxa"/>
            <w:vAlign w:val="bottom"/>
          </w:tcPr>
          <w:p>
            <w:pPr>
              <w:ind w:left="120"/>
              <w:spacing w:after="0"/>
              <w:rPr>
                <w:sz w:val="20"/>
                <w:szCs w:val="20"/>
                <w:color w:val="auto"/>
              </w:rPr>
            </w:pPr>
            <w:r>
              <w:rPr>
                <w:rFonts w:ascii="Arial" w:cs="Arial" w:eastAsia="Arial" w:hAnsi="Arial"/>
                <w:sz w:val="18"/>
                <w:szCs w:val="18"/>
                <w:color w:val="auto"/>
              </w:rPr>
              <w:t>GAAP Net Income (Loss) as a % of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13,153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14,849</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8,262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8,610</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10,901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43,601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36,249</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(11,971)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6,631</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Other expense (income), net (2)</w:t>
            </w: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(13,176)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(11,647)</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34,466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11,450</w:t>
            </w:r>
          </w:p>
        </w:tc>
      </w:tr>
      <w:tr>
        <w:trPr>
          <w:trHeight w:val="235"/>
        </w:trPr>
        <w:tc>
          <w:tcPr>
            <w:tcW w:w="472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1,606</w:t>
            </w:r>
          </w:p>
        </w:tc>
      </w:tr>
      <w:tr>
        <w:trPr>
          <w:trHeight w:val="223"/>
        </w:trPr>
        <w:tc>
          <w:tcPr>
            <w:tcW w:w="4720" w:type="dxa"/>
            <w:vAlign w:val="bottom"/>
          </w:tcPr>
          <w:p>
            <w:pPr>
              <w:ind w:left="1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42,312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26,125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142,536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91,886</w:t>
            </w:r>
          </w:p>
        </w:tc>
      </w:tr>
      <w:tr>
        <w:trPr>
          <w:trHeight w:val="232"/>
        </w:trPr>
        <w:tc>
          <w:tcPr>
            <w:tcW w:w="4720" w:type="dxa"/>
            <w:vAlign w:val="bottom"/>
          </w:tcPr>
          <w:p>
            <w:pPr>
              <w:ind w:left="120"/>
              <w:spacing w:after="0"/>
              <w:rPr>
                <w:sz w:val="20"/>
                <w:szCs w:val="20"/>
                <w:color w:val="auto"/>
              </w:rPr>
            </w:pPr>
            <w:r>
              <w:rPr>
                <w:rFonts w:ascii="Arial" w:cs="Arial" w:eastAsia="Arial" w:hAnsi="Arial"/>
                <w:sz w:val="18"/>
                <w:szCs w:val="18"/>
                <w:color w:val="auto"/>
              </w:rPr>
              <w:t>Adjusted EBITDA as a % of Revenue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471"/>
        </w:trPr>
        <w:tc>
          <w:tcPr>
            <w:tcW w:w="4720" w:type="dxa"/>
            <w:vAlign w:val="bottom"/>
          </w:tcPr>
          <w:p>
            <w:pPr>
              <w:spacing w:after="0"/>
              <w:rPr>
                <w:sz w:val="20"/>
                <w:szCs w:val="20"/>
                <w:color w:val="auto"/>
              </w:rPr>
            </w:pPr>
            <w:r>
              <w:rPr>
                <w:rFonts w:ascii="Arial" w:cs="Arial" w:eastAsia="Arial" w:hAnsi="Arial"/>
                <w:sz w:val="18"/>
                <w:szCs w:val="18"/>
                <w:b w:val="1"/>
                <w:bCs w:val="1"/>
                <w:color w:val="auto"/>
              </w:rPr>
              <w:t>Reconciliation of Non-GAAP Net Income (Loss)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720" w:type="dxa"/>
            <w:vAlign w:val="bottom"/>
          </w:tcPr>
          <w:p>
            <w:pPr>
              <w:ind w:left="120"/>
              <w:spacing w:after="0"/>
              <w:rPr>
                <w:sz w:val="20"/>
                <w:szCs w:val="20"/>
                <w:color w:val="auto"/>
              </w:rPr>
            </w:pPr>
            <w:r>
              <w:rPr>
                <w:rFonts w:ascii="Arial" w:cs="Arial" w:eastAsia="Arial" w:hAnsi="Arial"/>
                <w:sz w:val="18"/>
                <w:szCs w:val="18"/>
                <w:color w:val="auto"/>
              </w:rPr>
              <w:t>GAAP 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41,149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66,353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24,138</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13,153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14,849</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10,901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43,601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36,249</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(11,971)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6,631</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34,466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11,450</w:t>
            </w:r>
          </w:p>
        </w:tc>
      </w:tr>
      <w:tr>
        <w:trPr>
          <w:trHeight w:val="235"/>
        </w:trPr>
        <w:tc>
          <w:tcPr>
            <w:tcW w:w="4720" w:type="dxa"/>
            <w:vAlign w:val="bottom"/>
          </w:tcPr>
          <w:p>
            <w:pPr>
              <w:ind w:left="220"/>
              <w:spacing w:after="0"/>
              <w:rPr>
                <w:sz w:val="20"/>
                <w:szCs w:val="20"/>
                <w:color w:val="auto"/>
              </w:rPr>
            </w:pPr>
            <w:r>
              <w:rPr>
                <w:rFonts w:ascii="Arial" w:cs="Arial" w:eastAsia="Arial" w:hAnsi="Arial"/>
                <w:sz w:val="18"/>
                <w:szCs w:val="18"/>
                <w:color w:val="auto"/>
              </w:rPr>
              <w:t>Tax adjustments (4)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(349)</w:t>
            </w:r>
          </w:p>
        </w:tc>
      </w:tr>
      <w:tr>
        <w:trPr>
          <w:trHeight w:val="223"/>
        </w:trPr>
        <w:tc>
          <w:tcPr>
            <w:tcW w:w="4720" w:type="dxa"/>
            <w:vAlign w:val="bottom"/>
          </w:tcPr>
          <w:p>
            <w:pPr>
              <w:ind w:left="120"/>
              <w:spacing w:after="0"/>
              <w:rPr>
                <w:sz w:val="20"/>
                <w:szCs w:val="20"/>
                <w:color w:val="auto"/>
              </w:rPr>
            </w:pPr>
            <w:r>
              <w:rPr>
                <w:rFonts w:ascii="Arial" w:cs="Arial" w:eastAsia="Arial" w:hAnsi="Arial"/>
                <w:sz w:val="18"/>
                <w:szCs w:val="18"/>
                <w:color w:val="auto"/>
              </w:rPr>
              <w:t>Non-GAAP 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42,815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28,949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143,205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92,968</w:t>
            </w:r>
          </w:p>
        </w:tc>
      </w:tr>
      <w:tr>
        <w:trPr>
          <w:trHeight w:val="461"/>
        </w:trPr>
        <w:tc>
          <w:tcPr>
            <w:tcW w:w="4720" w:type="dxa"/>
            <w:vAlign w:val="bottom"/>
          </w:tcPr>
          <w:p>
            <w:pPr>
              <w:spacing w:after="0"/>
              <w:rPr>
                <w:sz w:val="20"/>
                <w:szCs w:val="20"/>
                <w:color w:val="auto"/>
              </w:rPr>
            </w:pPr>
            <w:r>
              <w:rPr>
                <w:rFonts w:ascii="Arial" w:cs="Arial" w:eastAsia="Arial" w:hAnsi="Arial"/>
                <w:sz w:val="18"/>
                <w:szCs w:val="18"/>
                <w:b w:val="1"/>
                <w:bCs w:val="1"/>
                <w:color w:val="auto"/>
              </w:rPr>
              <w:t>Reconciliation of Non-GAAP Earnings per Share</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9"/>
        </w:trPr>
        <w:tc>
          <w:tcPr>
            <w:tcW w:w="4720" w:type="dxa"/>
            <w:vAlign w:val="bottom"/>
          </w:tcPr>
          <w:p>
            <w:pPr>
              <w:ind w:left="120"/>
              <w:spacing w:after="0"/>
              <w:rPr>
                <w:sz w:val="20"/>
                <w:szCs w:val="20"/>
                <w:color w:val="auto"/>
              </w:rPr>
            </w:pPr>
            <w:r>
              <w:rPr>
                <w:rFonts w:ascii="Arial" w:cs="Arial" w:eastAsia="Arial" w:hAnsi="Arial"/>
                <w:sz w:val="18"/>
                <w:szCs w:val="18"/>
                <w:color w:val="auto"/>
              </w:rPr>
              <w:t>Diluted earnings per share, GAAP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0.31</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0.19</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0.46</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0.08</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0.15</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Tax adjustments (4)</w:t>
            </w: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5"/>
        </w:trPr>
        <w:tc>
          <w:tcPr>
            <w:tcW w:w="4720" w:type="dxa"/>
            <w:vAlign w:val="bottom"/>
          </w:tcPr>
          <w:p>
            <w:pPr>
              <w:ind w:left="220"/>
              <w:spacing w:after="0"/>
              <w:rPr>
                <w:sz w:val="20"/>
                <w:szCs w:val="20"/>
                <w:color w:val="auto"/>
              </w:rPr>
            </w:pPr>
            <w:r>
              <w:rPr>
                <w:rFonts w:ascii="Arial" w:cs="Arial" w:eastAsia="Arial" w:hAnsi="Arial"/>
                <w:sz w:val="18"/>
                <w:szCs w:val="18"/>
                <w:color w:val="auto"/>
              </w:rPr>
              <w:t>Rounding and impact of dilutive shares</w:t>
            </w:r>
          </w:p>
        </w:tc>
        <w:tc>
          <w:tcPr>
            <w:tcW w:w="2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Pr>
          <w:p>
            <w:pPr>
              <w:ind w:left="120"/>
              <w:spacing w:after="0"/>
              <w:rPr>
                <w:sz w:val="20"/>
                <w:szCs w:val="20"/>
                <w:color w:val="auto"/>
              </w:rPr>
            </w:pPr>
            <w:r>
              <w:rPr>
                <w:rFonts w:ascii="Arial" w:cs="Arial" w:eastAsia="Arial" w:hAnsi="Arial"/>
                <w:sz w:val="18"/>
                <w:szCs w:val="18"/>
                <w:color w:val="auto"/>
              </w:rPr>
              <w:t>Diluted earnings per share, non-GAAP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1.19</w:t>
            </w:r>
          </w:p>
        </w:tc>
      </w:tr>
      <w:tr>
        <w:trPr>
          <w:trHeight w:val="412"/>
        </w:trPr>
        <w:tc>
          <w:tcPr>
            <w:tcW w:w="4720" w:type="dxa"/>
            <w:vAlign w:val="bottom"/>
          </w:tcPr>
          <w:p>
            <w:pPr>
              <w:ind w:left="120"/>
              <w:spacing w:after="0"/>
              <w:rPr>
                <w:sz w:val="20"/>
                <w:szCs w:val="20"/>
                <w:color w:val="auto"/>
              </w:rPr>
            </w:pPr>
            <w:r>
              <w:rPr>
                <w:rFonts w:ascii="Arial" w:cs="Arial" w:eastAsia="Arial" w:hAnsi="Arial"/>
                <w:sz w:val="18"/>
                <w:szCs w:val="18"/>
                <w:color w:val="auto"/>
              </w:rPr>
              <w:t>Weighted average shares outstanding used in computing</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4720" w:type="dxa"/>
            <w:vAlign w:val="bottom"/>
          </w:tcPr>
          <w:p>
            <w:pPr>
              <w:ind w:left="1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Diluted, GAAP</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81,387,089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79,905,412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80,573,140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78,163,217</w:t>
            </w:r>
          </w:p>
        </w:tc>
      </w:tr>
      <w:tr>
        <w:trPr>
          <w:trHeight w:val="235"/>
        </w:trPr>
        <w:tc>
          <w:tcPr>
            <w:tcW w:w="4720" w:type="dxa"/>
            <w:vAlign w:val="bottom"/>
          </w:tcPr>
          <w:p>
            <w:pPr>
              <w:ind w:left="220"/>
              <w:spacing w:after="0"/>
              <w:rPr>
                <w:sz w:val="20"/>
                <w:szCs w:val="20"/>
                <w:color w:val="auto"/>
              </w:rPr>
            </w:pPr>
            <w:r>
              <w:rPr>
                <w:rFonts w:ascii="Arial" w:cs="Arial" w:eastAsia="Arial" w:hAnsi="Arial"/>
                <w:sz w:val="18"/>
                <w:szCs w:val="18"/>
                <w:color w:val="auto"/>
              </w:rPr>
              <w:t>Dilutive effect of equity awards (5)</w:t>
            </w:r>
          </w:p>
        </w:tc>
        <w:tc>
          <w:tcPr>
            <w:tcW w:w="2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Pr>
          <w:p>
            <w:pPr>
              <w:ind w:left="220"/>
              <w:spacing w:after="0"/>
              <w:rPr>
                <w:sz w:val="20"/>
                <w:szCs w:val="20"/>
                <w:color w:val="auto"/>
              </w:rPr>
            </w:pPr>
            <w:r>
              <w:rPr>
                <w:rFonts w:ascii="Arial" w:cs="Arial" w:eastAsia="Arial" w:hAnsi="Arial"/>
                <w:sz w:val="18"/>
                <w:szCs w:val="18"/>
                <w:color w:val="auto"/>
              </w:rPr>
              <w:t>Diluted, non-GAAP</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81,387,089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79,905,412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80,573,140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78,163,217</w:t>
            </w:r>
          </w:p>
        </w:tc>
      </w:tr>
    </w:tbl>
    <w:p>
      <w:pPr>
        <w:sectPr>
          <w:pgSz w:w="11900" w:h="16838" w:orient="portrait"/>
          <w:cols w:equalWidth="0" w:num="1">
            <w:col w:w="10860"/>
          </w:cols>
          <w:pgMar w:left="340" w:top="931" w:right="69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color w:val="auto"/>
        </w:rPr>
        <w:t>1.Includes transaction-related expenses and post-combination compensation expenses. For the three months ended December 31,</w:t>
      </w:r>
    </w:p>
    <w:p>
      <w:pPr>
        <w:ind w:left="180"/>
        <w:spacing w:after="0" w:line="219" w:lineRule="auto"/>
        <w:rPr>
          <w:sz w:val="20"/>
          <w:szCs w:val="20"/>
          <w:color w:val="auto"/>
        </w:rPr>
      </w:pPr>
      <w:r>
        <w:rPr>
          <w:rFonts w:ascii="Arial" w:cs="Arial" w:eastAsia="Arial" w:hAnsi="Arial"/>
          <w:sz w:val="18"/>
          <w:szCs w:val="18"/>
          <w:color w:val="auto"/>
        </w:rPr>
        <w:t>2025, adjustments consist primarily of transaction-related expenses associated with contingent consideration related to NanoString</w:t>
      </w:r>
    </w:p>
    <w:p>
      <w:pPr>
        <w:ind w:left="180" w:right="320"/>
        <w:spacing w:after="0" w:line="221" w:lineRule="auto"/>
        <w:rPr>
          <w:sz w:val="20"/>
          <w:szCs w:val="20"/>
          <w:color w:val="auto"/>
        </w:rPr>
      </w:pPr>
      <w:r>
        <w:rPr>
          <w:rFonts w:ascii="Arial" w:cs="Arial" w:eastAsia="Arial" w:hAnsi="Arial"/>
          <w:sz w:val="17"/>
          <w:szCs w:val="17"/>
          <w:color w:val="auto"/>
        </w:rPr>
        <w:t>($0.7 million) and contingent consideration associated with the acquisition of C2i Genomics ($11.9 million). For the three months ended December 31, 2024, adjustments consist primarily of transaction-related expenses associated with the acquisition of C2i Genomics ($1.0 million). For the twelve months ended December 31, 2025, adjustments consist primarily of additional transaction-</w:t>
      </w:r>
    </w:p>
    <w:p>
      <w:pPr>
        <w:ind w:left="180" w:right="200"/>
        <w:spacing w:after="0" w:line="221" w:lineRule="auto"/>
        <w:rPr>
          <w:sz w:val="20"/>
          <w:szCs w:val="20"/>
          <w:color w:val="auto"/>
        </w:rPr>
      </w:pPr>
      <w:r>
        <w:rPr>
          <w:rFonts w:ascii="Arial" w:cs="Arial" w:eastAsia="Arial" w:hAnsi="Arial"/>
          <w:sz w:val="18"/>
          <w:szCs w:val="18"/>
          <w:color w:val="auto"/>
        </w:rPr>
        <w:t>related expenses associated with the NanoString contingent consideration ($1.0 million) partially offset by expenses associated with the acquisition of C2i Genomics ($1.6 million). For the twelve months ended December 31, 2024, adjustments consist primarily of transaction-related expenses associated with the acquisition of C2i Genomics.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2.Includes interest income and income related to research tax credits.</w:t>
      </w:r>
    </w:p>
    <w:p>
      <w:pPr>
        <w:spacing w:after="0" w:line="32" w:lineRule="exact"/>
        <w:rPr>
          <w:sz w:val="20"/>
          <w:szCs w:val="20"/>
          <w:color w:val="auto"/>
        </w:rPr>
      </w:pPr>
    </w:p>
    <w:p>
      <w:pPr>
        <w:ind w:left="180" w:right="240" w:hanging="161"/>
        <w:spacing w:after="0" w:line="229" w:lineRule="auto"/>
        <w:rPr>
          <w:sz w:val="20"/>
          <w:szCs w:val="20"/>
          <w:color w:val="auto"/>
        </w:rPr>
      </w:pPr>
      <w:r>
        <w:rPr>
          <w:rFonts w:ascii="Arial" w:cs="Arial" w:eastAsia="Arial" w:hAnsi="Arial"/>
          <w:sz w:val="17"/>
          <w:szCs w:val="17"/>
          <w:color w:val="auto"/>
        </w:rPr>
        <w:t>3.For the three months ended December 31, 2025, adjustments primarily include expenses related to the restructuring and liquidation proceedings of Veracyte SAS ($1.4 million) and other legal proceedings ($0.2 million). For the three months ended December 31,</w:t>
      </w:r>
    </w:p>
    <w:p>
      <w:pPr>
        <w:ind w:left="180" w:right="220"/>
        <w:spacing w:after="0" w:line="221" w:lineRule="auto"/>
        <w:rPr>
          <w:sz w:val="20"/>
          <w:szCs w:val="20"/>
          <w:color w:val="auto"/>
        </w:rPr>
      </w:pPr>
      <w:r>
        <w:rPr>
          <w:rFonts w:ascii="Arial" w:cs="Arial" w:eastAsia="Arial" w:hAnsi="Arial"/>
          <w:sz w:val="17"/>
          <w:szCs w:val="17"/>
          <w:color w:val="auto"/>
        </w:rPr>
        <w:t>2024, adjustments primarily include the exclusion of unrealized losses associated with foreign exchange impacts on stock-based compensation and intercompany loans ($1.9 million), expense related to Veracyte SAS site investment review ($3.2 million) and expense related to the impairment charge associated with HalioDx ($2.7 million). For the twelve months ended December 31, 2025,</w:t>
      </w:r>
    </w:p>
    <w:p>
      <w:pPr>
        <w:ind w:left="180" w:right="220"/>
        <w:spacing w:after="0" w:line="221" w:lineRule="auto"/>
        <w:rPr>
          <w:sz w:val="20"/>
          <w:szCs w:val="20"/>
          <w:color w:val="auto"/>
        </w:rPr>
      </w:pPr>
      <w:r>
        <w:rPr>
          <w:rFonts w:ascii="Arial" w:cs="Arial" w:eastAsia="Arial" w:hAnsi="Arial"/>
          <w:sz w:val="17"/>
          <w:szCs w:val="17"/>
          <w:color w:val="auto"/>
        </w:rPr>
        <w:t>adjustments primarily include additional expense related to Veracyte SAS impairment loss ($20.5 million), Veracyte SAS investment review ($7.7 million), the exclusion of unrealized loss related to Veracyte SAS deconsolidation ($6.7 million), the restructuring and liquidation proceedings of Veracyte SAS ($2.4 million), and other legal proceedings ($0.8 million), partially offset by adjustments</w:t>
      </w:r>
    </w:p>
    <w:p>
      <w:pPr>
        <w:jc w:val="both"/>
        <w:ind w:left="180" w:right="320"/>
        <w:spacing w:after="0" w:line="221" w:lineRule="auto"/>
        <w:rPr>
          <w:sz w:val="20"/>
          <w:szCs w:val="20"/>
          <w:color w:val="auto"/>
        </w:rPr>
      </w:pPr>
      <w:r>
        <w:rPr>
          <w:rFonts w:ascii="Arial" w:cs="Arial" w:eastAsia="Arial" w:hAnsi="Arial"/>
          <w:sz w:val="17"/>
          <w:szCs w:val="17"/>
          <w:color w:val="auto"/>
        </w:rPr>
        <w:t>related to restructuring costs ($0.1 million), vendor legal settlement ($2.8 million), and the exclusion of unrealized gains associated with foreign exchange impacts on stock-based compensation and intercompany loans ($2.3 million). For the twelve months ended December 31, 2024, adjustments primarily include expense related to restructuring costs associated with a reduction in our</w:t>
      </w:r>
    </w:p>
    <w:p>
      <w:pPr>
        <w:ind w:left="180" w:right="420"/>
        <w:spacing w:after="0" w:line="221" w:lineRule="auto"/>
        <w:rPr>
          <w:sz w:val="20"/>
          <w:szCs w:val="20"/>
          <w:color w:val="auto"/>
        </w:rPr>
      </w:pPr>
      <w:r>
        <w:rPr>
          <w:rFonts w:ascii="Arial" w:cs="Arial" w:eastAsia="Arial" w:hAnsi="Arial"/>
          <w:sz w:val="18"/>
          <w:szCs w:val="18"/>
          <w:color w:val="auto"/>
        </w:rPr>
        <w:t>Biopharmaceutical and Other segment and with portfolio prioritization, expense related to Veracyte SAS site investment review, expense related to the impairment charge associated with HalioDx and the exclusion of unrealized losses associated with foreign exchange impacts on stock-based compensation and intercompany loans.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4.Incremental non-GAAP tax expense reflects the tax impact of the non-GAAP adjustments listed.</w:t>
      </w:r>
    </w:p>
    <w:p>
      <w:pPr>
        <w:spacing w:after="0" w:line="32" w:lineRule="exact"/>
        <w:rPr>
          <w:sz w:val="20"/>
          <w:szCs w:val="20"/>
          <w:color w:val="auto"/>
        </w:rPr>
      </w:pPr>
    </w:p>
    <w:p>
      <w:pPr>
        <w:ind w:left="180" w:hanging="161"/>
        <w:spacing w:after="0" w:line="229" w:lineRule="auto"/>
        <w:rPr>
          <w:sz w:val="20"/>
          <w:szCs w:val="20"/>
          <w:color w:val="auto"/>
        </w:rPr>
      </w:pPr>
      <w:r>
        <w:rPr>
          <w:rFonts w:ascii="Arial" w:cs="Arial" w:eastAsia="Arial" w:hAnsi="Arial"/>
          <w:sz w:val="17"/>
          <w:szCs w:val="17"/>
          <w:color w:val="auto"/>
        </w:rPr>
        <w:t>5.In those periods in which GAAP net (loss) income is negative and non-GAAP net (loss) income is positive, non-GAAP diluted weighted average shares outstanding includes potentially dilutive common shares from equity awards as determined using the treasury stock</w:t>
      </w:r>
    </w:p>
    <w:p>
      <w:pPr>
        <w:ind w:left="180"/>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Molly Cornbleet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media@veracyte.com</w:t>
      </w:r>
    </w:p>
    <w:sectPr>
      <w:pgSz w:w="11900" w:h="16838" w:orient="portrait"/>
      <w:cols w:equalWidth="0" w:num="1">
        <w:col w:w="10860"/>
      </w:cols>
      <w:pgMar w:left="320" w:top="91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2026-02-25T15:24:33Z</dcterms:created>
  <dcterms:modified xsi:type="dcterms:W3CDTF">2026-02-25T15:24:33Z</dcterms:modified>
</cp:coreProperties>
</file>