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20"/>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ind w:right="620"/>
        <w:spacing w:after="0"/>
        <w:rPr>
          <w:sz w:val="20"/>
          <w:szCs w:val="20"/>
          <w:color w:val="auto"/>
        </w:rPr>
      </w:pPr>
      <w:r>
        <w:rPr>
          <w:rFonts w:ascii="Arial" w:cs="Arial" w:eastAsia="Arial" w:hAnsi="Arial"/>
          <w:sz w:val="18"/>
          <w:szCs w:val="18"/>
          <w:color w:val="auto"/>
        </w:rPr>
        <w:t>Registration Statement No. 333-204368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22, 2016)</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4,907,975 Shares</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firstLine="648"/>
        <w:spacing w:after="0" w:line="273" w:lineRule="auto"/>
        <w:rPr>
          <w:sz w:val="20"/>
          <w:szCs w:val="20"/>
          <w:color w:val="auto"/>
        </w:rPr>
      </w:pPr>
      <w:r>
        <w:rPr>
          <w:rFonts w:ascii="Arial" w:cs="Arial" w:eastAsia="Arial" w:hAnsi="Arial"/>
          <w:sz w:val="17"/>
          <w:szCs w:val="17"/>
          <w:color w:val="auto"/>
        </w:rPr>
        <w:t>This prospectus supplement amends and supplements the prospectus dated March 22, 2016 (the “Prospectus”), as supplemented by that certain Prospectus Supplement No. 1 dated March 28, 2016 (“Supplement No. 1”) and that certain Prospectus Supplement No. 2 dated March 30, 2016 (“Supplement No. 2”), which form a part of our Registration Statement on Form S-1 (Registration Statement No. 333-204368). This prospectus supplement is being filed to update and supplement the information included or incorporated by reference in the Prospectus, Supplement No. 1 and Supplement No. 2 with the information contained in our Quarterly Report on Form 10-Q for the quarter ended March 31, 2016, filed with the Securities and Exchange Commission on May 5, 2016 (the “Form 10-Q”). Accordingly, we have attached the Form 10-Q to this prospectus supplement.</w:t>
      </w:r>
    </w:p>
    <w:p>
      <w:pPr>
        <w:spacing w:after="0" w:line="178" w:lineRule="exact"/>
        <w:rPr>
          <w:sz w:val="24"/>
          <w:szCs w:val="24"/>
          <w:color w:val="auto"/>
        </w:rPr>
      </w:pPr>
    </w:p>
    <w:p>
      <w:pPr>
        <w:ind w:right="660" w:firstLine="648"/>
        <w:spacing w:after="0" w:line="277" w:lineRule="auto"/>
        <w:rPr>
          <w:sz w:val="20"/>
          <w:szCs w:val="20"/>
          <w:color w:val="auto"/>
        </w:rPr>
      </w:pPr>
      <w:r>
        <w:rPr>
          <w:rFonts w:ascii="Arial" w:cs="Arial" w:eastAsia="Arial" w:hAnsi="Arial"/>
          <w:sz w:val="18"/>
          <w:szCs w:val="18"/>
          <w:color w:val="auto"/>
        </w:rPr>
        <w:t>The Prospectus, Supplement No. 1, Supplement No. 2 and this prospectus supplement relate to the offer and sale by the selling stockholders identified in the Prospectus of up to an aggregate of 4,907,975 shares of our common stock.</w:t>
      </w:r>
    </w:p>
    <w:p>
      <w:pPr>
        <w:spacing w:after="0" w:line="170" w:lineRule="exact"/>
        <w:rPr>
          <w:sz w:val="24"/>
          <w:szCs w:val="24"/>
          <w:color w:val="auto"/>
        </w:rPr>
      </w:pPr>
    </w:p>
    <w:p>
      <w:pPr>
        <w:ind w:right="540" w:firstLine="648"/>
        <w:spacing w:after="0" w:line="264" w:lineRule="auto"/>
        <w:rPr>
          <w:sz w:val="20"/>
          <w:szCs w:val="20"/>
          <w:color w:val="auto"/>
        </w:rPr>
      </w:pPr>
      <w:r>
        <w:rPr>
          <w:rFonts w:ascii="Arial" w:cs="Arial" w:eastAsia="Arial" w:hAnsi="Arial"/>
          <w:sz w:val="18"/>
          <w:szCs w:val="18"/>
          <w:color w:val="auto"/>
        </w:rPr>
        <w:t>This prospectus supplement should be read in conjunction with the Prospectus, Supplement No. 1 and Supplement No. 2. If there is any inconsistency between the information in the Prospectus, Supplement No. 1, Supplement No. 2 and this prospectus supplement, you should rely on the information in this prospectus supplement.</w:t>
      </w:r>
    </w:p>
    <w:p>
      <w:pPr>
        <w:spacing w:after="0" w:line="181" w:lineRule="exact"/>
        <w:rPr>
          <w:sz w:val="24"/>
          <w:szCs w:val="24"/>
          <w:color w:val="auto"/>
        </w:rPr>
      </w:pPr>
    </w:p>
    <w:p>
      <w:pPr>
        <w:ind w:right="620"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May 4, 2016, the last reported sale price of our common stock on The NASDAQ Global Market was $5.29 per share.</w:t>
      </w:r>
    </w:p>
    <w:p>
      <w:pPr>
        <w:spacing w:after="0" w:line="166" w:lineRule="exact"/>
        <w:rPr>
          <w:sz w:val="24"/>
          <w:szCs w:val="24"/>
          <w:color w:val="auto"/>
        </w:rPr>
      </w:pPr>
    </w:p>
    <w:p>
      <w:pPr>
        <w:ind w:right="840"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risks. See the section entitled “Risk Factors” beginning on page 2 of the Prospectus and in the documents we incorporate by reference in the Prospectus before making your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182880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both"/>
        <w:ind w:right="300" w:firstLine="648"/>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or the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The date of this prospectus supplement is May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3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2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00"/>
          </w:cols>
          <w:pgMar w:left="240" w:top="449" w:right="259" w:bottom="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Commission file number 001-36156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225425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0"/>
          <w:szCs w:val="20"/>
          <w:color w:val="auto"/>
        </w:rPr>
      </w:pPr>
    </w:p>
    <w:p>
      <w:pPr>
        <w:jc w:val="center"/>
        <w:ind w:right="216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2160"/>
        <w:spacing w:after="0"/>
        <w:rPr>
          <w:sz w:val="20"/>
          <w:szCs w:val="20"/>
          <w:color w:val="auto"/>
        </w:rPr>
      </w:pPr>
      <w:r>
        <w:rPr>
          <w:rFonts w:ascii="Arial" w:cs="Arial" w:eastAsia="Arial" w:hAnsi="Arial"/>
          <w:sz w:val="17"/>
          <w:szCs w:val="17"/>
          <w:color w:val="auto"/>
        </w:rPr>
        <w:t>Identification No.)</w:t>
      </w:r>
    </w:p>
    <w:p>
      <w:pPr>
        <w:spacing w:after="0" w:line="200" w:lineRule="exact"/>
        <w:rPr>
          <w:sz w:val="20"/>
          <w:szCs w:val="20"/>
          <w:color w:val="auto"/>
        </w:rPr>
      </w:pPr>
    </w:p>
    <w:p>
      <w:pPr>
        <w:sectPr>
          <w:pgSz w:w="11900" w:h="16838" w:orient="portrait"/>
          <w:cols w:equalWidth="0" w:num="2">
            <w:col w:w="7240" w:space="720"/>
            <w:col w:w="3500"/>
          </w:cols>
          <w:pgMar w:left="240" w:top="337" w:right="199" w:bottom="0" w:gutter="0" w:footer="0" w:header="0"/>
          <w:type w:val="continuous"/>
        </w:sectPr>
      </w:pP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6000 Shoreline Court, Suite 300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60"/>
          </w:cols>
          <w:pgMar w:left="240" w:top="337" w:right="199" w:bottom="0" w:gutter="0" w:footer="0" w:header="0"/>
          <w:type w:val="continuous"/>
        </w:sect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0"/>
          <w:szCs w:val="20"/>
          <w:color w:val="auto"/>
        </w:rPr>
      </w:pPr>
    </w:p>
    <w:p>
      <w:pPr>
        <w:ind w:right="180"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60"/>
          </w:cols>
          <w:pgMar w:left="240" w:top="337" w:right="199" w:bottom="0" w:gutter="0" w:footer="0" w:header="0"/>
          <w:type w:val="continuous"/>
        </w:sectPr>
      </w:pPr>
    </w:p>
    <w:p>
      <w:pPr>
        <w:spacing w:after="0" w:line="124"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0"/>
          <w:szCs w:val="20"/>
          <w:color w:val="auto"/>
        </w:rPr>
      </w:pPr>
    </w:p>
    <w:p>
      <w:pPr>
        <w:sectPr>
          <w:pgSz w:w="11900" w:h="16838" w:orient="portrait"/>
          <w:cols w:equalWidth="0" w:num="2">
            <w:col w:w="7720" w:space="720"/>
            <w:col w:w="3020"/>
          </w:cols>
          <w:pgMar w:left="240" w:top="337" w:right="199" w:bottom="0" w:gutter="0" w:footer="0" w:header="0"/>
          <w:type w:val="continuous"/>
        </w:sectPr>
      </w:pPr>
    </w:p>
    <w:p>
      <w:pPr>
        <w:spacing w:after="0" w:line="4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0"/>
          <w:szCs w:val="20"/>
          <w:color w:val="auto"/>
        </w:rPr>
      </w:pPr>
    </w:p>
    <w:p>
      <w:pPr>
        <w:sectPr>
          <w:pgSz w:w="11900" w:h="16838" w:orient="portrait"/>
          <w:cols w:equalWidth="0" w:num="2">
            <w:col w:w="7340" w:space="720"/>
            <w:col w:w="3400"/>
          </w:cols>
          <w:pgMar w:left="240" w:top="337" w:right="199" w:bottom="0" w:gutter="0" w:footer="0" w:header="0"/>
          <w:type w:val="continuous"/>
        </w:sectPr>
      </w:pP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April 29, 2016, there were </w:t>
      </w:r>
      <w:r>
        <w:rPr>
          <w:rFonts w:ascii="Arial" w:cs="Arial" w:eastAsia="Arial" w:hAnsi="Arial"/>
          <w:sz w:val="17"/>
          <w:szCs w:val="17"/>
          <w:color w:val="auto"/>
        </w:rPr>
        <w:t>27,858,317</w:t>
      </w:r>
      <w:r>
        <w:rPr>
          <w:rFonts w:ascii="Arial" w:cs="Arial" w:eastAsia="Arial" w:hAnsi="Arial"/>
          <w:sz w:val="18"/>
          <w:szCs w:val="18"/>
          <w:color w:val="auto"/>
        </w:rPr>
        <w:t xml:space="preserve">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300" w:type="dxa"/>
            <w:vAlign w:val="bottom"/>
            <w:gridSpan w:val="9"/>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7100" w:type="dxa"/>
            <w:vAlign w:val="bottom"/>
            <w:gridSpan w:val="8"/>
            <w:vMerge w:val="restart"/>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0000EE"/>
            </w:tcBorders>
            <w:gridSpan w:val="9"/>
            <w:vMerge w:val="continue"/>
          </w:tcPr>
          <w:p>
            <w:pPr>
              <w:spacing w:after="0"/>
              <w:rPr>
                <w:sz w:val="13"/>
                <w:szCs w:val="13"/>
                <w:color w:val="auto"/>
              </w:rPr>
            </w:pPr>
          </w:p>
        </w:tc>
        <w:tc>
          <w:tcPr>
            <w:tcW w:w="7100" w:type="dxa"/>
            <w:vAlign w:val="bottom"/>
            <w:gridSpan w:val="8"/>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20" w:type="dxa"/>
            <w:vAlign w:val="bottom"/>
            <w:gridSpan w:val="1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 Condensed Financial Statements (Unaudited)</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March 31, 2016 and December 31, 2015</w:t>
              </w:r>
            </w:hyperlink>
          </w:p>
        </w:tc>
        <w:tc>
          <w:tcPr>
            <w:tcW w:w="4740" w:type="dxa"/>
            <w:vAlign w:val="bottom"/>
            <w:gridSpan w:val="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Statements of Operations and Comprehensive Loss for the Three Month Periods Ended March 31, 2016 and 2015</w:t>
              </w:r>
            </w:hyperlink>
          </w:p>
        </w:tc>
        <w:tc>
          <w:tcPr>
            <w:tcW w:w="100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Statements of Cash Flows for the Three Month Periods Ended March 31, 2016 and 2015</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Notes to Condensed Financial Statements</w:t>
              </w:r>
            </w:hyperlink>
          </w:p>
        </w:tc>
        <w:tc>
          <w:tcPr>
            <w:tcW w:w="2820" w:type="dxa"/>
            <w:vAlign w:val="bottom"/>
            <w:gridSpan w:val="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Item 2.</w:t>
              </w:r>
            </w:hyperlink>
          </w:p>
        </w:tc>
        <w:tc>
          <w:tcPr>
            <w:tcW w:w="9680" w:type="dxa"/>
            <w:vAlign w:val="bottom"/>
            <w:gridSpan w:val="14"/>
          </w:tcPr>
          <w:p>
            <w:pPr>
              <w:ind w:left="20"/>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3.</w:t>
              </w:r>
            </w:hyperlink>
          </w:p>
        </w:tc>
        <w:tc>
          <w:tcPr>
            <w:tcW w:w="6480" w:type="dxa"/>
            <w:vAlign w:val="bottom"/>
            <w:tcBorders>
              <w:top w:val="single" w:sz="8" w:color="0000EE"/>
            </w:tcBorders>
            <w:gridSpan w:val="11"/>
          </w:tcPr>
          <w:p>
            <w:pPr>
              <w:ind w:left="2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3200" w:type="dxa"/>
            <w:vAlign w:val="bottom"/>
            <w:gridSpan w:val="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17"/>
                <w:szCs w:val="17"/>
                <w:color w:val="auto"/>
              </w:rPr>
            </w:pPr>
          </w:p>
        </w:tc>
        <w:tc>
          <w:tcPr>
            <w:tcW w:w="5300" w:type="dxa"/>
            <w:vAlign w:val="bottom"/>
            <w:gridSpan w:val="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 OTHER INFORMATION</w:t>
              </w:r>
            </w:hyperlink>
          </w:p>
        </w:tc>
        <w:tc>
          <w:tcPr>
            <w:tcW w:w="740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1A. Risk Factors</w:t>
              </w:r>
            </w:hyperlink>
          </w:p>
        </w:tc>
        <w:tc>
          <w:tcPr>
            <w:tcW w:w="8620" w:type="dxa"/>
            <w:vAlign w:val="bottom"/>
            <w:gridSpan w:val="11"/>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6.</w:t>
              </w:r>
            </w:hyperlink>
          </w:p>
        </w:tc>
        <w:tc>
          <w:tcPr>
            <w:tcW w:w="9680" w:type="dxa"/>
            <w:vAlign w:val="bottom"/>
            <w:gridSpan w:val="14"/>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60" w:type="dxa"/>
            <w:vAlign w:val="bottom"/>
            <w:gridSpan w:val="1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60" w:type="dxa"/>
            <w:vAlign w:val="bottom"/>
            <w:gridSpan w:val="1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 INDEX</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68"/>
        </w:trPr>
        <w:tc>
          <w:tcPr>
            <w:tcW w:w="18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38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ectPr>
          <w:pgSz w:w="11900" w:h="16838" w:orient="portrait"/>
          <w:cols w:equalWidth="0" w:num="1">
            <w:col w:w="11460"/>
          </w:cols>
          <w:pgMar w:left="240" w:top="337" w:right="199" w:bottom="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2015</w:t>
            </w:r>
          </w:p>
        </w:tc>
      </w:tr>
      <w:tr>
        <w:trPr>
          <w:trHeight w:val="142"/>
        </w:trPr>
        <w:tc>
          <w:tcPr>
            <w:tcW w:w="7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(See Note 1)</w:t>
            </w:r>
          </w:p>
        </w:tc>
        <w:tc>
          <w:tcPr>
            <w:tcW w:w="10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47,456</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39,084</w:t>
            </w:r>
          </w:p>
        </w:tc>
      </w:tr>
      <w:tr>
        <w:trPr>
          <w:trHeight w:val="202"/>
        </w:trPr>
        <w:tc>
          <w:tcPr>
            <w:tcW w:w="7400" w:type="dxa"/>
            <w:vAlign w:val="bottom"/>
          </w:tcPr>
          <w:p>
            <w:pPr>
              <w:ind w:left="200"/>
              <w:spacing w:after="0" w:line="201" w:lineRule="exact"/>
              <w:rPr>
                <w:sz w:val="20"/>
                <w:szCs w:val="20"/>
                <w:color w:val="auto"/>
              </w:rPr>
            </w:pPr>
            <w:r>
              <w:rPr>
                <w:rFonts w:ascii="Arial" w:cs="Arial" w:eastAsia="Arial" w:hAnsi="Arial"/>
                <w:sz w:val="18"/>
                <w:szCs w:val="18"/>
                <w:color w:val="auto"/>
                <w:w w:val="92"/>
              </w:rPr>
              <w:t>Accounts receivable, net of allowance of $131 and $117 as of March 31, 2016 and December 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00" w:type="dxa"/>
            <w:vAlign w:val="bottom"/>
          </w:tcPr>
          <w:p>
            <w:pPr>
              <w:ind w:left="380"/>
              <w:spacing w:after="0"/>
              <w:rPr>
                <w:sz w:val="20"/>
                <w:szCs w:val="20"/>
                <w:color w:val="auto"/>
              </w:rPr>
            </w:pPr>
            <w:r>
              <w:rPr>
                <w:rFonts w:ascii="Arial" w:cs="Arial" w:eastAsia="Arial" w:hAnsi="Arial"/>
                <w:sz w:val="18"/>
                <w:szCs w:val="18"/>
                <w:color w:val="auto"/>
              </w:rPr>
              <w:t>2015, respectively</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3,230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Supplies inventory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3,767</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1,442</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10"/>
        </w:trPr>
        <w:tc>
          <w:tcPr>
            <w:tcW w:w="74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47,914</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10,314</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14,933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15,200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50"/>
        </w:trPr>
        <w:tc>
          <w:tcPr>
            <w:tcW w:w="7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84,267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75,247</w:t>
            </w:r>
          </w:p>
        </w:tc>
        <w:tc>
          <w:tcPr>
            <w:tcW w:w="100" w:type="dxa"/>
            <w:vAlign w:val="bottom"/>
            <w:tcBorders>
              <w:bottom w:val="single" w:sz="8" w:color="CCEEFF"/>
            </w:tcBorders>
          </w:tcPr>
          <w:p>
            <w:pPr>
              <w:spacing w:after="0"/>
              <w:rPr>
                <w:sz w:val="21"/>
                <w:szCs w:val="21"/>
                <w:color w:val="auto"/>
              </w:rPr>
            </w:pPr>
          </w:p>
        </w:tc>
      </w:tr>
      <w:tr>
        <w:trPr>
          <w:trHeight w:val="170"/>
        </w:trPr>
        <w:tc>
          <w:tcPr>
            <w:tcW w:w="74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4,340</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7,021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8,689</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Genzyme co-promotion fee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r>
      <w:tr>
        <w:trPr>
          <w:trHeight w:val="210"/>
        </w:trPr>
        <w:tc>
          <w:tcPr>
            <w:tcW w:w="74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4,630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4,283</w:t>
            </w:r>
          </w:p>
        </w:tc>
      </w:tr>
      <w:tr>
        <w:trPr>
          <w:trHeight w:val="210"/>
        </w:trPr>
        <w:tc>
          <w:tcPr>
            <w:tcW w:w="74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23,995</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400" w:type="dxa"/>
            <w:vAlign w:val="bottom"/>
          </w:tcPr>
          <w:p>
            <w:pPr>
              <w:ind w:left="200"/>
              <w:spacing w:after="0" w:line="201" w:lineRule="exact"/>
              <w:rPr>
                <w:sz w:val="20"/>
                <w:szCs w:val="20"/>
                <w:color w:val="auto"/>
              </w:rPr>
            </w:pPr>
            <w:r>
              <w:rPr>
                <w:rFonts w:ascii="Arial" w:cs="Arial" w:eastAsia="Arial" w:hAnsi="Arial"/>
                <w:sz w:val="18"/>
                <w:szCs w:val="18"/>
                <w:color w:val="auto"/>
                <w:w w:val="91"/>
              </w:rPr>
              <w:t>Preferred stock, $0.001 par value; 5,000,000 shares authorized, no shares issued and outstanding</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00" w:type="dxa"/>
            <w:vAlign w:val="bottom"/>
          </w:tcPr>
          <w:p>
            <w:pPr>
              <w:ind w:left="380"/>
              <w:spacing w:after="0"/>
              <w:rPr>
                <w:sz w:val="20"/>
                <w:szCs w:val="20"/>
                <w:color w:val="auto"/>
              </w:rPr>
            </w:pPr>
            <w:r>
              <w:rPr>
                <w:rFonts w:ascii="Arial" w:cs="Arial" w:eastAsia="Arial" w:hAnsi="Arial"/>
                <w:sz w:val="18"/>
                <w:szCs w:val="18"/>
                <w:color w:val="auto"/>
              </w:rPr>
              <w:t>as of March 31, 2016 and December 31, 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Common stock, $0.001 par value; 125,000,000 shares authorized, 27,858,317 and 27,685,291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shares issued and outstanding as of March 31, 2016 and December 31, 2015, respectively</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202,079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199,950</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(148,726)</w:t>
            </w:r>
          </w:p>
        </w:tc>
      </w:tr>
      <w:tr>
        <w:trPr>
          <w:trHeight w:val="210"/>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51,252</w:t>
            </w:r>
          </w:p>
        </w:tc>
        <w:tc>
          <w:tcPr>
            <w:tcW w:w="100" w:type="dxa"/>
            <w:vAlign w:val="bottom"/>
            <w:tcBorders>
              <w:bottom w:val="single" w:sz="8" w:color="CCEEFF"/>
            </w:tcBorders>
          </w:tcPr>
          <w:p>
            <w:pPr>
              <w:spacing w:after="0"/>
              <w:rPr>
                <w:sz w:val="18"/>
                <w:szCs w:val="18"/>
                <w:color w:val="auto"/>
              </w:rPr>
            </w:pPr>
          </w:p>
        </w:tc>
      </w:tr>
      <w:tr>
        <w:trPr>
          <w:trHeight w:val="21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84,267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3,461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marketing</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7,066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6,228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 amortization</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Interest expense</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6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(10,075)</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(7,610)</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basic and diluted</w:t>
            </w:r>
          </w:p>
        </w:tc>
        <w:tc>
          <w:tcPr>
            <w:tcW w:w="1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27,817,993</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22,539,723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73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(7,610)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762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r>
      <w:tr>
        <w:trPr>
          <w:trHeight w:val="216"/>
        </w:trPr>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Bad debt expense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Genzyme co-promotion fee amortization</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r>
      <w:tr>
        <w:trPr>
          <w:trHeight w:val="216"/>
        </w:trPr>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Amortization and write-off of debt discount and issuance costs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debt balloon payment and prepayment penalty</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Supplies inventory</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current other assets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Accrued liabilities and deferred rent</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(1,113)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(2,493)</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380" w:type="dxa"/>
            <w:vAlign w:val="bottom"/>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380" w:type="dxa"/>
            <w:vAlign w:val="bottom"/>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long-term debt, net of debt issuance costs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Payment of end-of-term debt obligation and prepayment penalty</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633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38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(9,216)</w:t>
            </w: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35,014</w:t>
            </w:r>
          </w:p>
        </w:tc>
      </w:tr>
      <w:tr>
        <w:trPr>
          <w:trHeight w:val="250"/>
        </w:trPr>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47,456</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25,798</w:t>
            </w:r>
          </w:p>
        </w:tc>
        <w:tc>
          <w:tcPr>
            <w:tcW w:w="100" w:type="dxa"/>
            <w:vAlign w:val="bottom"/>
            <w:tcBorders>
              <w:bottom w:val="single" w:sz="8" w:color="CCEEFF"/>
            </w:tcBorders>
          </w:tcPr>
          <w:p>
            <w:pPr>
              <w:spacing w:after="0"/>
              <w:rPr>
                <w:sz w:val="21"/>
                <w:szCs w:val="21"/>
                <w:color w:val="auto"/>
              </w:rPr>
            </w:pPr>
          </w:p>
        </w:tc>
      </w:tr>
      <w:tr>
        <w:trPr>
          <w:trHeight w:val="170"/>
        </w:trPr>
        <w:tc>
          <w:tcPr>
            <w:tcW w:w="73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Supplementary cash flow information of non-cash investing and financing activities:</w:t>
            </w: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 and accrued liabilities</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Unpaid deferred debt issuance costs</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Veracyte, Inc. (“Veracyte” or the “Company”) was incorporated in the state of Delaware on August 15, 2006 as Calderome, Inc. Calderome operated as an incubator until early 2008. On March 4, 2008, the Company changed its name to Veracyte, Inc. Veracyte is a molecular diagnostics company that uses genomic technology to resolve diagnostic ambiguity. The Company targets diseases in which large numbers of patients undergo invasive and costly diagnostic procedures that could have been avoided with a more accurate diagnosis from a cytology sample taken preoperatively. By improving preoperative diagnosis, the Company helps patients avoid such unnecessary invasive procedures and surgeries while reducing healthcare costs.</w:t>
      </w:r>
    </w:p>
    <w:p>
      <w:pPr>
        <w:spacing w:after="0" w:line="158"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color w:val="auto"/>
        </w:rPr>
        <w:t>The Company’s first commercial solution, the Afirma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Thyroid FNA Analysis, centers on the proprietary Afirma Gene Expression Classifier (“GEC”). The Afirma GEC helps physicians reduce the number of unnecessary surgeries by employing a proprietary 142-gene signature to preoperatively determine whether thyroid nodules previously classified by cytopathology as indeterminate can be reclassified as benign. The Afirma GEC is offered directly or as part of a comprehensive solution that also includes cytopathology. Additionally, the Afirma Malignancy Classifiers were launched in May 2014. The Company currently markets and sells Afirma in the United States and select foreign countries through a co-promotion agreement with Genzyme Corporation,</w:t>
      </w:r>
    </w:p>
    <w:p>
      <w:pPr>
        <w:sectPr>
          <w:pgSz w:w="11900" w:h="16838" w:orient="portrait"/>
          <w:cols w:equalWidth="0" w:num="1">
            <w:col w:w="11420"/>
          </w:cols>
          <w:pgMar w:left="240" w:top="125" w:right="239" w:bottom="0" w:gutter="0" w:footer="0" w:header="0"/>
        </w:sectPr>
      </w:pPr>
    </w:p>
    <w:bookmarkStart w:id="4" w:name="page5"/>
    <w:bookmarkEnd w:id="4"/>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 subsidiary of Sanofi, as well as selectively through other distributors internationally. On March 9, 2016, the Company gave notice of termination of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Co-Promotion Agreement, effective September 9, 2016.</w:t>
      </w:r>
    </w:p>
    <w:p>
      <w:pPr>
        <w:spacing w:after="0" w:line="211" w:lineRule="exact"/>
        <w:rPr>
          <w:sz w:val="20"/>
          <w:szCs w:val="20"/>
          <w:color w:val="auto"/>
        </w:rPr>
      </w:pPr>
    </w:p>
    <w:p>
      <w:pPr>
        <w:jc w:val="both"/>
        <w:ind w:right="140" w:firstLine="648"/>
        <w:spacing w:after="0" w:line="234" w:lineRule="auto"/>
        <w:rPr>
          <w:sz w:val="20"/>
          <w:szCs w:val="20"/>
          <w:color w:val="auto"/>
        </w:rPr>
      </w:pPr>
      <w:r>
        <w:rPr>
          <w:rFonts w:ascii="Arial" w:cs="Arial" w:eastAsia="Arial" w:hAnsi="Arial"/>
          <w:sz w:val="18"/>
          <w:szCs w:val="18"/>
          <w:color w:val="auto"/>
        </w:rPr>
        <w:t>In April 2015, the Company entered the lung cancer diagnostics market with the Percepta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Bronchial Genomic Classifier, a genomic test to resolve ambiguity in lung cancer diagnosis. The Company has a second product in pulmonology under development designed to help in the preoperative assessment of patients suspected to have idiopathic pulmonary fibrosis (“IPF”).</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operations are based in South San Francisco, California and Austin, Texas, and it operates in one segment in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The Company’s financial statements have been prepared in accordance with accounting principles generally accepted in the United States (“GAAP”). The financial statements include the accounts of the Company and its former wholly-owned subsidiary, which was dissolved in June 2015. For periods prior to the subsidiary dissolution, all intercompany accounts and transactions were eliminated in consolidation. Certain information and note disclosures normally included in the financial statements prepared in accordance with GAAP have been condensed or omitted pursuant to such rules and regulations. The condensed balance sheet as of March 31, 2016, the condensed statements of operations and comprehensive loss and the condensed statements of cash flows for the three months ended March 31, 2016 and 2015,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2015 has been derived from audited financial statements. The results for the three months ended March 31, 2016 are not necessarily indicative of the results expected for the full fiscal year or any other period. Certain figures have been reclassified on the condensed balance sheet at December 31, 2015 to conform with the adoption of Accounting Standards Update (“ASU”) No. 2015-03, </w:t>
      </w:r>
      <w:r>
        <w:rPr>
          <w:rFonts w:ascii="Arial" w:cs="Arial" w:eastAsia="Arial" w:hAnsi="Arial"/>
          <w:sz w:val="17"/>
          <w:szCs w:val="17"/>
          <w:i w:val="1"/>
          <w:iCs w:val="1"/>
          <w:color w:val="auto"/>
        </w:rPr>
        <w:t>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 of Debt Issuance Costs.</w:t>
      </w:r>
    </w:p>
    <w:p>
      <w:pPr>
        <w:spacing w:after="0" w:line="18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preparation of the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allowance for doubtful accounts;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values of assets and liabilities and recorded revenue and expenses that are not readily apparent from other sources. Actual results could differ from those estimates and assumptions.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2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Through March 31, 2016, all of the Company’s revenue has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173" w:lineRule="exact"/>
        <w:rPr>
          <w:sz w:val="20"/>
          <w:szCs w:val="20"/>
          <w:color w:val="auto"/>
        </w:rPr>
      </w:pPr>
    </w:p>
    <w:p>
      <w:pPr>
        <w:jc w:val="center"/>
        <w:ind w:left="4540"/>
        <w:spacing w:after="0"/>
        <w:rPr>
          <w:sz w:val="20"/>
          <w:szCs w:val="20"/>
          <w:color w:val="auto"/>
        </w:rPr>
      </w:pPr>
      <w:r>
        <w:rPr>
          <w:rFonts w:ascii="Arial" w:cs="Arial" w:eastAsia="Arial" w:hAnsi="Arial"/>
          <w:sz w:val="14"/>
          <w:szCs w:val="14"/>
          <w:b w:val="1"/>
          <w:bCs w:val="1"/>
          <w:color w:val="auto"/>
        </w:rPr>
        <w:t>Three Months Ended</w:t>
      </w:r>
    </w:p>
    <w:p>
      <w:pPr>
        <w:jc w:val="center"/>
        <w:ind w:left="45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20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United Healthcare</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Cigna</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2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total revenue.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Company’s significant third-party payers and their related accounts receivable balance as a percentage of total accounts receivable are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ectPr>
          <w:pgSz w:w="11900" w:h="16900" w:orient="portrait"/>
          <w:cols w:equalWidth="0" w:num="1">
            <w:col w:w="11420"/>
          </w:cols>
          <w:pgMar w:left="240" w:top="125" w:right="239" w:bottom="0" w:gutter="0" w:footer="0" w:header="0"/>
        </w:sectPr>
      </w:pP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March 31, 2016</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744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type w:val="continuous"/>
        </w:sectPr>
      </w:pPr>
    </w:p>
    <w:bookmarkStart w:id="5" w:name="page6"/>
    <w:bookmarkEnd w:id="5"/>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46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United Healthcare</w:t>
            </w:r>
          </w:p>
        </w:tc>
        <w:tc>
          <w:tcPr>
            <w:tcW w:w="4640" w:type="dxa"/>
            <w:vAlign w:val="bottom"/>
          </w:tcPr>
          <w:p>
            <w:pPr>
              <w:jc w:val="right"/>
              <w:ind w:right="570"/>
              <w:spacing w:after="0"/>
              <w:rPr>
                <w:sz w:val="20"/>
                <w:szCs w:val="20"/>
                <w:color w:val="auto"/>
              </w:rPr>
            </w:pPr>
            <w:r>
              <w:rPr>
                <w:rFonts w:ascii="Arial" w:cs="Arial" w:eastAsia="Arial" w:hAnsi="Arial"/>
                <w:sz w:val="18"/>
                <w:szCs w:val="18"/>
                <w:color w:val="auto"/>
              </w:rPr>
              <w:t>19%</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Aetna</w:t>
            </w:r>
          </w:p>
        </w:tc>
        <w:tc>
          <w:tcPr>
            <w:tcW w:w="46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Cigna</w:t>
            </w:r>
          </w:p>
        </w:tc>
        <w:tc>
          <w:tcPr>
            <w:tcW w:w="4640" w:type="dxa"/>
            <w:vAlign w:val="bottom"/>
          </w:tcPr>
          <w:p>
            <w:pPr>
              <w:jc w:val="right"/>
              <w:ind w:right="570"/>
              <w:spacing w:after="0"/>
              <w:rPr>
                <w:sz w:val="20"/>
                <w:szCs w:val="20"/>
                <w:color w:val="auto"/>
              </w:rPr>
            </w:pPr>
            <w:r>
              <w:rPr>
                <w:rFonts w:ascii="Arial" w:cs="Arial" w:eastAsia="Arial" w:hAnsi="Arial"/>
                <w:sz w:val="18"/>
                <w:szCs w:val="18"/>
                <w:color w:val="auto"/>
              </w:rPr>
              <w:t>10%</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as of those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deposits of $238,000 and $118,000 as of March 31, 2016 and December 31, 2015, respectively, including amounts restricted from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withdrawal and held by a bank in the form of collateral for irrevocable standby letters of credit totaling $118,000 held as security for the lease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former headquarters and laboratory facility in South San Francisco that expired March 31, 2016. The deposits at March 31, 2016 also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$120,000 as a pledge for corporate credit cards. This restricted cash is included in current assets as of March 31, 2016. The Company also had deposits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$603,000 included in long-term assets as of March 31, 2016 and December 31, 2015, restricted from withdrawal and held by a bank in the form of collateral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an irrevocable standby letter of credit held as security for the lease of the Company’s new South San Francisco facility signed in April 2015.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estimates an allowance for doubtful accounts against its individual accounts receivable based on estimates of expected reimbursement consistent with historical payment experience in relation to the amounts billed. Bad debt expense is included in general and administrative expense on the Company’s statements of operations and comprehensive loss. Accounts receivable are written off against the allowance when there is substantive evidence that the account will not be paid.</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balance of allowance for doubtful accounts as of March 31, 2016 and December 31, 2015 was $131,000 and $117,000, respectively. Bad debt expense was $66,000 and $22,000 for the three months ended March 31, 2016 and 2015, respectively and is included in general and administrative expenses in the accompanying condensed statements of operations. Write offs for doubtful accounts of $52,000 and $21,000 were recorded against the allowance for doubtful accounts during the three months ended March 31, 2016 and 2015,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The Company recognizes revenue in accordance with the provision of ASC 954-605, </w:t>
      </w:r>
      <w:r>
        <w:rPr>
          <w:rFonts w:ascii="Arial" w:cs="Arial" w:eastAsia="Arial" w:hAnsi="Arial"/>
          <w:sz w:val="17"/>
          <w:szCs w:val="17"/>
          <w:i w:val="1"/>
          <w:iCs w:val="1"/>
          <w:color w:val="auto"/>
        </w:rPr>
        <w:t>Health Care Entities—Revenue Recognition.</w:t>
      </w:r>
      <w:r>
        <w:rPr>
          <w:rFonts w:ascii="Arial" w:cs="Arial" w:eastAsia="Arial" w:hAnsi="Arial"/>
          <w:sz w:val="17"/>
          <w:szCs w:val="17"/>
          <w:color w:val="auto"/>
        </w:rPr>
        <w:t xml:space="preserve"> The Company’s revenue is generated from the provision of diagnostic services using the Afirma solution and the service is completed upon the delivery of test results to the prescribing physician, at which time the Company bills for the service. The Company recognizes revenue related to billings for Medicare and commercial payers on an accrual basis, net of contractual and other adjustments, when amounts that will ultimately be realized can be estimated. Contractual and other adjustments represent the difference between the list price (the billing rate) and the estimated reimbursement rate for each payer. Upon ultimate collection, the amount received from Medicare and commercial payers where reimbursement was estimated is compared to previous estimates and, if necessary,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the Company that commit them to pay any portion of the cost of the tests in the event that their insurance declines to reimburse the Company. In the absence of an agreement with the patient or other clearly enforceable legal right to demand payment from the patient, the related revenue is only recognized upon the earlier of payment notification, if applicable, or cash receipt.</w:t>
      </w:r>
    </w:p>
    <w:p>
      <w:pPr>
        <w:spacing w:after="0" w:line="18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estimates of amounts that will ultimately be realized requires significant judgment by management.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the ability to estimate the amount that will ultimately be realized for the Company’s services, revenue is recognized upon the earlier of receipt of third-party payer notification of payment or when cash is received.</w:t>
      </w:r>
    </w:p>
    <w:p>
      <w:pPr>
        <w:spacing w:after="0" w:line="17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Revenue recognized when cash is received and on an accrual basis for the three months ended March 31, 2016 and 2015 was as follows (in thousands of dollars):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recognized when cash is received</w:t>
            </w: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Revenue recognized on an accrual basis</w:t>
            </w:r>
          </w:p>
        </w:tc>
        <w:tc>
          <w:tcPr>
            <w:tcW w:w="8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8,226</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5,386</w:t>
            </w:r>
          </w:p>
        </w:tc>
      </w:tr>
      <w:tr>
        <w:trPr>
          <w:trHeight w:val="210"/>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requiring an entity to recognize the amount of revenue to which it expects to be entitled for the transfer of promised goods or services to customers. The updated standard will replace most existing revenue recognition guidance in GAAP when it becomes effective and permits the use of either the retrospective or cumulative effect transition</w:t>
      </w:r>
    </w:p>
    <w:p>
      <w:pPr>
        <w:sectPr>
          <w:pgSz w:w="11900" w:h="16838" w:orient="portrait"/>
          <w:cols w:equalWidth="0" w:num="1">
            <w:col w:w="11400"/>
          </w:cols>
          <w:pgMar w:left="240" w:top="140" w:right="25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00"/>
          </w:cols>
          <w:pgMar w:left="240" w:top="140" w:right="25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method. Adoption is permitted as early as the first quarter of 2017 and is required by the first quarter of 2018. The Company has not yet selected a transition method and is currently evaluating the potential effect of the updated standard on its financial statements.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In August 2014, FASB issued ASU No. 2014-15, </w:t>
      </w:r>
      <w:r>
        <w:rPr>
          <w:rFonts w:ascii="Arial" w:cs="Arial" w:eastAsia="Arial" w:hAnsi="Arial"/>
          <w:sz w:val="17"/>
          <w:szCs w:val="17"/>
          <w:i w:val="1"/>
          <w:iCs w:val="1"/>
          <w:color w:val="auto"/>
        </w:rPr>
        <w:t>Presentation of Financial Statements Going Concern—Disclosure of Uncertainties about an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Ability to Continue as a Going Concern</w:t>
      </w:r>
      <w:r>
        <w:rPr>
          <w:rFonts w:ascii="Arial" w:cs="Arial" w:eastAsia="Arial" w:hAnsi="Arial"/>
          <w:sz w:val="17"/>
          <w:szCs w:val="17"/>
          <w:color w:val="auto"/>
        </w:rPr>
        <w:t>. The amendments require management to assess an entity’s ability to continue as a going concern by</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the Company beginning with its annual report for fiscal 2016 and interim periods thereafter. The Company does not anticipate that the adoption of this ASU will have a significant impact on its financial statements.</w:t>
      </w:r>
    </w:p>
    <w:p>
      <w:pPr>
        <w:spacing w:after="0" w:line="17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to require debt issuance costs to be presented as an offset against debt outstanding. The update does not change current guidance on the recognition and measurement of debt issuance costs. The ASU is effective for interim and annual periods beginning after December 15, 2015. Adoption of the ASU is retrospective to each prior period presented. The Company has adopted this ASU and the retrospective adjustment of the prior period presentation was not material.</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The ASU requires that deferred tax assets and liabilities be classified as noncurrent in the statement of financial position, thereby simplifying the current guidance that requires an entity to separate deferred assets and liabilities into current and noncurrent amounts. This ASU will be effective for the Company beginning in the first quarter of fiscal year 2018 though early adoption is permitted. The Company early-adopted the ASU as of December 31, 2015 and the impact of adoption on its statement of financial position was not material.</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related to the tax effects of share-based awards. The ASU requires that all the tax effects of share-based awards be recorded through the income statement, thereby simplifying the current guidance that requires related tax deductions in excess of compensation cost (“Excess”) be recorded in equity and tax deficiencies, when compensation cost exceed tax deductions, be recorded in equity to the extent of the previously recognized Excess with the remainder to be recorded in income tax expense. The ASU will be effective for interim and annual periods beginning after December 15, 2016. The Company does not anticipate that the adoption of this ASU will have a significant impact on its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outstanding common stock equivalents have been excluded from diluted net loss per common share because their inclusion would be anti-dilutive:</w:t>
      </w:r>
    </w:p>
    <w:p>
      <w:pPr>
        <w:spacing w:after="0" w:line="162" w:lineRule="exact"/>
        <w:rPr>
          <w:sz w:val="20"/>
          <w:szCs w:val="20"/>
          <w:color w:val="auto"/>
        </w:rPr>
      </w:pPr>
    </w:p>
    <w:p>
      <w:pPr>
        <w:jc w:val="center"/>
        <w:ind w:left="3420"/>
        <w:spacing w:after="0"/>
        <w:rPr>
          <w:sz w:val="20"/>
          <w:szCs w:val="20"/>
          <w:color w:val="auto"/>
        </w:rPr>
      </w:pPr>
      <w:r>
        <w:rPr>
          <w:rFonts w:ascii="Arial" w:cs="Arial" w:eastAsia="Arial" w:hAnsi="Arial"/>
          <w:sz w:val="14"/>
          <w:szCs w:val="14"/>
          <w:b w:val="1"/>
          <w:bCs w:val="1"/>
          <w:color w:val="auto"/>
        </w:rPr>
        <w:t>Three Months Ended</w:t>
      </w:r>
    </w:p>
    <w:p>
      <w:pPr>
        <w:jc w:val="center"/>
        <w:ind w:left="34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960" w:type="dxa"/>
        <w:tblCellMar>
          <w:top w:w="0" w:type="dxa"/>
          <w:left w:w="0" w:type="dxa"/>
          <w:bottom w:w="0" w:type="dxa"/>
          <w:right w:w="0" w:type="dxa"/>
        </w:tblCellMar>
      </w:tblPr>
      <w:tr>
        <w:trPr>
          <w:trHeight w:val="142"/>
        </w:trPr>
        <w:tc>
          <w:tcPr>
            <w:tcW w:w="41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82"/>
        </w:trPr>
        <w:tc>
          <w:tcPr>
            <w:tcW w:w="4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Shares of common stock subject to outstanding</w:t>
            </w: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5,283,180</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4,270,198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24,827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of common stock equivalents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5,308,007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 of dollars):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Accrued Genzyme co-promotion fees</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2,089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28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7,021</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40" w:type="dxa"/>
            <w:vAlign w:val="bottom"/>
            <w:vMerge w:val="restart"/>
          </w:tcPr>
          <w:p>
            <w:pPr>
              <w:jc w:val="right"/>
              <w:ind w:right="151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67"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ectPr>
          <w:pgSz w:w="11900" w:h="16838" w:orient="portrait"/>
          <w:cols w:equalWidth="0" w:num="1">
            <w:col w:w="11460"/>
          </w:cols>
          <w:pgMar w:left="240" w:top="490" w:right="199" w:bottom="0" w:gutter="0" w:footer="0" w:header="0"/>
        </w:sectPr>
      </w:pPr>
    </w:p>
    <w:bookmarkStart w:id="7" w:name="page8"/>
    <w:bookmarkEnd w:id="7"/>
    <w:p>
      <w:pPr>
        <w:jc w:val="both"/>
        <w:ind w:left="980" w:right="20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fair value of the Company’s financial assets, which consist only of money market funds, was $46.5 million and $37.5 million as of March 31, 2016 and December 31, 2015, respectively, and are Level I assets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leases its headquarters and South San Francisco, California laboratory facilities under a non-cancelable lease agreement for approximately 59,000 square feet. The lease began in June 2015 and ends in March 2026 and contains extension of lease term and expansion options. In conjunction with this lease, the landlord provided funding of approximately $3.3 million for tenant improvements, all of which was received as of December 31, 2015. The Company incurred $3.6 million in addition to the landlord’s tenant allowance as of March 31, 2016 to complete the build-out of the facility. The Company had deposits of $603,000 included in long-term assets as of March 31, 2016, restricted from withdrawal and held by a bank in the form of collateral for an irrevocable standby letter of credit totaling $603,000 held as security for the lease of the new South San Francisco facility.</w:t>
      </w:r>
    </w:p>
    <w:p>
      <w:pPr>
        <w:spacing w:after="0" w:line="16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Company also leases laboratory space in Austin, Texas. The lease expires on July 31, 2018. The Company provided a cash security deposit of $75,000, which is included in other assets in the Company’s condensed balance sheets as of March 31, 2016 and December 31, 2015.</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March 31, 2016 are as follows (in thousands of dollars):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36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Amounts</w:t>
            </w:r>
          </w:p>
        </w:tc>
      </w:tr>
      <w:tr>
        <w:trPr>
          <w:trHeight w:val="210"/>
        </w:trPr>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2,143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11,956</w:t>
            </w:r>
          </w:p>
        </w:tc>
      </w:tr>
      <w:tr>
        <w:trPr>
          <w:trHeight w:val="210"/>
        </w:trPr>
        <w:tc>
          <w:tcPr>
            <w:tcW w:w="7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 recognizes rent expense on a straight-line basis over the non-cancelable lease period. Facilities rent expense was $628,000 and $213,000 for the three months ended March 31,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Purchase Commitments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Company had non-cancelable purchase commitments with two suppliers to purchase a minimum quantity of supplies for approximately $813,000 at March 31, 2016.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litigation pending that could have, individually or in the aggregate,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In March 2016, the Company entered into a credit agreement (the “Credit Agreement”) with Visium Healthcare Partners, LP (“Visium”). Under the Credit Agreement, two term loans are available to the Company with an aggregate principal amount of up to $40.0 million. The Company drew down the initial $25.0 million term loan (the “Initial Term Loan”) on March 30, 2016, of which $5.0 million was used to pay the outstanding balance of the Company’s existing long-term debt, which was cancelled at that date. On or prior to June 30, 2017, the Company may request the second term loan of up to $15.0 million (the “Second Term Loan” and together with the Initial Term Loan, the “Term Loans”). The maturity of the Term Loans is March 31, 2022.</w:t>
      </w:r>
    </w:p>
    <w:p>
      <w:pPr>
        <w:spacing w:after="0" w:line="158"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The Term Loans bear interest at a fixed rate of 12.0% per annum, payable quarterly at the end of each March, June, September and December. No principal payments will be due during an interest-only period, commencing on the funding date for the Initial Term Loan (the “Initial Borrowing Date”) and continuing through and including March 31, 2020. The Company is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the Company may elect to pay interest in cash on the outstanding principal amounts of the Term Loans at a fixed rate of 9.0%, with the remaining 3.0% of the 12.0% interest paid-in-kind by adding such paid-in-kind interest to the outstanding principal amounts of the Term Loans.</w:t>
      </w:r>
    </w:p>
    <w:p>
      <w:pPr>
        <w:sectPr>
          <w:pgSz w:w="11900" w:h="16838" w:orient="portrait"/>
          <w:cols w:equalWidth="0" w:num="1">
            <w:col w:w="11400"/>
          </w:cols>
          <w:pgMar w:left="240" w:top="125" w:right="259" w:bottom="52" w:gutter="0" w:footer="0" w:header="0"/>
        </w:sectPr>
      </w:pPr>
    </w:p>
    <w:bookmarkStart w:id="8" w:name="page9"/>
    <w:bookmarkEnd w:id="8"/>
    <w:p>
      <w:pPr>
        <w:ind w:right="60" w:firstLine="441"/>
        <w:spacing w:after="0" w:line="288" w:lineRule="auto"/>
        <w:rPr>
          <w:sz w:val="20"/>
          <w:szCs w:val="20"/>
          <w:color w:val="auto"/>
        </w:rPr>
      </w:pPr>
      <w:r>
        <w:rPr>
          <w:rFonts w:ascii="Arial" w:cs="Arial" w:eastAsia="Arial" w:hAnsi="Arial"/>
          <w:sz w:val="16"/>
          <w:szCs w:val="16"/>
          <w:color w:val="auto"/>
        </w:rPr>
        <w:t>The Company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w:t>
      </w:r>
    </w:p>
    <w:p>
      <w:pPr>
        <w:ind w:right="240"/>
        <w:spacing w:after="0" w:line="255" w:lineRule="auto"/>
        <w:rPr>
          <w:sz w:val="20"/>
          <w:szCs w:val="20"/>
          <w:color w:val="auto"/>
        </w:rPr>
      </w:pPr>
      <w:r>
        <w:rPr>
          <w:rFonts w:ascii="Arial" w:cs="Arial" w:eastAsia="Arial" w:hAnsi="Arial"/>
          <w:sz w:val="18"/>
          <w:szCs w:val="18"/>
          <w:color w:val="auto"/>
        </w:rPr>
        <w:t>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0" w:lineRule="exact"/>
        <w:rPr>
          <w:sz w:val="20"/>
          <w:szCs w:val="20"/>
          <w:color w:val="auto"/>
        </w:rPr>
      </w:pPr>
    </w:p>
    <w:p>
      <w:pPr>
        <w:ind w:right="180" w:firstLine="441"/>
        <w:spacing w:after="0" w:line="272" w:lineRule="auto"/>
        <w:rPr>
          <w:sz w:val="20"/>
          <w:szCs w:val="20"/>
          <w:color w:val="auto"/>
        </w:rPr>
      </w:pPr>
      <w:r>
        <w:rPr>
          <w:rFonts w:ascii="Arial" w:cs="Arial" w:eastAsia="Arial" w:hAnsi="Arial"/>
          <w:sz w:val="17"/>
          <w:szCs w:val="17"/>
          <w:color w:val="auto"/>
        </w:rPr>
        <w:t>The Company’s obligations under the Credit Agreement are secured by a security interest in substantially all of its assets. The Credit Agreement contains customary representations, warranties, and events of default,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To the extent the Company forms or acquires certain subsidiaries domiciled in the United States, those subsidiaries are required to be guarantors of the Company’s obligations under the Credit Agreement. As of March 31, 2016, the Company was in compliance with the loan covenants.</w:t>
      </w:r>
    </w:p>
    <w:p>
      <w:pPr>
        <w:spacing w:after="0" w:line="178"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Concurrent with entering into the Credit Agreement, the Company entered into an agreement with Visium pursuant to which, for a period of one year following the Initial Borrowing Date, Visium has the right to participate in certain future equity financings of the Company in an amount of up to $5.0 million with no preferential terms.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2016, the net debt obligation for the Credit Agreement was as follows (in thousands of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2016</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principal</w:t>
            </w:r>
          </w:p>
        </w:tc>
        <w:tc>
          <w:tcPr>
            <w:tcW w:w="4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Deferred debt issuance costs</w:t>
            </w: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(548)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debt obligation</w:t>
            </w:r>
          </w:p>
        </w:tc>
        <w:tc>
          <w:tcPr>
            <w:tcW w:w="4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280" w:type="dxa"/>
            <w:vAlign w:val="bottom"/>
            <w:vMerge w:val="restart"/>
          </w:tcPr>
          <w:p>
            <w:pPr>
              <w:jc w:val="right"/>
              <w:ind w:right="279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38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carrying value of the debt approximates its fair value because the interest rate approximates market rates that the Company could obtain for debt with similar terms. The deferred debt issuance costs of $548,000 will be amortized until the Term Loans mature on March 31, 2022. For the three months ended March 31, 2016, interest expense was $8,000 and amortization of the deferred debt issuance costs was less than $1,000.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under the Credit Agreement are as follows (in thousands of dollars):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8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15,625</w:t>
            </w:r>
          </w:p>
        </w:tc>
      </w:tr>
      <w:tr>
        <w:trPr>
          <w:trHeight w:val="210"/>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June 2013, the Company entered into a loan and security agreement (“Original Loan”) with a financial institution. The Original Loan provided for term loans of up to $10.0 million in aggregate. The Company drew down $5.0 million in funds under the agreement in June 2013, and did not draw the remaining $5.0 million on or before the expiration date of March 31, 2014. The Company was required to repay the outstanding principal in 30 equal installments beginning 18 months after the date of the borrowing and was due in full in June 2017. The Original Loan had an interest rate of 6.06% per annum, carried prepayment penalties of 2.25% and 1.50% for prepayment within one and two years, respectively, and 0.75% thereafter.</w:t>
      </w:r>
    </w:p>
    <w:p>
      <w:pPr>
        <w:spacing w:after="0" w:line="17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December 2014, the Company amended certain terms and conditions of the Original Loan (“Amended Loan”). The Amended Loan provided for term loans of up to $15.0 million in aggregate, in three tranches of $5.0 million each. The Company borrowed $5.0 million under the first tranche in December 2014 and used the funds for repayment of the $5.0 million in principal outstanding under the Original Loan, in a cashless transaction. In addition, the Company paid the accrued but unpaid interest of $14,000 due on the Original Loan and the related end-of-term payment of $110,000. The Amended Loan waived the prepayment premium of $75,000 under the Original Loan and reduced the end-of-term payment of $225,000 under the Original Loan to $110,000. In November 2015, the Company further amended the loan to extend the availability of the second $5.0 million tranche under the Amended Loan through June 30, 2016 from December 31, 2015 originally. The Company could have borrowed the third $5.0 million tranche any time through June 30, 2016 after achieving the third tranche revenue milestone as defined in the Amended Loan.</w:t>
      </w:r>
    </w:p>
    <w:p>
      <w:pPr>
        <w:spacing w:after="0" w:line="17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Under the Amended Loan borrowing, the Company was required to repay the outstanding principal in 24 equal installments beginning 24 months after the date of the borrowing and was due in full in December 2018. The first tranche of the Amended Loan bore interest at a rate of 5.00% per annum. The Amended Loan carried prepayment penalties of 2.00% and 1.00% for prepayment within one and two years, respectively, and no prepayment penalty thereafter. In connection with the Amended Loan, the Company paid approximately $45,000 in third-party fees.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on the loan and security agreement was as follows (in thousands of dollars):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Nominal interest</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w:t>
            </w: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Amortization and write-off of debt discount and debt issuance costs</w:t>
            </w: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9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Prepayment penalty</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End-of-term payment interest</w:t>
            </w: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156</w:t>
            </w:r>
          </w:p>
        </w:tc>
        <w:tc>
          <w:tcPr>
            <w:tcW w:w="9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19</w:t>
            </w:r>
          </w:p>
        </w:tc>
      </w:tr>
      <w:tr>
        <w:trPr>
          <w:trHeight w:val="210"/>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ectPr>
          <w:pgSz w:w="11900" w:h="16838" w:orient="portrait"/>
          <w:cols w:equalWidth="0" w:num="1">
            <w:col w:w="11460"/>
          </w:cols>
          <w:pgMar w:left="240" w:top="125" w:right="199" w:bottom="0" w:gutter="0" w:footer="0" w:header="0"/>
        </w:sectPr>
      </w:pPr>
    </w:p>
    <w:bookmarkStart w:id="9" w:name="page10"/>
    <w:bookmarkEnd w:id="9"/>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6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2016</w:t>
            </w:r>
          </w:p>
        </w:tc>
        <w:tc>
          <w:tcPr>
            <w:tcW w:w="1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2015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9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5,283,180</w:t>
            </w:r>
          </w:p>
        </w:tc>
        <w:tc>
          <w:tcPr>
            <w:tcW w:w="2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4,179,521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Options available for grant under stock option plans</w:t>
            </w:r>
          </w:p>
        </w:tc>
        <w:tc>
          <w:tcPr>
            <w:tcW w:w="2780" w:type="dxa"/>
            <w:vAlign w:val="bottom"/>
            <w:gridSpan w:val="3"/>
          </w:tcPr>
          <w:p>
            <w:pPr>
              <w:jc w:val="right"/>
              <w:ind w:right="260"/>
              <w:spacing w:after="0"/>
              <w:rPr>
                <w:sz w:val="20"/>
                <w:szCs w:val="20"/>
                <w:color w:val="auto"/>
              </w:rPr>
            </w:pPr>
            <w:r>
              <w:rPr>
                <w:rFonts w:ascii="Arial" w:cs="Arial" w:eastAsia="Arial" w:hAnsi="Arial"/>
                <w:sz w:val="18"/>
                <w:szCs w:val="18"/>
                <w:color w:val="auto"/>
              </w:rPr>
              <w:t>961,818</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1,058,359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available for the Employee Stock Purchase Plan</w:t>
            </w:r>
          </w:p>
        </w:tc>
        <w:tc>
          <w:tcPr>
            <w:tcW w:w="2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684,272</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6,929,270</w:t>
            </w:r>
          </w:p>
        </w:tc>
        <w:tc>
          <w:tcPr>
            <w:tcW w:w="26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5,987,880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20" w:type="dxa"/>
            <w:vAlign w:val="bottom"/>
            <w:vMerge w:val="restart"/>
          </w:tcPr>
          <w:p>
            <w:pPr>
              <w:jc w:val="right"/>
              <w:ind w:right="630"/>
              <w:spacing w:after="0"/>
              <w:rPr>
                <w:sz w:val="20"/>
                <w:szCs w:val="20"/>
                <w:color w:val="auto"/>
              </w:rPr>
            </w:pPr>
            <w:r>
              <w:rPr>
                <w:rFonts w:ascii="Arial" w:cs="Arial" w:eastAsia="Arial" w:hAnsi="Arial"/>
                <w:sz w:val="18"/>
                <w:szCs w:val="18"/>
                <w:color w:val="auto"/>
                <w:w w:val="89"/>
              </w:rPr>
              <w:t>10</w:t>
            </w: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Incentive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under the Company’s stock option plans (aggregate intrinsic value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Stock Options</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Available</w:t>
            </w: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for Grant</w:t>
            </w: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Exercise Price</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1,058,359</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4,179,521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0"/>
              <w:spacing w:after="0"/>
              <w:rPr>
                <w:sz w:val="20"/>
                <w:szCs w:val="20"/>
                <w:color w:val="auto"/>
              </w:rPr>
            </w:pPr>
            <w:r>
              <w:rPr>
                <w:rFonts w:ascii="Arial" w:cs="Arial" w:eastAsia="Arial" w:hAnsi="Arial"/>
                <w:sz w:val="18"/>
                <w:szCs w:val="18"/>
                <w:color w:val="auto"/>
              </w:rPr>
              <w:t>Additional options authorized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1,107,411</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(1,259,650)</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1,259,650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0"/>
              <w:spacing w:after="0"/>
              <w:rPr>
                <w:sz w:val="20"/>
                <w:szCs w:val="20"/>
                <w:color w:val="auto"/>
              </w:rPr>
            </w:pPr>
            <w:r>
              <w:rPr>
                <w:rFonts w:ascii="Arial" w:cs="Arial" w:eastAsia="Arial" w:hAnsi="Arial"/>
                <w:sz w:val="18"/>
                <w:szCs w:val="18"/>
                <w:color w:val="auto"/>
              </w:rPr>
              <w:t>Canceled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55,698</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(48,693)</w:t>
            </w: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12.94</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(107,298)</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Balance—March 31, 2016</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961,818</w:t>
            </w:r>
          </w:p>
        </w:tc>
        <w:tc>
          <w:tcPr>
            <w:tcW w:w="30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5,283,180</w:t>
            </w:r>
          </w:p>
        </w:tc>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7.68</w:t>
            </w:r>
          </w:p>
        </w:tc>
        <w:tc>
          <w:tcPr>
            <w:tcW w:w="17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8.10</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w w:val="98"/>
              </w:rPr>
              <w:t>Options vested and exercisable—March 31, 2016</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2,159,237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6.66</w:t>
            </w:r>
          </w:p>
        </w:tc>
        <w:tc>
          <w:tcPr>
            <w:tcW w:w="17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6.58</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Options vested and expected to vest—March 31,</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2016</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4,951,621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7.67</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560" w:firstLine="648"/>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exercise price of the options to purchase common stock and the fair market value of the Company’s common stock, which was $5.40 per share as of March 31, 2016.</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weighted average fair value of options to purchase common stock granted was $3.36 and $5.37 for the three months ended March 31, 2016 and 2015,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weighted-average fair value of stock options exercised was $1.71 and $2.50 for the three months ended March 31, 2016 and 2015,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stock options exercised was $365,000 and $145,000 for the three months ended March 31, 2016 and 2015,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The following table summarizes stock-based compensation expense related to stock options and pursuant to the employee stock purchase plan (“ESPP”) for the three months ended March 31, 2016 and 2015, and are included in the condensed statements of operations and comprehensive loss as follows (in thousands of dollars):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9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758</w:t>
            </w:r>
          </w:p>
        </w:tc>
        <w:tc>
          <w:tcPr>
            <w:tcW w:w="9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March 31, 2016, the Company had $13.2 million of unrecognized compensation expense related to unvested stock options, which is expected to be recognized over an estimated weighted-average period of 2.92 years.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estimated grant-date fair value of employee stock options was calculated using the Black-Scholes option-pricing model, based on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84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ind w:right="557"/>
              <w:spacing w:after="0" w:line="142" w:lineRule="exact"/>
              <w:rPr>
                <w:sz w:val="20"/>
                <w:szCs w:val="20"/>
                <w:color w:val="auto"/>
              </w:rPr>
            </w:pPr>
            <w:r>
              <w:rPr>
                <w:rFonts w:ascii="Arial" w:cs="Arial" w:eastAsia="Arial" w:hAnsi="Arial"/>
                <w:sz w:val="14"/>
                <w:szCs w:val="14"/>
                <w:b w:val="1"/>
                <w:bCs w:val="1"/>
                <w:color w:val="auto"/>
                <w:w w:val="89"/>
              </w:rPr>
              <w:t>2016</w:t>
            </w:r>
          </w:p>
        </w:tc>
        <w:tc>
          <w:tcPr>
            <w:tcW w:w="2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ind w:right="55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1840" w:type="dxa"/>
            <w:vAlign w:val="bottom"/>
          </w:tcPr>
          <w:p>
            <w:pPr>
              <w:spacing w:after="0"/>
              <w:rPr>
                <w:sz w:val="12"/>
                <w:szCs w:val="12"/>
                <w:color w:val="auto"/>
              </w:rPr>
            </w:pPr>
          </w:p>
        </w:tc>
      </w:tr>
      <w:tr>
        <w:trPr>
          <w:trHeight w:val="210"/>
        </w:trPr>
        <w:tc>
          <w:tcPr>
            <w:tcW w:w="13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56.36%</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68.82%</w:t>
            </w: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160" w:type="dxa"/>
            <w:vAlign w:val="bottom"/>
          </w:tcPr>
          <w:p>
            <w:pPr>
              <w:spacing w:after="0"/>
              <w:rPr>
                <w:sz w:val="18"/>
                <w:szCs w:val="18"/>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6.08 – 6.23</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6.08 – 6.08</w:t>
            </w: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1.77%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1.79%</w:t>
            </w:r>
          </w:p>
        </w:tc>
        <w:tc>
          <w:tcPr>
            <w:tcW w:w="18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p>
        </w:tc>
        <w:tc>
          <w:tcPr>
            <w:tcW w:w="106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w:t>
            </w:r>
          </w:p>
        </w:tc>
        <w:tc>
          <w:tcPr>
            <w:tcW w:w="184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36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estimated grant date fair value of the ESPP shares was calculated using the Black-Scholes option-pricing model, based on the following assumptions:</w:t>
      </w:r>
    </w:p>
    <w:p>
      <w:pPr>
        <w:sectPr>
          <w:pgSz w:w="11900" w:h="16876" w:orient="portrait"/>
          <w:cols w:equalWidth="0" w:num="1">
            <w:col w:w="11460"/>
          </w:cols>
          <w:pgMar w:left="240" w:top="125" w:right="199" w:bottom="0" w:gutter="0" w:footer="0" w:header="0"/>
        </w:sectPr>
      </w:pPr>
    </w:p>
    <w:p>
      <w:pPr>
        <w:spacing w:after="0" w:line="162" w:lineRule="exact"/>
        <w:rPr>
          <w:sz w:val="20"/>
          <w:szCs w:val="20"/>
          <w:color w:val="auto"/>
        </w:rPr>
      </w:pPr>
    </w:p>
    <w:p>
      <w:pPr>
        <w:ind w:left="8440"/>
        <w:spacing w:after="0"/>
        <w:rPr>
          <w:sz w:val="20"/>
          <w:szCs w:val="20"/>
          <w:color w:val="auto"/>
        </w:rPr>
      </w:pPr>
      <w:r>
        <w:rPr>
          <w:rFonts w:ascii="Arial" w:cs="Arial" w:eastAsia="Arial" w:hAnsi="Arial"/>
          <w:sz w:val="13"/>
          <w:szCs w:val="13"/>
          <w:b w:val="1"/>
          <w:bCs w:val="1"/>
          <w:color w:val="auto"/>
        </w:rPr>
        <w:t>Three Months Ended</w:t>
      </w:r>
    </w:p>
    <w:p>
      <w:pPr>
        <w:sectPr>
          <w:pgSz w:w="11900" w:h="16876" w:orient="portrait"/>
          <w:cols w:equalWidth="0" w:num="1">
            <w:col w:w="11460"/>
          </w:cols>
          <w:pgMar w:left="240" w:top="125" w:right="199" w:bottom="0" w:gutter="0" w:footer="0" w:header="0"/>
          <w:type w:val="continuous"/>
        </w:sectPr>
      </w:pPr>
    </w:p>
    <w:bookmarkStart w:id="10" w:name="page11"/>
    <w:bookmarkEnd w:id="10"/>
    <w:tbl>
      <w:tblPr>
        <w:tblLayout w:type="fixed"/>
        <w:tblInd w:w="98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920" w:type="dxa"/>
            <w:vAlign w:val="bottom"/>
            <w:gridSpan w:val="3"/>
          </w:tcPr>
          <w:p>
            <w:pPr>
              <w:ind w:left="440"/>
              <w:spacing w:after="0"/>
              <w:rPr>
                <w:sz w:val="20"/>
                <w:szCs w:val="20"/>
                <w:color w:val="auto"/>
              </w:rPr>
            </w:pPr>
            <w:r>
              <w:rPr>
                <w:rFonts w:ascii="Arial" w:cs="Arial" w:eastAsia="Arial" w:hAnsi="Arial"/>
                <w:sz w:val="14"/>
                <w:szCs w:val="14"/>
                <w:b w:val="1"/>
                <w:bCs w:val="1"/>
                <w:color w:val="auto"/>
              </w:rPr>
              <w:t>March 31, 2016</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10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75.72%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0.49 – 1.00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0.47%</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60" w:type="dxa"/>
            <w:vAlign w:val="bottom"/>
          </w:tcPr>
          <w:p>
            <w:pPr>
              <w:spacing w:after="0"/>
              <w:rPr>
                <w:sz w:val="20"/>
                <w:szCs w:val="20"/>
                <w:color w:val="auto"/>
              </w:rPr>
            </w:pPr>
          </w:p>
        </w:tc>
        <w:tc>
          <w:tcPr>
            <w:tcW w:w="116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to non-employees during the three months ended March 31, 2016 and 2015,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Genzyme Co-Promotion Agreement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Under the terms of the agreement, Genzyme will receive a percentage of U.S. cash receipts that the Company has received related to Afirma as co-promotion fees. The percentage was 50% in 2012, 40% from January 2013 through February 2014, and 32% beginning in February 2014.</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November 2014, the Company signed an Amended and Restated U.S. Co-Promotion Agreement (“Amended Agreement”) with Genzyme. Under the Amended Agreement, the co-promotion fees Genzyme will receive as a percentage of U.S. cash receipts were reduced from 32% to 15% beginning January 1, 2015. Through August 11, 2014, the Company amortized the $10.0 million upfront co-promotion fee straight-line over a four-year period, which was management’s best estimate of the life of the agreement, in part because after that period either party could have terminated the agreement without penalty. Effective August 12, 2014, the Company extended the amortization period from January 2016 to June 2016, the modified earliest period either party could terminate the agreement without penalty. The Company accounted for the change in accounting estimate prospectively. Either party may terminate the agreement with six months prior notice, however, under the Amended Agreement, neither party can terminate the agreement for convenience prior to June 30, 2016. The agreement with Genzyme expires in 2027. On March 9, 2016, the Company gave Genzyme notice of termination of the Amended Agreement effective September 9, 2016. The balance of the unamortized up-front co-promotion fee was $518,000 at March 31, 2016 and the amortization of the upfront co-promotion fee has been further extended to September 2016.</w:t>
      </w:r>
    </w:p>
    <w:p>
      <w:pPr>
        <w:spacing w:after="0" w:line="178"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In February 2015, the Company entered into an Ex-U.S. Co-promotion Agreement with Genzyme for the promotion of the Afirma GEC test with exclusivity in five countries outside the United States initially and in other countries agreed to from time to time. The agreement commenced on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The Company pays Genzyme 25% of net revenue from the sale of the Afirma GEC test in Brazil and Singapore over a five-year period commencing January 1, 2015. Beginning in the fourth year of the agreement, if the Company terminates the agreement for convenience, the Company may be required to pay a termination fee contingent on the number of GEC billable results generated.</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incurred $2.1 million and $1.7 million in co-promotion expense, excluding the amortization of the up-front co-promotion fee, for the three months ended March 31, 2016 and 2015, respectively, and is included in selling and marketing expenses in the condensed statements of operations and comprehensive loss. The Company’s outstanding obligations to Genzyme totaled $2.1 million as of March 31, 2016 and December 31, 2015, and are included in accrued liabilities on the Company’s condensed balance sheets.</w:t>
      </w:r>
    </w:p>
    <w:p>
      <w:pPr>
        <w:spacing w:after="0" w:line="18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Company amortized $431,000 and $474,000 of the $10.0 million up-front co-promotion fee the three months ended March 31, 2016 and 2015, respectively, which is reflected as a reduction to selling and marketing expenses in the condensed statements of operations and comprehensive loss.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Thyroid Cytopathology Partners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is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use a portion of the Company’s facility in Austin, Texas. The Company does not have an ownership interest in or provide any form of financial or other support to TCP.</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condensed statements of operations and comprehensive loss. The Company incurred $1.3 million and $1.1 million for the three months ended March 31, 2016 and 2015, respectively, in cytopathology testing and evaluation services expenses with TCP. The Company’s outstanding obligations to TCP for cytopathology testing services were $889,000 and $820,000 as of March 31, 2016 and December 31, 2015, respectively, and are included in accounts payable on the Company’s condensed balance sheets.</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TCP reimburses the Company for a proportionate share of the Company’s rent and related operating expenses for the leased facility. TCP’s portion of rent and related operating expense for the subleased space at the Austin, Texas facility was $23,000 and $23,000 for the three months ended March 31, 2016 and 2015 and is included in other income, net in the Company’s condensed statements of operations and comprehensive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and three months ended March 31, 2016 and 2015, respectively. The Company continues to maintain a full valuation allowance against its net deferred tax assets.</w:t>
      </w:r>
    </w:p>
    <w:p>
      <w:pPr>
        <w:sectPr>
          <w:pgSz w:w="11900" w:h="16838" w:orient="portrait"/>
          <w:cols w:equalWidth="0" w:num="1">
            <w:col w:w="11420"/>
          </w:cols>
          <w:pgMar w:left="240" w:top="118" w:right="239" w:bottom="99" w:gutter="0" w:footer="0" w:header="0"/>
        </w:sectPr>
      </w:pPr>
    </w:p>
    <w:bookmarkStart w:id="11" w:name="page12"/>
    <w:bookmarkEnd w:id="11"/>
    <w:p>
      <w:pPr>
        <w:spacing w:after="0" w:line="26"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As of March 31, 2016, the Company had unrecognized tax benefits of $1.9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March 31, 2016 will significantly increase or decrease within the next 12 months. There was no interest expense or penalties related to unrecognized tax benefits recorded through March 31, 2016.</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2015.</w:t>
      </w:r>
    </w:p>
    <w:p>
      <w:pPr>
        <w:spacing w:after="0" w:line="18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the potential benefits of our tests and any future tests we may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develop to patients, physicians and payers; the factors we believe drive demand for and reimbursement of our tests; our ability to sustain or increase demand for our tests; our intent to expand into other clinical areas; our ability to develop new tests, including tests for interstitial lung disease, and the timeframes for development or commercialization; our ability to get our data and clinical studies accepted in peer-reviewed publications; our dependence on and the terms of our agreements with Genzyme and Thyroid Cytopathology Partners, and on other strategic relationships, and the success of those relationships; our beliefs regarding our laboratory capacity; the applicability of clinical results to actual outcomes; the occurrence, timing, outcome or success of clinical trials or studies; the ability of our tests to impact treatment decisions; our beliefs regarding our competitive position; our ability to compete with potential competitors; our compliance with federal, state and international regulations; the potential impact of regulation of our tests by the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73"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as well as risks and uncertainties related to: our limited operating history and history of losses since inception; our ability to increase usage of and reimbursement for the Afirma GEC, Percepta and any other tests we may develop;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collaborations and co-promotion arrangements; our ability to successfully transition away from our co-promotion agreement;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other companies and products;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Veracyte, Afirma, Percepta, the Veracyte logo and the Afirma logo are our trademarks or registered trademarks. We also refer to trademarks of other corporations or organizations in this report.</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We are a molecular diagnostics company that focuses on genomic solutions that resolve diagnostic ambiguity, thus enabling physicians to make more informed treatment decisions at an early stage in patient care. By improving preoperative diagnostic accuracy, we aim to help patients avoid unnecessary invasive procedures while reducing healthcare costs. Our first commercial solution, the Afirma Thyroid FNA Analysis, or Afirma, centers on the proprietary Afirma Gene Expression Classifier, or GEC, which is becoming a new standard of care in thyroid nodule assessment. The Afirma GEC helps physicians reduce the number of unnecessary surgeries by approximately 50% by employing a proprietary 142-gene signature to preoperatively identify benign thyroid nodules among those deemed indeterminate by cytopathology alone. An additional 25 genes are used to differentiate uncommon neoplasm subtypes. We have demonstrated the clinical utility and cost effectiveness of the Afirma GEC in multiple studies published in peer-reviewed journals and established the test’s clinical validity in a study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2012. The comprehensive Afirma offering also includes cytopathology testing and the Afirma Malignancy Classifiers, launched in May 2014. Since we commercially launched Afirma in January 2011 through March 31, 2016, we</w:t>
      </w:r>
    </w:p>
    <w:p>
      <w:pPr>
        <w:sectPr>
          <w:pgSz w:w="11900" w:h="16865" w:orient="portrait"/>
          <w:cols w:equalWidth="0" w:num="1">
            <w:col w:w="11420"/>
          </w:cols>
          <w:pgMar w:left="240" w:top="125" w:right="239" w:bottom="0" w:gutter="0" w:footer="0" w:header="0"/>
        </w:sectPr>
      </w:pPr>
    </w:p>
    <w:bookmarkStart w:id="12" w:name="page13"/>
    <w:bookmarkEnd w:id="12"/>
    <w:p>
      <w:pPr>
        <w:spacing w:after="0" w:line="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have received over 240,000 fine needle aspiration, or FNA, samples for evaluation using Afirma and performed over 55,000 GECs to resolve indeterminate cytopathology results.</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April 2015, we accelerated our entry into pulmonology, our second clinical area, with the launch of the Percepta Bronchial Genomic Classifier, which we obtained through our acquisition of Allegro Diagnostics Corp., or Allegro, in September 2014. The Percepta test is designed to improve the preoperative diagnosis of lung cancer, thus helping to reduce unnecessary invasive, risky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costly procedures in patients with suspicious lung nodules and lesions that were initially found on CT scans. Clinical validation data from two multicenter, prospective studies—AEGIS I and II—were published in July 2015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Our initial focus is on building our library of clinical evidence, including clinical utility, for the Percepta classifier, while we work to secure reimbursement coverage for the test from Medicare and private payers. As of March 2016, we have expanded to 40 the number of thought-leading academic and other institutions around the country that are now offering Percepta to their patients during this initial stage of commercialization.</w:t>
      </w:r>
    </w:p>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second pulmonology product, which we plan to introduce in the fourth quarter of 2016, is designed to preoperatively assess the likelihood of idiopathic pulmonary fibrosis, or IPF, among patients presenting with a suspected interstitial lung disease, or ILD.</w:t>
      </w:r>
    </w:p>
    <w:p>
      <w:pPr>
        <w:spacing w:after="0" w:line="17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have an Amended and Restated U.S. Co-Promotion Agreement, or Amended Agreement, with Genzyme to market the Afirma test in the United States. On March 9, 2016, we formalized the decision to conclude the Amended Agreement with Genzyme effective September 9, 2016. In February 2015, we entered into an Ex-U.S. Co-Promotion Agreement, or Ex-U.S. Agreement, with Genzyme for the promotion of the Afirma GEC test with exclusivity in five countries outside the United States initially and in other countries agreed to from time to time. The agreement commenced on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w:t>
      </w:r>
    </w:p>
    <w:p>
      <w:pPr>
        <w:spacing w:after="0" w:line="16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increased the list price billed for the GEC from $4,875 to $6,400 per test in July 2015, while the list price billed for routine cytopathology remained at $490 per test. We obtained Medicare coverage for the GEC effective in January 2012 and contracted reimbursement at an agreed upon rate of $3,200. We have entered into contracts establishing in-network allowable rates for both our GEC and cytopathology tests with payers including United Healthcare, Aetna and Cigna, as well as several Blue Cross Blue Shield plans, among others. We have also received positive coverage determinations from numerous other commercial payers and, as of March 2016, the GEC is covered by payers representing 180 million lives. We now have 130 million lives under contract. Payers that have agreed to pay for Afirma under contract are also counted as covered lives. Contracted and reimbursement rates vary by payer.</w:t>
      </w:r>
    </w:p>
    <w:p>
      <w:pPr>
        <w:spacing w:after="0" w:line="16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On March 1, 2015, a separate CPT code, or Current Procedural Terminology code, for the Afirma GEC was issued, which we believe will continue to facilitate our progress with payer coverage and contracts, and reimbursement. The new code became effective January 1, 2016. In November 2015, the Centers for Medicare &amp; Medicaid Services, or CMS, issued a final determination for the 2016 Clinical Lab Fee Schedule, or CLFS, to establish a national limitation amount for this new CPT code under the gapfill process through the regional MACs during calendar year 2016.</w:t>
      </w:r>
    </w:p>
    <w:p>
      <w:pPr>
        <w:spacing w:after="0" w:line="154"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We recognized revenue of $13.6 million and $11.2 million for the three months ended March 31, 2016 and 2015, respectively. Revenue increased by 21% for the three months ended March 31, 2016 compared to the same period in 2015. We incurred a net loss of $10.1 million and $7.6 million for the three months ended March 31, 2016 and 2015, respectively. As of March 31, 2016, we had an accumulated deficit of $158.8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growth in our business is tied to the number of FNAs we receive and the number of GECs performed. Approximately 87% of FNAs we receive are for the Afirma solution, which consists of services related to rendering a cytopathology diagnosis, and if the cytopathology result is indeterminate, the GEC is performed. The remaining approximate 13% of FNAs are received from customers performing cytopathology and when the cytopathology result is indeterminate, the FNA is sent to us for the GEC only. The rate at which adoption occurs in these two settings will cause these two percentages to fluctuate over time. Less than 1% of the FNA samples we receive for cytopathology have insufficient cellular material from which to render a cytopathology 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approximately 14%-17% of samples we have received for the Afirma solution have yielded indeterminate results by cytopathology. Approximately 5%-10% of the samples for GEC testing have insufficient ribonucleic acid, or RNA, from which to render a result.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To date, only a small number of payers have reimbursed us for Afirma at full list price. Revenue growth depends on both our ability to achieve broader reimbursement at increased levels from third-party payers and to expand our base of prescribing physicians and increase our penetration in existing accounts. Because some payers consider the GEC experimental and investigational, we may not receive payment for tests and payments we receive may not be at acceptable levels. We expect our revenue growth will increase as more payers make a positive coverage decision and as payers enter into contracts with us, which should enhance our accrued revenue and cash collections. To drive increased adoption of Afirma, we increased our internal sales force in high-volume geographies domestically over the last several years, along with increasing our marketing efforts. We have also hired institutional channel managers</w:t>
      </w:r>
    </w:p>
    <w:p>
      <w:pPr>
        <w:sectPr>
          <w:pgSz w:w="11900" w:h="16934" w:orient="portrait"/>
          <w:cols w:equalWidth="0" w:num="1">
            <w:col w:w="11400"/>
          </w:cols>
          <w:pgMar w:left="240" w:top="125" w:right="259" w:bottom="0" w:gutter="0" w:footer="0" w:header="0"/>
        </w:sectPr>
      </w:pPr>
    </w:p>
    <w:bookmarkStart w:id="13" w:name="page14"/>
    <w:bookmarkEnd w:id="13"/>
    <w:p>
      <w:pPr>
        <w:ind w:right="420"/>
        <w:spacing w:after="0" w:line="264" w:lineRule="auto"/>
        <w:rPr>
          <w:sz w:val="20"/>
          <w:szCs w:val="20"/>
          <w:color w:val="auto"/>
        </w:rPr>
      </w:pPr>
      <w:r>
        <w:rPr>
          <w:rFonts w:ascii="Arial" w:cs="Arial" w:eastAsia="Arial" w:hAnsi="Arial"/>
          <w:sz w:val="18"/>
          <w:szCs w:val="18"/>
          <w:color w:val="auto"/>
        </w:rPr>
        <w:t>to focus on the institutional segment, which accounts generally send us only GECs. If we are unable to expand the base of prescribing physicians and penetration within these accounts at an acceptable rate, or if we are not able to execute our strategy for increasing reimbursement, we may not be able to effectively increase our revenue.</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average reimbursement per GEC was approximately $2,100 for the quarter ended March 31, 2016 as compared with approximately $2,300 for the same period in 2015. The average GEC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calculate the average GEC reimbursement from all payers, whether they are on a cash or an accrual basis, for tests that are on average a year old, since it can take a significant period of time to collect from some payers. We use an average of reimbursement for tests provided over two quarters as it reduces the effects of temporary volatility and seasonal effects. Thus the average reimbursement per GEC represents the total cash collected to date against GEC tests performed during the relevant period divided by the number of GEC tests performed during that same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 significant portion of our revenue is recognized upon the earlier of receipt of third-party notification of payment or when cash is received. For Medicare and certain other payers where we have an agreed upon reimbursement rate or we are able to make a reasonable estimate of reimbursement at the time delivery is complete, we recognize the related revenue on an accrual basis. In the first period in which revenue is accrued for a particular payer, there generally is a one-time increase in revenue. Until we have contracts with or can estimate the amount that will ultimately be received from a larger number of payers, we will recognize a large portion of our revenue upon the earlier of notification of payment or when cash is received. Additionally, as we commercialize new products, we will need to be able to make an estimate of the amount that will ultimately be received from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March 31, 2016, cumulative amounts billed at list price for tests processed which were not recognized as revenue upon delivery of a patient report because our accrual revenue recognition criteria were not met and for which we have not received notification of payment, collected cash or written off as uncollectible, totaled approximately $149.8 million.</w:t>
      </w:r>
    </w:p>
    <w:p>
      <w:pPr>
        <w:spacing w:after="0" w:line="18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As of December 31, 2015, cumulative amounts billed at list price for tests processed which were not recognized as revenue upon delivery of a patient report because our accrual revenue recognition criteria were not met and for which we have not received notification of payment, collected cash or written off as uncollectible, totaled $134.3 million. Of this amount, we recognized revenue of approximately $3.6 million in the quarter ended March 31, 2016, when cash was received.</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 Finally, when we increase our list price, as we did in July 2015, it will increase the cumulative amounts billed.</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$10.0 million up-front co-promotion fee we received from Genzyme under the Co-Promotion Agreement dated as of January 18, 2012 is being amortized over the estimated useful life based on the provisions of the agreement as a reduction to selling and marketing expenses. We amortized $431,000 and $474,000 million of the $10.0 million for the three months ended March 31, 2016 and 2015, respectively. The agreement requires that we pay a certain percentage of our cash receipts from the sale of the Afirma solution to Genzyme, which percentage decreased over time. The percentage was 40% from January 2013 through February 2014, 32% from February 2014 through December 2014, and decreased to 15% in January 2015. Our co-promotion fees, excluding the amortization of the up-front co-promotion fee, were $2.1 million and $1.7 million for the three months ended March 31, 2016 and 2015, respectively, and are included in selling and marketing expenses in our statements of operations and comprehensive loss.</w:t>
      </w:r>
    </w:p>
    <w:p>
      <w:pPr>
        <w:spacing w:after="0" w:line="16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November 2014, we signed the Amended Agreement with Genzyme. Under the Amended Agreement, the co-promotion fees Genzyme will receive as a percentage of U.S. cash receipts from the sale of the Afirma solution were reduced from 32% to 15% beginning January 1, 2015. Either party may terminate the agreement for convenience with six months prior notice, however, neither party can terminate the agreement for convenience prior to June 30, 2016. On March 9, 2016, we formalized the decision to conclude the Amended Agreement with Genzyme effective September 9, 2016. The amortization of the upfront co-promotion fee has been further extended to September 2016 and the balance of the unamortized up-front co-promotion fee was $518,000 at March 31, 2016.</w:t>
      </w:r>
    </w:p>
    <w:p>
      <w:pPr>
        <w:spacing w:after="0" w:line="19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Under the Ex-U.S. Agreement, or Ex-U.S. Agreement, we will pay Genzyme 25% of net revenue from the sale of the Afirma GEC test in Brazil and Singapore over a five-year period commencing January 1, 2015. Beginning in the fourth year of the agreement, which was effective in February 2015, if we terminate the agreement for convenience, we may be required to pay a termination fee contingent on the number of GEC billable results generated.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ectPr>
          <w:pgSz w:w="11900" w:h="16838" w:orient="portrait"/>
          <w:cols w:equalWidth="0" w:num="1">
            <w:col w:w="11400"/>
          </w:cols>
          <w:pgMar w:left="240" w:top="125" w:right="259" w:bottom="100" w:gutter="0" w:footer="0" w:header="0"/>
        </w:sectPr>
      </w:pPr>
    </w:p>
    <w:bookmarkStart w:id="14" w:name="page15"/>
    <w:bookmarkEnd w:id="14"/>
    <w:p>
      <w:pPr>
        <w:ind w:right="80" w:firstLine="648"/>
        <w:spacing w:after="0" w:line="270" w:lineRule="auto"/>
        <w:rPr>
          <w:sz w:val="20"/>
          <w:szCs w:val="20"/>
          <w:color w:val="auto"/>
        </w:rPr>
      </w:pPr>
      <w:r>
        <w:rPr>
          <w:rFonts w:ascii="Arial" w:cs="Arial" w:eastAsia="Arial" w:hAnsi="Arial"/>
          <w:sz w:val="17"/>
          <w:szCs w:val="17"/>
          <w:color w:val="auto"/>
        </w:rPr>
        <w:t>We currently rely on sales of Afirma to generate all of our revenue. In May 2014, we commercially launched our Afirma Malignancy Classifiers, which we believe enhances our Afirma Thyroid FNA Analysis as a comprehensive way to manage thyroid nodule patients and serve our current base of prescribing physicians. We are also pursuing development or acquisition of products for additional diseases to increase and diversify our revenue. For example, in September 2014 we acquired Allegro and with it, the Percepta Bronchial Genomic Classifier, a molecular diagnostic lung cancer test designed to help physicians determine which patients with lung nodules who have had an inconclusive bronchoscopy result are at low risk for cancer and can thus be safely monitored with CT scans, rather than undergoing invasive procedures. We launched the Percepta test in April 2015. Additionally, we are pursuing a solution for interstitial lung disease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 Volume and Cash Collections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business is subject to fluctuations in the number of FNA samples received for both cytopathology and GEC testing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adjustments in its fee schedules at the beginning of the year which may affect our reimbursement. Additionally, some plans reset their deductibles at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beginning of each year which means that patients early in the year are responsible for a greater portion of the cost of our tests, and we have lower cash collection rates from individuals than from third-party payers. Later in the year, particularly in the fourth quarter, we experience improved payment results as third-party payers tend to clear pending claims toward year end. This trend historically has increased our cash collections in the fourth quarter. The effects of these seasonal fluctuations in prior periods may have been obscured by the growth of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Through March 31, 2016, all of our revenue have been derived from the sale of Afirma. To date, Afirma has been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31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20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United Healthcare</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Cigna</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2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total revenue.</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For tests performed where we have an agreed upon reimbursement rate or we can estimate the amount we will ultimately receive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ultimately receive. We determine the amount we expect to ultimately receive based on a per payer, per contract or agreement basis. The expected amount is typically lower than, if applicable, the agreed upon reimbursement amount due to several factors, such as the amount of patient co-payments, the existence of secondary payers and claim denials. In other situations, where we cannot estimate the amount that will be ultimately received, we recognize revenue upon the earlier of receipt of third-party payer notification of payment or when cash is received. Incremental accrued revenue as a result of additional payers meeting our revenue recognition criteria for the quarters ended March 31, 2016 and 2015 was approximately $146,000 and $325,000, respectively. The quarter ended March 31, 2015 also included a catch-up payment from a payer of $643,000. Upon ultimate collection, the amount received from Medicare and commercial payers where reimbursement was estimated is compared to previous estimates and the contractual allowance is adjusted accordingly. Our ability to increase our revenue will depend on our ability to penetrate the market, obtain positive coverage policies from additional third-party payers, obtain reimbursement and/or enter into contracts with additional third-party payers, and increase reimbursement rates for tests performed. Finally, should we recognize revenue from payers on an accrual basis and later determine the judgments underlying estimated reimbursement change, our financial results could be negatively impacted in future quarters.</w:t>
      </w:r>
    </w:p>
    <w:p>
      <w:pPr>
        <w:sectPr>
          <w:pgSz w:w="11900" w:h="16838" w:orient="portrait"/>
          <w:cols w:equalWidth="0" w:num="1">
            <w:col w:w="11400"/>
          </w:cols>
          <w:pgMar w:left="240" w:top="125" w:right="259" w:bottom="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of Revenue</w:t>
      </w:r>
    </w:p>
    <w:p>
      <w:pPr>
        <w:sectPr>
          <w:pgSz w:w="11900" w:h="16838" w:orient="portrait"/>
          <w:cols w:equalWidth="0" w:num="1">
            <w:col w:w="11400"/>
          </w:cols>
          <w:pgMar w:left="240" w:top="125" w:right="259" w:bottom="0" w:gutter="0" w:footer="0" w:header="0"/>
          <w:type w:val="continuous"/>
        </w:sectPr>
      </w:pPr>
    </w:p>
    <w:bookmarkStart w:id="15" w:name="page16"/>
    <w:bookmarkEnd w:id="15"/>
    <w:p>
      <w:pPr>
        <w:spacing w:after="0" w:line="1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and from the higher costs of our new facility.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future periods as we continue to invest in research and development activities related to developing additional products and evaluating various platforms. We expect that in 2016, the increase in research and development expenses will continue for the development and launch of our new ILD product and for the continued development and support of the Afirma and Percepta tests. Specifically, we plan to: increase the body of clinical evidence to support Afirma; incur research and development expenses associated with clinical utility studies to support the commercialization of Percepta; and incur expenses associated with development, analytical verification and clinical validation studies in our ILD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Selling and marketing expenses consist of personnel costs, including stock-based compensation expense, direct marketing expenses, consulting costs, and allocated overhead including rent, information technology, equipment depreciation and utilities. In addition, co-promotion fees paid to Genzyme, net of amortization of the up-front fee received, are included in selling and marketing expenses. In November 2014, we amended the co-promotion agreement with Genzyme and our personnel and marketing costs increased as we took on more sales and marketing responsibilities related to Afirma, but these increases are offset by the lower rate we are required to pay Genzyme under the Amended Agreement beginning in January 2015. On March 9, 2016, we formalized the decision to conclude the Amended Agreement with Genzyme effective September 9, 2016. Consequently, in 2016, we have further expanded our internal sales force and marketing spending as we transition out of the relationship. We expect that these costs will be offset by the elimination of the co-promotion fee, beginning in mid-September 2016. In 2016, we also expect to incur increased selling and marketing expense as a result of investments in our lung product portfolio. We believe total selling and marketing expenses will continue to increase in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General and administrative expenses include those from executive, finance and accounting, human resources, legal,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We expect our general and administration expenses to remain flat for the remainder of 2016 as consulting expenses are expected to decline, offset by higher personnel-related expenses from the expansion of our billing group to support anticipated increased demand for our tests.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Intangible asset amortization began in April 2015 when we launched the Percepta test. The finite-lived intangible asset with a cost of $16.0 million is being amortized over 15 years, using the straight-line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our loan and security agreement and the credit agreement that replaced 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Other income (expense), net, for the quarters ended March 31, 2016 and 2015 consists primarily of sublease rental income and interest income received from payers and from our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unaudited interim condensed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w:t>
      </w:r>
    </w:p>
    <w:p>
      <w:pPr>
        <w:sectPr>
          <w:pgSz w:w="11900" w:h="16975" w:orient="portrait"/>
          <w:cols w:equalWidth="0" w:num="1">
            <w:col w:w="11420"/>
          </w:cols>
          <w:pgMar w:left="240" w:top="341" w:right="239" w:bottom="0" w:gutter="0" w:footer="0" w:header="0"/>
        </w:sectPr>
      </w:pPr>
    </w:p>
    <w:bookmarkStart w:id="16" w:name="page17"/>
    <w:bookmarkEnd w:id="16"/>
    <w:p>
      <w:pPr>
        <w:jc w:val="both"/>
        <w:ind w:right="120"/>
        <w:spacing w:after="0" w:line="312" w:lineRule="auto"/>
        <w:rPr>
          <w:sz w:val="20"/>
          <w:szCs w:val="20"/>
          <w:color w:val="auto"/>
        </w:rPr>
      </w:pPr>
      <w:r>
        <w:rPr>
          <w:rFonts w:ascii="Arial" w:cs="Arial" w:eastAsia="Arial" w:hAnsi="Arial"/>
          <w:sz w:val="16"/>
          <w:szCs w:val="16"/>
          <w:color w:val="auto"/>
        </w:rPr>
        <w:t>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We recognize revenue in accordance with the provisions of Accounting Standards Codification (“ASC”) 954-605, </w:t>
      </w:r>
      <w:r>
        <w:rPr>
          <w:rFonts w:ascii="Arial" w:cs="Arial" w:eastAsia="Arial" w:hAnsi="Arial"/>
          <w:sz w:val="17"/>
          <w:szCs w:val="17"/>
          <w:i w:val="1"/>
          <w:iCs w:val="1"/>
          <w:color w:val="auto"/>
        </w:rPr>
        <w:t>Health Care Entities—Revenue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Our revenue is generated from the provision of diagnostic services using the Afirma solution and the service is completed upon the delivery of</w:t>
      </w:r>
      <w:r>
        <w:rPr>
          <w:rFonts w:ascii="Arial" w:cs="Arial" w:eastAsia="Arial" w:hAnsi="Arial"/>
          <w:sz w:val="17"/>
          <w:szCs w:val="17"/>
          <w:i w:val="1"/>
          <w:iCs w:val="1"/>
          <w:color w:val="auto"/>
        </w:rPr>
        <w:t xml:space="preserve"> </w:t>
      </w:r>
      <w:r>
        <w:rPr>
          <w:rFonts w:ascii="Arial" w:cs="Arial" w:eastAsia="Arial" w:hAnsi="Arial"/>
          <w:sz w:val="17"/>
          <w:szCs w:val="17"/>
          <w:color w:val="auto"/>
        </w:rPr>
        <w:t>test results to the prescribing physician, at which time we bill for the service. We recognize revenue related to billings for Medicare and commercial payers on an accrual basis, net of contractual and other adjustments, when amounts that will ultimately be realized can be estimated. Contractual and other adjustments represent the difference between the list price (the billing rate) and the estimated reimbursement rate for each payer. Upon ultimate collection, the amount received from Medicare and commercial payers where reimbursement was estimated is compared to previous estimates and, if necessary,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us. In the absence of an agreement with the patient or other clearly enforceable legal right to demand payment from the patient, the related revenue is only recognized upon the earlier of payment notification, if applicable, or cash receipt.</w:t>
      </w:r>
    </w:p>
    <w:p>
      <w:pPr>
        <w:spacing w:after="0" w:line="18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estimates of amounts that will ultimately be realized requires significant judgment by management. Some patients have out-of-pocket costs for amounts not covered by their insurance carrier, and we may bill the patient directly for these amounts in the form of co-payments and co-insurance in accordance with their insurance carrier and health plans. Some payers may not cover our GEC as ordered by the prescribing physician under their reimbursement policies. We pursue reimbursement from such patients on a case-by-case basis. In the absence of contracted reimbursement coverage or the ability to estimate the amount that will ultimately be realized for our services, revenue is recognized upon the earlier of receipt of third-party payer notification of payment or when cash is received.</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use judgment in determining if we are able to make an estimate of what will be ultimately realized. We also use judgment in estimating the amounts we expect to collect by payer. Our judgments will continue to evolve in the future as we continue to gain payment experience with third-party payers and patients.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Finite-lived intangible assets relates to intangible assets reclassified from indefinite-lived intangible assets, following the launch of Percepta in April 2015. We amortize finite-lived intangible assets using the straight-line method, over their estimated useful life. The estimated useful life of 15 years was used for the intangible asset related to Percepta based on management’s estimate of product life, product life of other diagnostic tests and patent life. We test this finite-lived intangible asset for impairment when events or circumstances indicate a reduction in the fair value below its carrying amount. There was no impairment for the three months ended March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recognize stock-based compensation cost for only those shares underlying stock options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2016 and 2015 (in thousands of dollars, except percentages)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w w:val="98"/>
              </w:rPr>
              <w:t>Three Months Ended March 31,</w:t>
            </w:r>
          </w:p>
        </w:tc>
        <w:tc>
          <w:tcPr>
            <w:tcW w:w="1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5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gridSpan w:val="2"/>
          </w:tcPr>
          <w:p>
            <w:pPr>
              <w:spacing w:after="0"/>
              <w:rPr>
                <w:sz w:val="12"/>
                <w:szCs w:val="12"/>
                <w:color w:val="auto"/>
              </w:rPr>
            </w:pPr>
          </w:p>
        </w:tc>
        <w:tc>
          <w:tcPr>
            <w:tcW w:w="112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Operating expense: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1,713</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2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4,530</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8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(278)</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r>
      <w:tr>
        <w:trPr>
          <w:trHeight w:val="250"/>
        </w:trPr>
        <w:tc>
          <w:tcPr>
            <w:tcW w:w="2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Net loss and comprehensive loss</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280" w:type="dxa"/>
            <w:vAlign w:val="bottom"/>
            <w:tcBorders>
              <w:bottom w:val="single" w:sz="8" w:color="CCEEFF"/>
            </w:tcBorders>
            <w:gridSpan w:val="2"/>
          </w:tcPr>
          <w:p>
            <w:pPr>
              <w:spacing w:after="0"/>
              <w:rPr>
                <w:sz w:val="21"/>
                <w:szCs w:val="21"/>
                <w:color w:val="auto"/>
              </w:rPr>
            </w:pPr>
          </w:p>
        </w:tc>
        <w:tc>
          <w:tcPr>
            <w:tcW w:w="14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170"/>
        </w:trPr>
        <w:tc>
          <w:tcPr>
            <w:tcW w:w="25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Other Operating Data:</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GECs processed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1,332</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r>
      <w:tr>
        <w:trPr>
          <w:trHeight w:val="20"/>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ectPr>
          <w:pgSz w:w="11900" w:h="16838" w:orient="portrait"/>
          <w:cols w:equalWidth="0" w:num="1">
            <w:col w:w="11400"/>
          </w:cols>
          <w:pgMar w:left="240" w:top="125" w:right="259" w:bottom="113" w:gutter="0" w:footer="0" w:header="0"/>
        </w:sectPr>
      </w:pPr>
    </w:p>
    <w:bookmarkStart w:id="17" w:name="page18"/>
    <w:bookmarkEnd w:id="17"/>
    <w:p>
      <w:pPr>
        <w:ind w:firstLine="648"/>
        <w:spacing w:after="0" w:line="257" w:lineRule="auto"/>
        <w:rPr>
          <w:sz w:val="20"/>
          <w:szCs w:val="20"/>
          <w:color w:val="auto"/>
        </w:rPr>
      </w:pPr>
      <w:r>
        <w:rPr>
          <w:rFonts w:ascii="Arial" w:cs="Arial" w:eastAsia="Arial" w:hAnsi="Arial"/>
          <w:sz w:val="18"/>
          <w:szCs w:val="18"/>
          <w:color w:val="auto"/>
        </w:rPr>
        <w:t>Revenue increased $2.3 million, or 21%, for the three months ended March 31, 2016 compared to the same period in 2015. The increase was primarily due to increased adoption of Afirma and the resultant increase in tests delivered, especially the proportion of GEC tests reported, and, to a lesser extent, additional payers meeting our revenue recognition criteria for accrual, partially offset by a decrease in revenue recorded when cash is received. As contracts are executed and as revenue and cash collection becomes more predictable, we expect to to accrue a greater proportion of revenue instead of waiting for cash receipt.</w:t>
      </w:r>
    </w:p>
    <w:p>
      <w:pPr>
        <w:spacing w:after="0" w:line="18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Revenue recognized when cash is received and on an accrual basis for the three months ended March 31, 2016 and 2015 was as follows (in thousands of dollars):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recognized when cash is received</w:t>
            </w: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Revenue recognized on an accrual basis</w:t>
            </w:r>
          </w:p>
        </w:tc>
        <w:tc>
          <w:tcPr>
            <w:tcW w:w="8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8,226</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5,386</w:t>
            </w:r>
          </w:p>
        </w:tc>
      </w:tr>
      <w:tr>
        <w:trPr>
          <w:trHeight w:val="210"/>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2016 and 2015 is as follows (in thousands of dollars, except percentages):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9"/>
              </w:rPr>
              <w:t>Three Months Ended March 31,</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Change</w:t>
            </w:r>
          </w:p>
        </w:tc>
        <w:tc>
          <w:tcPr>
            <w:tcW w:w="112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w w:val="99"/>
              </w:rPr>
              <w:t>Reagents, chips, consumables and related</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2,290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1,457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833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Cytopathology fees and related costs</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1,480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Sample collection</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labor</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816</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3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6,279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Cost of revenue increased $1.7 million, or 38%, for the three months ended March 31, 2016 compared to the same period in 2015. Given our corporate focus on GEC growth and the adoption of the Afirma test, GEC tests increased by 33% and cytopathology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tests increased by 21%. The increase in reagents, chips, consumables and related costs is associated primarily with increased GEC test volume. The increase in cytopathology fees is related to the volume increase in FNA samples processed. The increase in sample collection costs is primarily related to increased volume of samples. The increase in direct labor is associated with the increase in sample volume and the mix shift to relatively more GECs versus cytopathology tests as more labor hours are incurred on the GEC tests compared to the cytopathology tests and at a higher average employee cost. Other costs are primarily indirect costs, such as facilities allocation, depreciation and equipment maintenance, which increased as a result of increased allocable costs and increased allocation to cost of revenue due to an average headcount increase of 28%.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2016 and 2015 is as follows (in thousands of dollars, except percentages):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Change</w:t>
            </w:r>
          </w:p>
        </w:tc>
        <w:tc>
          <w:tcPr>
            <w:tcW w:w="14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Personnel-related expense</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1,668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1,425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w w:val="86"/>
              </w:rPr>
              <w:t>243</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47</w:t>
            </w:r>
          </w:p>
        </w:tc>
        <w:tc>
          <w:tcPr>
            <w:tcW w:w="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Direct R&amp;D expense</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813</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18"/>
                <w:szCs w:val="18"/>
                <w:color w:val="auto"/>
              </w:rPr>
            </w:pPr>
          </w:p>
        </w:tc>
        <w:tc>
          <w:tcPr>
            <w:tcW w:w="940" w:type="dxa"/>
            <w:vAlign w:val="bottom"/>
            <w:gridSpan w:val="2"/>
          </w:tcPr>
          <w:p>
            <w:pPr>
              <w:ind w:left="660"/>
              <w:spacing w:after="0"/>
              <w:rPr>
                <w:sz w:val="20"/>
                <w:szCs w:val="20"/>
                <w:color w:val="auto"/>
              </w:rPr>
            </w:pPr>
            <w:r>
              <w:rPr>
                <w:rFonts w:ascii="Arial" w:cs="Arial" w:eastAsia="Arial" w:hAnsi="Arial"/>
                <w:sz w:val="18"/>
                <w:szCs w:val="18"/>
                <w:color w:val="auto"/>
                <w:w w:val="86"/>
              </w:rPr>
              <w:t>198</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6"/>
              </w:rPr>
              <w:t>186</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3580" w:type="dxa"/>
            <w:vAlign w:val="bottom"/>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3,461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79"/>
              </w:rPr>
              <w:t>674</w:t>
            </w:r>
          </w:p>
        </w:tc>
        <w:tc>
          <w:tcPr>
            <w:tcW w:w="20" w:type="dxa"/>
            <w:vAlign w:val="bottom"/>
            <w:tcBorders>
              <w:bottom w:val="single" w:sz="8" w:color="auto"/>
            </w:tcBorders>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Research and development expense increased $0.7 million, or 24%, for the three months ended March 31, 2016 compared to the same period in 2015. The increase in personnel-related expense was primarily due to increased accrued bonuses as a result of increased bonus targets and performance. The increase in stock-based compensation expense reflects option grants to new and existing employees. The increase in direct R&amp;D expense was primarily due to materials purchased for research and development experiments. Other expense increased primarily as a result of increased information technology and facilities expenses that were related to research and development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2016 and 2015 is as follows (in thousands of dollars, except percentages):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6"/>
              </w:rPr>
              <w:t>Three Months Ended March 31,</w:t>
            </w: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04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Selling and marketing expense:</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w w:val="94"/>
              </w:rPr>
              <w:t>Genzyme co-promotion expense, net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1,210</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416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Personnel-related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w w:val="95"/>
              </w:rPr>
              <w:t>Stock-based compensation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r>
      <w:tr>
        <w:trPr>
          <w:trHeight w:val="210"/>
        </w:trPr>
        <w:tc>
          <w:tcPr>
            <w:tcW w:w="29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r>
      <w:tr>
        <w:trPr>
          <w:trHeight w:val="20"/>
        </w:trPr>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18" w:name="page19"/>
    <w:bookmarkEnd w:id="18"/>
    <w:p>
      <w:pPr>
        <w:ind w:right="80" w:firstLine="648"/>
        <w:spacing w:after="0" w:line="291" w:lineRule="auto"/>
        <w:rPr>
          <w:sz w:val="20"/>
          <w:szCs w:val="20"/>
          <w:color w:val="auto"/>
        </w:rPr>
      </w:pPr>
      <w:r>
        <w:rPr>
          <w:rFonts w:ascii="Arial" w:cs="Arial" w:eastAsia="Arial" w:hAnsi="Arial"/>
          <w:sz w:val="16"/>
          <w:szCs w:val="16"/>
          <w:color w:val="auto"/>
        </w:rPr>
        <w:t>Selling and marketing expense increased $1.4 million, or 26%, for the three months ended March 31, 2016 compared to the same period in 2015. The increase in Genzyme co-promotion expense, net, reflects an increase in cash collections for Afirma. The increase in personnel-related expense was primarily due to a 31% increase in average headcount of our sales and marketing team, as we prepare for the termination of the Amended Agreement, as well as increased commissions and accrued bonus as a result of increased performance and bonus targets. The increase in stock-based compensation expense reflects option grants to new and existing employees. The decrease in direct marketing expense was due primarily to a reduction of expenses associated with Afirma, including trade shows, market research, advertising, public relations, and speaker programs. The increase in other expense was primarily due to an increase in information technology and facilities expenses that were related to sales and marketing activities.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2016 and 2015 is as follows (in thousands of dollars, except percentages):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9"/>
              </w:rPr>
              <w:t>Three Months Ended March 31,</w:t>
            </w:r>
          </w:p>
        </w:tc>
        <w:tc>
          <w:tcPr>
            <w:tcW w:w="1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Change</w:t>
            </w:r>
          </w:p>
        </w:tc>
        <w:tc>
          <w:tcPr>
            <w:tcW w:w="112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96"/>
        </w:trPr>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General and administrative expense:</w:t>
            </w: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Personnel-related expense</w:t>
            </w:r>
          </w:p>
        </w:tc>
        <w:tc>
          <w:tcPr>
            <w:tcW w:w="110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3,026</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2,550</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476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Stock-based compensation expense</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Professional fees expense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1,279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(418)</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and other facilities expense</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(196)</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0"/>
        </w:trPr>
        <w:tc>
          <w:tcPr>
            <w:tcW w:w="3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6,228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0"/>
        </w:trPr>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 and administrative expense increased $0.4 million, or 7%, for the three months ended March 31, 2016 compared to the same period in 2015. The increase in personnel-related expense was primarily due to increased accrued bonuses as a result of increased bonus targets and performance, as well as a 9% increase in average headcount for the three months ended March 31, 2016 as compared to the same period in 2015. The increase in stock-based compensation expense was primarily due to option grants to new and existing employees. The decrease in professional fees was primarily due to lower accounting, audit and legal expenses. The increase in rent and other facilities expense was largely due to incurring expense for our new South San Francisco facility, as well as our previous space, for which the lease ends in March 2016. While we do not begin to make rent payments for our new South San Francisco facility until April 2016, in accordance with GAAP, the rent is expensed on a straight-line basis over the lease period. The decrease in other expense was due primarily to consulting expense of approximately $0.5 million for the three months ended March 31, 2015 that did not recur, partially offset by higher general administrative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Interest expense increased $278,000 for the three months ended March 31, 2016 compared to the same period in 2015 due to paying off the loan and security agreement in March 2016, which included expenses for an end-of-term payment, a prepayment penalty and the write-off of debt issuance costs and debt discount.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Other income (expense), net, increased $11,000 for the three months ended March 31, 2016 compared to the same period in 2015 primarily due higher interest income from our money market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have incurred net losses since our inception. For the three months ended March 31, 2016 and 2015, we had a net loss of $10.1 million and $7.6 million, respectively, and we expect to incur additional losses in 2016 and in future years. As of March 31, 2016, we had an accumulated deficit of $158.8 million. We may never achieve revenue sufficient to offset our expenses.</w:t>
      </w:r>
    </w:p>
    <w:p>
      <w:pPr>
        <w:spacing w:after="0" w:line="18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believe our existing cash and cash equivalents of $47.5 million as of March 31, 2016 and our revenue during the next 12 months will be sufficient to meet our anticipated cash requirements for at least the next 12 months.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From inception through March 31, 2016, we have received $217.1 million in net proceeds from various sources to finance our operations, including net proceeds of $78.6 million from sales of our preferred stock, net proceeds of $59.2 million from our IPO, net proceeds of $37.3 million from our sale of common stock in a private placement, $10.0 million from the Genzyme co-promotion agreement, net borrowings of $4.9 million under our loan and security agreement which was paid off in March 2016, net borrowings of $24.5 million under our credit agreement and $2.6 million from the exercise of stock options and employee stock purchases.</w:t>
      </w:r>
    </w:p>
    <w:p>
      <w:pPr>
        <w:spacing w:after="0" w:line="18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March 2016, we entered into a credit agreement, or Credit Agreement, with Visium Healthcare Partners, LP, or Visium. Under the Credit Agreement, two term loans are available to us with an aggregate principal amount of up to $40.0 million. We drew down the initial $25.0 million term loan, or Initial Term Loan on March 30, 2016. On or prior to June 30, 2017, we may request the second term loan of up to $15.0 million, or the Second Term Loan. The Initial Term Loan and the Second Term Loan are referred to as Term Loans, which mature on March 31, 2022.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Loans bear interest at a fixed rate of 12.0% per annum, payable quarterly at the end of each March, June,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100" w:gutter="0" w:footer="0" w:header="0"/>
        </w:sectPr>
      </w:pPr>
    </w:p>
    <w:bookmarkStart w:id="19" w:name="page20"/>
    <w:bookmarkEnd w:id="19"/>
    <w:p>
      <w:pPr>
        <w:ind w:right="80"/>
        <w:spacing w:after="0" w:line="273" w:lineRule="auto"/>
        <w:rPr>
          <w:sz w:val="20"/>
          <w:szCs w:val="20"/>
          <w:color w:val="auto"/>
        </w:rPr>
      </w:pPr>
      <w:r>
        <w:rPr>
          <w:rFonts w:ascii="Arial" w:cs="Arial" w:eastAsia="Arial" w:hAnsi="Arial"/>
          <w:sz w:val="17"/>
          <w:szCs w:val="17"/>
          <w:color w:val="auto"/>
        </w:rPr>
        <w:t>September and December. No principal payments will be due during an interest-only period, commencing on the funding date for the Initial Term Loan, or Initial Borrowing Date, and continuing through and including March 31, 2020. We are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we may elect to pay interest in cash on the outstanding principal amounts of the Term Loans at a fixed rate of 9.0%, with the remaining 3.0% of the 12.0% interest paid-in-kind by adding such paid-in-kind interest to the outstanding principal amounts of the Term Loans.</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3"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Our obligations under the Credit Agreement are secured by a security interest in substantially all of its assets. The Credit Agreement contains customary representations, warranties, and events of default,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The Credit Agreement also includes financial covenants requiring minimum cash and cash equivalents balances and minimum revenues. To the extent we form or acquire certain subsidiaries domiciled in the United States, those subsidiaries are required to be guarantors of our obligations under the Credit Agreement. As of March 31, 2016, we were in compliance with the loan covenants.</w:t>
      </w:r>
    </w:p>
    <w:p>
      <w:pPr>
        <w:spacing w:after="0" w:line="16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April 2015, we completed a private placement of 4,907,975 shares of our common stock to certain accredited investors, the Investors, at a purchase price of $8.15 per share. Gross proceeds to us were $40.0 million, and we received $37.3 million in net proceeds, after deducting placement agent fees and other expenses payable by us of $2.7 million.</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June 2013, we entered into a loan and security agreement with a financial institution, or the Original Loan. The Original Loan provided for term loans of up to $10.0 million in aggregate. We drew down $5.0 million in funds under the agreement in June 2013, and did not draw the remaining $5.0 million on or before the expiration date of March 31, 2014. We were required to repay the outstanding principal in 30 equal installments beginning 18 months after the date of the borrowing and the loan was due in full in June 2017. The Original Loan had an interest rate of 6.06% per annum, carried prepayment penalties of 2.25% and 1.50% for prepayment within one and two years, respectively, and 0.75% thereafter.</w:t>
      </w:r>
    </w:p>
    <w:p>
      <w:pPr>
        <w:spacing w:after="0" w:line="17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December 2014, we amended certain terms and conditions of the Original Loan, which we refer to as the Amended Loan. The Amended Loan provided for term loans of up to $15.0 million in aggregate, in three tranches of $5.0 million each. We borrowed $5.0 million under the first tranche in December 2014 and used the funds for repayment of the $5.0 million in principal outstanding under the Original Loan, in a cashless transaction. In addition, we paid the accrued but unpaid interest of $14,000 due on the Original Loan and the related end-of-term payment of $110,000. The Amended Loan waived the prepayment premium of $75,000 under the Original Loan and reduced the end-of-term payment of $225,000 under the Original Loan to $110,000. In November 2015, we further amended the Amended Loan to extend the availability of the second $5.0 million tranche under the Amended Loan through June 30, 2016 from December 31, 2015 originally. We could have borrowed the third $5.0 million tranche any time through June 30, 2016 after achieving the third tranche revenue milestone as defined in the Amended Loan.</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Amended Loan, we were required to repay the outstanding principal in 24 equal installments beginning 24 months after the date of the borrowing and the loan was due in full in December 2018. The first tranche of the Amended Loan bore interest at a rate of 5.00% per annum and the obligation included an end-of-term payment of $237,500, representing 4.75% of the total outstanding principal balance, which accreted over the life of the loan as interest expense. The Amended Loan carried prepayment penalties of 2.00% and 1.00% for prepayment within one and two years, respectively, and no prepayment penalty thereafter. In connection with the Amended Loan, we paid approximately $45,000 in third-party fees. As a result of the debt discount and the end-of-term payment, the effective interest rate for the Amended Loan differed from the contractual rate.</w:t>
      </w:r>
    </w:p>
    <w:p>
      <w:pPr>
        <w:spacing w:after="0" w:line="17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March 2016, a portion of the net proceeds from the Visium Initial Term Loan was used to pay off the remaining balances of the Amended Loan and the Amended Loan agreement was cancelled.</w:t>
      </w:r>
    </w:p>
    <w:p>
      <w:pPr>
        <w:spacing w:after="0" w:line="170"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We expect that our near- and longer-term liquidity requirements will continue to consist of selling and marketing expenses, research and development expenses, working capital, and general corporate expenses associated with the growth of our business. However, we may also use cash to acquire or invest in complementary businesses, technologies, services or products that would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ectPr>
          <w:pgSz w:w="11900" w:h="16838" w:orient="portrait"/>
          <w:cols w:equalWidth="0" w:num="1">
            <w:col w:w="11420"/>
          </w:cols>
          <w:pgMar w:left="240" w:top="125" w:right="239" w:bottom="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The following table summarizes our cash flows for the three months ended March 31, 2016 and 2015 (in thousands of dollars):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(8,867)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(2,975)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19,945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Cash used in operating activities for the three months ended March 31, 2016 was $8.6 million. The net loss of $10.1 million includes non-cash charges of $0.4 million in amortization of the deferred fee received from Genzyme, offset primarily by $1.5 million of stock-based compensation expense, $0.8 million of depreciation and amortization, which includes $0.3 million of intangible asset amortization, and $0.3 million in interest and prepayment penalty relating to the repayment of our borrowings under our Amended Loan. The increase in net operating assets of $0.7 million was due to a decrease of $1.1 million in accrued liabilities and deferred rent primarily from the payment of annual bonuses, offset by a $0.3 million increase in accounts payable from the timing of payments.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used in operating activities for the three months ended March 31, 2015 was $8.9 million. The net loss of $7.6 million includes non-cash charges of $0.5 million in amortization of the deferred fee received from Genzyme, offset primarily by $1.2 million of stock-based compensation expense and $0.4 million of depreciation and amortization. The increase in net operating assets of $2.4 million was primarily due to a $2.9 million decrease in accounts payable and accrued liabilities resulting from the timing of payments, especially payments to Genzyme, offset by a $0.5 million decrease in accounts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Cash used in investing activities for the three months ended March 31, 2016 was $3.0 million. The investing activities for the three months ended March 31, 2016 consisted mainly of $2.9 million used for the acquisition of property and equipment, primarily for the build out of office space and the new laboratory for our new South San Francisco facility.</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Cash used in investing activities for the three months ended March 31, 2015 was $0.4 million. The investing activities for the three months ended March 31, 2015 consisted primarily of $0.5 million used for the acquisition of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provided by financing activities for the three months ended March 31, 2016 was $19.9 million. The financing activities for the three months ended March 31, 2016 consisted of $24.6 million of net proceeds from the draw down of the Initial Term Loan of the Credit Agreement and $0.6 million from the exercise of options to purchase our common stock, partially offset by the payment of $5.0 million for the remaining principal balance and a $0.3 million of end-of-term payment and prepayment penalty related to the Amended Loan.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Cash provided by financing activities for the three months ended March 31, 2015 was $0.1 million from the exercise of options to purchase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certain contractual obligations as of March 31, 2016 (in thousands of dollars):</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Less than</w:t>
            </w:r>
          </w:p>
        </w:tc>
        <w:tc>
          <w:tcPr>
            <w:tcW w:w="220" w:type="dxa"/>
            <w:vAlign w:val="bottom"/>
          </w:tcPr>
          <w:p>
            <w:pPr>
              <w:spacing w:after="0"/>
              <w:rPr>
                <w:sz w:val="10"/>
                <w:szCs w:val="10"/>
                <w:color w:val="auto"/>
              </w:rPr>
            </w:pPr>
          </w:p>
        </w:tc>
        <w:tc>
          <w:tcPr>
            <w:tcW w:w="102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1 to 3</w:t>
            </w:r>
          </w:p>
        </w:tc>
        <w:tc>
          <w:tcPr>
            <w:tcW w:w="220" w:type="dxa"/>
            <w:vAlign w:val="bottom"/>
          </w:tcPr>
          <w:p>
            <w:pPr>
              <w:spacing w:after="0"/>
              <w:rPr>
                <w:sz w:val="10"/>
                <w:szCs w:val="10"/>
                <w:color w:val="auto"/>
              </w:rPr>
            </w:pPr>
          </w:p>
        </w:tc>
        <w:tc>
          <w:tcPr>
            <w:tcW w:w="102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3 to 5</w:t>
            </w:r>
          </w:p>
        </w:tc>
        <w:tc>
          <w:tcPr>
            <w:tcW w:w="140" w:type="dxa"/>
            <w:vAlign w:val="bottom"/>
          </w:tcPr>
          <w:p>
            <w:pPr>
              <w:spacing w:after="0"/>
              <w:rPr>
                <w:sz w:val="10"/>
                <w:szCs w:val="10"/>
                <w:color w:val="auto"/>
              </w:rPr>
            </w:pPr>
          </w:p>
        </w:tc>
        <w:tc>
          <w:tcPr>
            <w:tcW w:w="10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More than</w:t>
            </w:r>
          </w:p>
        </w:tc>
        <w:tc>
          <w:tcPr>
            <w:tcW w:w="220" w:type="dxa"/>
            <w:vAlign w:val="bottom"/>
          </w:tcPr>
          <w:p>
            <w:pPr>
              <w:spacing w:after="0"/>
              <w:rPr>
                <w:sz w:val="10"/>
                <w:szCs w:val="10"/>
                <w:color w:val="auto"/>
              </w:rPr>
            </w:pPr>
          </w:p>
        </w:tc>
        <w:tc>
          <w:tcPr>
            <w:tcW w:w="8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3"/>
              </w:rPr>
              <w:t>11,956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3"/>
              </w:rPr>
              <w:t>21,879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Long-term debt obligations</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9,375</w:t>
            </w:r>
          </w:p>
        </w:tc>
        <w:tc>
          <w:tcPr>
            <w:tcW w:w="14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15,625</w:t>
            </w:r>
          </w:p>
        </w:tc>
        <w:tc>
          <w:tcPr>
            <w:tcW w:w="22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w w:val="87"/>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Supplies purchase commitments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6"/>
              </w:rPr>
              <w:t>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3"/>
              </w:rPr>
              <w:t>27,581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3"/>
              </w:rPr>
              <w:t>47,692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2015, we signed a non-cancelable lease agreement for approximately 59,000 square feet to serve as our new South San Francisco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lease began in June 2015 and expires in March 2026, and contains extension of lease term and expansion options.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November 2012, we entered into a non-cancelable lease agreement commencing February 2013 for our laboratory and office space in Austin, Texas. The lease expires in July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ectPr>
          <w:pgSz w:w="11900" w:h="16838" w:orient="portrait"/>
          <w:cols w:equalWidth="0" w:num="1">
            <w:col w:w="11400"/>
          </w:cols>
          <w:pgMar w:left="240" w:top="125" w:right="259" w:bottom="0" w:gutter="0" w:footer="0" w:header="0"/>
        </w:sectPr>
      </w:pPr>
    </w:p>
    <w:bookmarkStart w:id="21" w:name="page22"/>
    <w:bookmarkEnd w:id="21"/>
    <w:p>
      <w:pPr>
        <w:spacing w:after="0" w:line="36"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requiring an entity to recognize the amount of revenue to which it expects to be entitled for the transfer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customers. The updated standard will replace most existing revenue recognition guidance in GAAP when it becomes effective and permits the use of either the retrospective or cumulative effect transition method. Adoption is permitted as early as the first quarter of 2017 and is required by the first quarter of 2018. We have not yet selected a transition method and are currently evaluating the potential effect of the updated standard on our financial statements.</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August 2014, FASB issued Accounting Standards Update No. 2014-15, </w:t>
      </w:r>
      <w:r>
        <w:rPr>
          <w:rFonts w:ascii="Arial" w:cs="Arial" w:eastAsia="Arial" w:hAnsi="Arial"/>
          <w:sz w:val="17"/>
          <w:szCs w:val="17"/>
          <w:i w:val="1"/>
          <w:iCs w:val="1"/>
          <w:color w:val="auto"/>
        </w:rPr>
        <w:t>Presentation of Financial Statements Going Concern—Disclosure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w:t>
      </w:r>
      <w:r>
        <w:rPr>
          <w:rFonts w:ascii="Arial" w:cs="Arial" w:eastAsia="Arial" w:hAnsi="Arial"/>
          <w:sz w:val="17"/>
          <w:szCs w:val="17"/>
          <w:color w:val="auto"/>
        </w:rPr>
        <w:t>. The amendments require management to assess an entity’s ability to continue as a</w:t>
      </w:r>
      <w:r>
        <w:rPr>
          <w:rFonts w:ascii="Arial" w:cs="Arial" w:eastAsia="Arial" w:hAnsi="Arial"/>
          <w:sz w:val="17"/>
          <w:szCs w:val="17"/>
          <w:i w:val="1"/>
          <w:iCs w:val="1"/>
          <w:color w:val="auto"/>
        </w:rPr>
        <w:t xml:space="preserve"> </w:t>
      </w:r>
      <w:r>
        <w:rPr>
          <w:rFonts w:ascii="Arial" w:cs="Arial" w:eastAsia="Arial" w:hAnsi="Arial"/>
          <w:sz w:val="17"/>
          <w:szCs w:val="17"/>
          <w:color w:val="auto"/>
        </w:rPr>
        <w:t>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us beginning with our annual report for fiscal 2016 and interim periods thereafter. We do not anticipate that the adoption of this ASU will have a significant impact on our financial statements.</w:t>
      </w:r>
    </w:p>
    <w:p>
      <w:pPr>
        <w:spacing w:after="0" w:line="178"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to require debt issuance costs to be presented as an offset against debt outstanding. The update does not change current guidance on the recognition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and measurement of debt issuance costs. The ASU is effective for interim and annual periods beginning after December 15, 2015. Adoption of the ASU is retrospective to each prior period presented. We have adopted this ASU and the retrospective adjustment of the prior period presentation was not material.</w:t>
      </w:r>
    </w:p>
    <w:p>
      <w:pPr>
        <w:spacing w:after="0" w:line="12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The ASU requires that deferred tax assets and liabilities be classified as noncurrent in the statement of financial position, thereby simplifying the current guidance that requires an entity to separate deferred assets and liabilities into current and noncurrent amounts. This ASU will be effective for us beginning in the first quarter of fiscal year 2018 though early adoption is permitted. We early-adopted the ASU as of December 31, 2015 and the impact of adoption on our statement of financial position was not material.</w:t>
      </w:r>
    </w:p>
    <w:p>
      <w:pPr>
        <w:spacing w:after="0" w:line="15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related to the tax effects of share-based awards. This ASU requires that all the tax effects of share-based awards be recorded through the income statement, thereby simplifying the current guidance that requires related tax deductions in excess of compensation cost (“Excess”) be recorded in equity and tax deficiencies, when compensation cost exceed tax deductions, be recorded in equity to the extent of the previously recognized Excess with the remainder to be recorded in income tax expense. The ASU will be effective for interim and annual periods beginning after December 15, 2016. We do not anticipate that the adoption of this ASU will have a significant impact on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$47.5 million as of March 31, 2016 which includes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March 31, 2016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74" w:orient="portrait"/>
          <w:cols w:equalWidth="0" w:num="1">
            <w:col w:w="11420"/>
          </w:cols>
          <w:pgMar w:left="240" w:top="341" w:right="239" w:bottom="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have incurred net losses since our inception. For the three months ended March 31, 2016, we had a net loss of $10.1 million and we expect to incur additional losses for the remainder of 2016 and in future years. As of March 31, 2016, we had an accumulated deficit of $158.8 million. We may never achieve revenue sufficient to offset our expenses. Over the next couple of years, we expect to continue to devote substantially all of our resources to increase adoption of, and reimbursement for, Afirma, as well as our lung cancer test, Percepta, which we launched in April 2015, and the development of additional tests we plan to commercialize, including our test for Idiopathic Pulmonary Fibrosis, or IPF. We may never achieve or sustain profitability, and our failure to achieve and sustain profitability in the future could cause the market price of our common stock to decline.</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All of our revenues have been derived from the sale of Afirma, which we commercially launched in January 2011. For the foreseeable future, we expect to derive substantially all of our revenue from sales of Afirma and a smaller amount from the sale of Percepta. We launched our first product in pulmonology for lung cancer, Percepta, in April 2015, and our commercialization efforts may not be successful. In addition,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and expand reimbursement for Afirma, or successfully commercialize Percepta and develop and commercialize other solutions, our revenue and our ability to achieve and sustain profitability would be impaired, and the market price of our common stock could decline.</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Revenue for tests performed on patients covered by Medicare, UnitedHealthcare and Cigna was 31%, 13% and 6%, respectively, of our revenue for the three months ended March 31, 2016, compared with 24%, 14% and 15%, respectively, in the three months ended March 31, 2015. The percentage of our revenue derived from significant payers is expected to fluctuate from period to period as our revenue increases,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with jurisdiction at that time, issued coverage and payment determinations for the Gene Expression Classifier, or GEC. On a five-year rotational basis, Medicare requests bids for its regional MAC services. Any future changes in the MAC processing or coding for Medicare claims for the Afirma GEC could result in a change in the coverage or reimbursement rates for such products, or the loss of coverage. In September 2015, the Centers for Medicare &amp; Medicaid Services, or CMS, issued a preliminary determination for the 2016 Clinical Lab Fee Schedule, or CLFS, to establish a national limitation amount for GEC under the “crosswalk” process. If implemented, this would have significantly reduced the Medicare payment rate for GEC in 2016. A final determination was issued in November 2015 that reversed CMS’ earlier decision, indicating that the rate would be set using the gapfill process. We do not yet know whether the gapfill process for GEC will impact the 2016 Medicare payment rate. Medicare may change the rates at which they reimburse us for our tests, and these changes may have an adverse effect on our business, financial condition, results of operations and the price of our stock.</w:t>
      </w:r>
    </w:p>
    <w:p>
      <w:pPr>
        <w:spacing w:after="0" w:line="17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Although we have entered into contracts with certain third-party payers which establish in-network allowable rates of reimbursement for our Afirma tests, payers may suspend or discontinue reimbursement at any time, may require or increase co-payments from patients, or may reduce the reimbursement rates paid to us. Any such actions could have a negative effect on our revenue.</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Physicians may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81"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ectPr>
          <w:pgSz w:w="11900" w:h="16838" w:orient="portrait"/>
          <w:cols w:equalWidth="0" w:num="1">
            <w:col w:w="11400"/>
          </w:cols>
          <w:pgMar w:left="240" w:top="337" w:right="259" w:bottom="45" w:gutter="0" w:footer="0" w:header="0"/>
        </w:sectPr>
      </w:pPr>
    </w:p>
    <w:bookmarkStart w:id="23" w:name="page24"/>
    <w:bookmarkEnd w:id="23"/>
    <w:p>
      <w:pPr>
        <w:spacing w:after="0" w:line="6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do not have a contracted rate of reimbursement with many payers for Afirma, and we do not have any contracted reimbursement with respect to Percepta.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7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Afirma GEC, Afirma Malignancy Classifiers, launched in May 2014, Percepta, launched in 2015,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commercial payers may tie their allowable rates to Medicare rates, and should Medicare reduce their rates, we may be negatively impacted.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Several existing guidelines and historical practices in the United States regarding indeterminate thyroid nodule fine needle aspiration, or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often are performed at a specialized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These facts may make physicians reluctant to convert to using or continuing to use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recognize a large portion of our revenue upon the earlier of receipt of third-party payer notification of payment or when cash is received. We have little visibility as to when we will receive payment for our diagnostic tests, and we must appeal negative payment decisions, which delays collections. We may receive a large number of past payments from a payer all at once which might cause a one-time increase in revenues. For tests performed where we have an agreed upon reimbursement rate or we are able to estimate the amount that will ultimately be realized at the time delivery of a patient report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realize. We determine the amount we expect to realize based on a per payer, per contract or agreement basis. In the first period in which revenue is accrued for a particular payer, there generally is a one-time increase in revenue. In situations where we cannot estimate the amount that will ultimately be collected, we recognize revenue upon the earlier of receipt of third-party notification of payment or when cash is received. Upon ultimate collection, the amount received from Medicare and other payers where reimbursement was estimated is compared to previous estimates and the contractual allowance is adjusted accordingly. These factors will likely result in fluctuations 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quarterly revenue.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w:t>
      </w:r>
    </w:p>
    <w:p>
      <w:pPr>
        <w:sectPr>
          <w:pgSz w:w="11900" w:h="16908" w:orient="portrait"/>
          <w:cols w:equalWidth="0" w:num="1">
            <w:col w:w="11400"/>
          </w:cols>
          <w:pgMar w:left="240" w:top="125" w:right="259" w:bottom="0" w:gutter="0" w:footer="0" w:header="0"/>
        </w:sectPr>
      </w:pPr>
    </w:p>
    <w:bookmarkStart w:id="24" w:name="page25"/>
    <w:bookmarkEnd w:id="24"/>
    <w:p>
      <w:pPr>
        <w:jc w:val="both"/>
        <w:ind w:right="280"/>
        <w:spacing w:after="0" w:line="264" w:lineRule="auto"/>
        <w:rPr>
          <w:sz w:val="20"/>
          <w:szCs w:val="20"/>
          <w:color w:val="auto"/>
        </w:rPr>
      </w:pPr>
      <w:r>
        <w:rPr>
          <w:rFonts w:ascii="Arial" w:cs="Arial" w:eastAsia="Arial" w:hAnsi="Arial"/>
          <w:sz w:val="18"/>
          <w:szCs w:val="18"/>
          <w:color w:val="auto"/>
        </w:rPr>
        <w:t>price per test. We have also agreed to allow TCP to co-locate in a portion of our facilities in Austin, Texas. Our agreement with TCP was effective through December 31, 2015 and automatically renews every year thereafter unless either party provides notice of intent not to renew at least 12 months prior to the end of the then-current term.</w:t>
      </w:r>
    </w:p>
    <w:p>
      <w:pPr>
        <w:spacing w:after="0" w:line="181" w:lineRule="exact"/>
        <w:rPr>
          <w:sz w:val="20"/>
          <w:szCs w:val="20"/>
          <w:color w:val="auto"/>
        </w:rPr>
      </w:pPr>
    </w:p>
    <w:p>
      <w:pPr>
        <w:jc w:val="both"/>
        <w:ind w:right="220"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As demand for Afirma and Percepta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Patient Protection and Affordable Care Act, as amended by the Health Care and Education Affordability Reconciliation Act, collectively the ACA, enacted in March 2010, makes changes that are expected to significantly affect the pharmaceutical and medical device industries and clinical laboratories. Effective January 1, 2013, the ACA includes a 2.3% excise tax on the sale of certain medical devices sold outside of the retail setting. Although a moratorium has been imposed on this excise tax for 2016 and 2017, the excise tax is scheduled to be restored in 2018. Although the FDA has issued draft guidance that, if finalized, would regulate certain laboratory developed tests, or LDTs, as medical devices, our tests are not currently listed as medical devices with the FDA. We cannot assure you that the tax will not be extended to services such as ours in the future if our tests were to be regulated as devices.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the 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ACA to determine the trends and changes that may be necessitated by the legislation, any of which may potentially affect our business.</w:t>
      </w:r>
    </w:p>
    <w:p>
      <w:pPr>
        <w:spacing w:after="0" w:line="19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to the 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laboratory payment rates on the Medicare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6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CMS announced plans to bundle payments for clinical laboratory diagnostic tests together with other services performed during hospital outpatient visits under the Hospital Outpatient Prospective Payment System. For calendar year 2016, CMS maintained an exemption for molecular pathology tests from this packaging provision. It is possible that this exemption could be removed by CMS in future rule making, which might result in lower reimbursement for tests performed in this setting.</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March 1, 2015, a separate CPT code, or Current Procedural Terminology code, for the Afirma GEC was issued. The new code became effective January 1, 2016. In November 2015, the CMS issued a final determination for the 2016 CLFS to establish a national limitation amount for this new CPT code under the gapfill process through the regional MACs during calendar year 2016. We do not yet know whether the gapfill process for our new CPT code for Afirma GEC will impact the current Medicare payment rate.</w:t>
      </w:r>
    </w:p>
    <w:p>
      <w:pPr>
        <w:sectPr>
          <w:pgSz w:w="11900" w:h="16838" w:orient="portrait"/>
          <w:cols w:equalWidth="0" w:num="1">
            <w:col w:w="11420"/>
          </w:cols>
          <w:pgMar w:left="240" w:top="125" w:right="239" w:bottom="0" w:gutter="0" w:footer="0" w:header="0"/>
        </w:sectPr>
      </w:pPr>
    </w:p>
    <w:bookmarkStart w:id="25" w:name="page26"/>
    <w:bookmarkEnd w:id="25"/>
    <w:p>
      <w:pPr>
        <w:ind w:right="20" w:firstLine="648"/>
        <w:spacing w:after="0" w:line="291" w:lineRule="auto"/>
        <w:rPr>
          <w:sz w:val="20"/>
          <w:szCs w:val="20"/>
          <w:color w:val="auto"/>
        </w:rPr>
      </w:pPr>
      <w:r>
        <w:rPr>
          <w:rFonts w:ascii="Arial" w:cs="Arial" w:eastAsia="Arial" w:hAnsi="Arial"/>
          <w:sz w:val="16"/>
          <w:szCs w:val="16"/>
          <w:color w:val="auto"/>
        </w:rPr>
        <w:t>The Protecting Access to Medicare Act of 2014, or PAMA, includes a substantial new payment system for clinical laboratory tests under the CLFS. Under PAMA, laboratories that receive the majority of their Medicare revenues from payments made under the CLFS would report initially and then on a subsequent three year basis thereafter (or annually for advanced diagnostic laboratory tests, or ADLTs), private payer payment rates and volumes for their tests. When the ruling is issued, we will be able to determine the timeline for reporting data to comply with the new PAMA process. CMS will use the rates and volumes reported by laboratories to develop Medicare payment rates for the tests equal to the volume-weighted median of the private payer payment rates for the tests. Although CMS has not yet issued regulations to implement PAMA, we believe our Afirma GEC as well as our Percepta test, once covered, would be considered ADLTs. We cannot assure you that reimbursement rates under the final regulation for tests like ours will not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Under current Medicare billing rules, payment for our tests performed on Medicare beneficiaries who were hospital inpatients at the time the tissue samples were obtained and whose tests were ordered less than 14 days from discharge must be bundled into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payment that the hospital receives for the inpatient services provided. Medicare billing rules also require hospitals to bill for our tests when ordered for hospital outpatients less than 14 days following the date of the hospital procedure where the tissue samples were obtained. Accordingly, we are required to bill individual hospitals for tests performed on Medicare beneficiaries during these time frames. We cannot ensure that hospitals will pay us for tests performed that fall under these rules. We cannot assure you that Medicare will not change this limitation in the future.</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Clinical laboratory tests like our tests are regulated under the Clinical Laboratory Improvement Amendments of 1988, or CLIA, as well as by applicable state laws. Most laboratory developed tests are not currently subject to FDA regulation, although reagents, instruments, software or components provided by third parties and used to perform LDTs may be subject to regulation. We believe that the Afirma GEC and Percepta tests are LDTs. FDA currently exercises its enforcement discretion for LDTs. In October 2014, the FDA published draft guidance documents describing the framework by which they might regulate LDTs. The framework is similar to the guidance they issued previously. There is no timeframe in which the FDA must issue final guidance documents.</w:t>
      </w:r>
    </w:p>
    <w:p>
      <w:pPr>
        <w:spacing w:after="0" w:line="19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If the FDA requires us to seek clearance or approval to offer our existing tests or any of our future products for clinical use, we may not be able to obtain such approvals on a timely basis, or at all. If premarket review is required, our business could be negatively impacted if we are required to stop selling our products pending their clearance or approval or the launch of any new products that we develop could be delayed by new requirements. The cost of conducting clinical trials and otherwise developing data and information to support premarket applications may be significant. Further, if the FDA were to issue guidance requiring our ILD test to obtain FDA approval prior to commercial availability, our LDT launch could be delayed.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In addition, we could be subject to a recall or seizure of current or future products, operating restrictions, partial suspension or total shutdown of production.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Some of the materials we use for the Afirma and Percepta tests and that we may use for future products are labeled for research use only. In November 2013, the FDA finalized guidance regarding the sale and use of products labeled for research or investigational use only. Among other things, the guidance advises that the FDA continues to be concerned about distribution of research or investigational 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 use only, the device would be misbranded and adulterated within the meaning of the Federal Food, Drug and Cosmetic Act. Some of the reagents, instruments, software or components obtained by us from suppliers for use in our products are currently labeled as investigational or research-use only products. If the FDA were to undertake enforcement actions, some of our suppliers might cease selling investigational or research-use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principal competition for our tests comes from traditional methods used by physicians to diagnose and manage patient care decisions. For example, with our Afirma test,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test to change clinical practice.</w:t>
      </w:r>
    </w:p>
    <w:p>
      <w:pPr>
        <w:spacing w:after="0" w:line="171"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We also face competition from companies and academic institutions that use next generation sequencing technology or other methods to measure mutational markers such as BRAF and KRAS, along with numerous other mutations. The organizations include Interpace Diagnostics Group, Inc., Rosetta Genomics Ltd., and others who are developing new products or technologies that may compete with our tests. In the future, we may also face competition from companies developing new products or technologies.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With the Percepta test, we believe our primary competition will similarly come from traditional methods used by physicians to diagnose lung cancer, as well as from companies such as Integrated Diagnostics, Inc. We also anticipate facing potential competition from companies offering or developing approaches for assessing malignancy risk in patients with lung nodules using</w:t>
      </w:r>
    </w:p>
    <w:p>
      <w:pPr>
        <w:sectPr>
          <w:pgSz w:w="11900" w:h="16838" w:orient="portrait"/>
          <w:cols w:equalWidth="0" w:num="1">
            <w:col w:w="11420"/>
          </w:cols>
          <w:pgMar w:left="240" w:top="125" w:right="239" w:bottom="123"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alternative samples, such as blood, urine or sputum. However, such “liquid biopsies” are often used earlier in the diagnostic paradigm—for instance, to screen for cancer—or to gauge risk of recurrence or response to treatment.</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general, 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5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recently significantly expanded our sales force for Afirma as we transition out of our Genzyme Corporation co-promotion agreement in the United States. There can be no assurance that they will be successful in maintaining and growing the business. As we plan to further increase our sales channels for new tests we commercialize, we may have difficulties locating and recruiting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 addition, rapid and significant growth may place strain on our administrative, financial and operational infrastructure. Our ability to manage our business and growth will require us to continue to improve our operational, financial and management controls, reporting systems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procedures. We have implemented an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The move of our laboratory facility to a new location in South San Francisco required us to notify appropriate regulatory agencies, which may result in an inspection or audit of the new facility which would disrupt our business, including the provision of Afirma GEC and Percepta test reports, and require the investment of resources. If we are unable to manage our growth effectively, it may be difficult for us to execute our business strategy and our business could be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ectPr>
          <w:pgSz w:w="11900" w:h="16838" w:orient="portrait"/>
          <w:cols w:equalWidth="0" w:num="1">
            <w:col w:w="11420"/>
          </w:cols>
          <w:pgMar w:left="240" w:top="125" w:right="239" w:bottom="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Standard industry billing codes, known as CPT codes, that we use to bill for cytopathology do not generally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to transitioning to such a code and updating their billing systems will not result in errors, delays in payments and a related increase in accounts receivable balances. The separate CPT code for the Afirma GEC test became effective January 1, 2016. There can be no assurance that we or our customers who bill will not face issues as the new code is utilized, which could have an adverse effect on our collection rates, revenue, and cost of collecting.</w:t>
      </w:r>
    </w:p>
    <w:p>
      <w:pPr>
        <w:spacing w:after="0" w:line="167"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As we introduce new tests,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October 2015, CMS replaced the ICD-9 code set with the ICD-10 code set. The transition requires ordering physicians to submit ICD-10 codes along with their requisitions for our tests. If physicians do not send proper coding with requisitions, electronic billing systems are not prepared for the transition, or payers have not upgraded their systems to appropriately pay claims with the new codes, we may experience delays in collecting payments, which would impact our revenue recognized on a cash basis, and our cash position.</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third-party to transmit claims to payers, and any delay in transmitting claims could have an adverse effect on our revenue.</w:t>
      </w:r>
    </w:p>
    <w:p>
      <w:pPr>
        <w:spacing w:after="0" w:line="23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future success will depend in part on our ability to successfully transition from our relationship with Genzyme to co-promote Afirma in the United States.</w:t>
      </w:r>
    </w:p>
    <w:p>
      <w:pPr>
        <w:spacing w:after="0" w:line="170"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sell Afirma in the United States through our internal sales team and through our Amended and Restated U.S. Co-promotion Agreement with Genzyme Corporation, or the Amended Agreement. On March 9, 2016, we formalized the decision to conclude the Amended Agreement with Genzyme effective September 9, 2016. In connection with the transition, we have hired additional sales personnel to sell our Afirma solution which we previously co-promoted with Genzyme, and we may in the future hire additional sales personnel. If we are unsuccessful in transitioning the sales and marketing of Afirma from Genzyme solely to our internal sales and marketing personnel, we may experience declining test volumes and associated declines in revenue. We may not be able to market or sell Afirma effectively enough to maintain or increase demand for the test, or without significant additional sales and marketing efforts and expense. Our failure to do so successfully without the benefit of Genzyme’ efforts could have an adverse effect on our business, financial condition and results of operations.</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ectPr>
          <w:pgSz w:w="11900" w:h="16838" w:orient="portrait"/>
          <w:cols w:equalWidth="0" w:num="1">
            <w:col w:w="11380"/>
          </w:cols>
          <w:pgMar w:left="240" w:top="125" w:right="279" w:bottom="45" w:gutter="0" w:footer="0" w:header="0"/>
        </w:sectPr>
      </w:pPr>
    </w:p>
    <w:bookmarkStart w:id="28" w:name="page29"/>
    <w:bookmarkEnd w:id="28"/>
    <w:p>
      <w:pPr>
        <w:spacing w:after="0" w:line="1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have recently launched the Percepta test and are in the process of developing a test for interstitial lung disease, specifically IPF. We still must complete studies that meet the clinical evidence required to obtain reimbursement, which studies are currently underway. Our product for interstitial lung diseases may not be fully developed and introduced as planned in 2016.</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6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contains covenants that could limit our ability to acquire companies or technologies, sell debt securities or obtain additional debt financing arrangements.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00"/>
          </w:cols>
          <w:pgMar w:left="240" w:top="125" w:right="259" w:bottom="0" w:gutter="0" w:footer="0" w:header="0"/>
          <w:type w:val="continuous"/>
        </w:sectPr>
      </w:pPr>
    </w:p>
    <w:bookmarkStart w:id="29" w:name="page30"/>
    <w:bookmarkEnd w:id="29"/>
    <w:p>
      <w:pPr>
        <w:ind w:right="72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quality standards or personnel qualifications and responsibilities, facility administration, general laboratory systems, quality assessment, quality control, pre-analytic, analytic, and post-analytic systems and proficiency testing. CLIA certification is also required in order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With our recent relocation of our South San Francisco CLIA laboratory to our new building, we may be subject to additional inspections or audits by federal or state regulatory agencies to maintain our CLIA certificate. If we relocate our Texas facility, we may be subject to the same inspections or audits at our new facility.</w:t>
      </w:r>
    </w:p>
    <w:p>
      <w:pPr>
        <w:spacing w:after="0" w:line="17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are also required to maintain state licenses to conduct testing in our laboratories. California, New York, Texas, among other states’ laws, require that we maintain a license and comply with state regulation as a clinical laboratory; including the training and skills required of personnel and quality control matters. In addition, both of our clinical laboratories are required to be licensed on a test-specific basis by New York State. We have received approval for the Afirma tests and our license for the Percepta test is pending. We will be required to obtain approval for other tests we may offer in the future. New York law also mandates proficiency testing for laboratories licensed under New York state law, regardless of whether such laboratories are located in New York. Several other states require that we hold licenses to test samples from patients in those states. Other states may have similar requirements or may adopt similar requirements in the future.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Finally, we may be subject to regulation in foreign jurisdictions as we pursue offering our tests internationally. Other limitations, such as prohibitions on the import of tissue necessary for us to perform our tests or restrictions on the export of tissue imposed by countries outside of the United States, may constrain our ability to offer tests internationally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ind w:left="980" w:right="120" w:hanging="324"/>
        <w:spacing w:after="0" w:line="276" w:lineRule="auto"/>
        <w:tabs>
          <w:tab w:leader="none" w:pos="94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2" w:lineRule="exact"/>
        <w:rPr>
          <w:rFonts w:ascii="Arial" w:cs="Arial" w:eastAsia="Arial" w:hAnsi="Arial"/>
          <w:sz w:val="17"/>
          <w:szCs w:val="17"/>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arranging for, or recommending of an item or service that is reimbursable, in whole or in part, by a federal health care program;</w:t>
      </w:r>
    </w:p>
    <w:p>
      <w:pPr>
        <w:spacing w:after="0" w:line="225" w:lineRule="exact"/>
        <w:rPr>
          <w:sz w:val="20"/>
          <w:szCs w:val="20"/>
          <w:color w:val="auto"/>
        </w:rPr>
      </w:pPr>
    </w:p>
    <w:p>
      <w:pPr>
        <w:ind w:left="980" w:right="60" w:hanging="324"/>
        <w:spacing w:after="0" w:line="259"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ind w:left="980" w:right="160" w:hanging="324"/>
        <w:spacing w:after="0" w:line="286" w:lineRule="auto"/>
        <w:tabs>
          <w:tab w:leader="none" w:pos="94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right="44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ectPr>
          <w:pgSz w:w="11900" w:h="16838" w:orient="portrait"/>
          <w:cols w:equalWidth="0" w:num="1">
            <w:col w:w="11400"/>
          </w:cols>
          <w:pgMar w:left="240" w:top="341" w:right="259" w:bottom="45" w:gutter="0" w:footer="0" w:header="0"/>
        </w:sectPr>
      </w:pPr>
    </w:p>
    <w:bookmarkStart w:id="30" w:name="page31"/>
    <w:bookmarkEnd w:id="30"/>
    <w:p>
      <w:pPr>
        <w:spacing w:after="0" w:line="28" w:lineRule="exact"/>
        <w:rPr>
          <w:sz w:val="20"/>
          <w:szCs w:val="20"/>
          <w:color w:val="auto"/>
        </w:rPr>
      </w:pPr>
    </w:p>
    <w:p>
      <w:pPr>
        <w:jc w:val="both"/>
        <w:ind w:left="980" w:right="240" w:hanging="324"/>
        <w:spacing w:after="0" w:line="264"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jc w:val="both"/>
        <w:ind w:left="980" w:right="60" w:hanging="324"/>
        <w:spacing w:after="0" w:line="264"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81" w:lineRule="exact"/>
        <w:rPr>
          <w:rFonts w:ascii="Arial" w:cs="Arial" w:eastAsia="Arial" w:hAnsi="Arial"/>
          <w:sz w:val="18"/>
          <w:szCs w:val="18"/>
          <w:color w:val="auto"/>
        </w:rPr>
      </w:pPr>
    </w:p>
    <w:p>
      <w:pPr>
        <w:ind w:left="980" w:right="20" w:hanging="324"/>
        <w:spacing w:after="0" w:line="264"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 and</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right="62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 in various countries;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right="40" w:hanging="324"/>
        <w:spacing w:after="0" w:line="308" w:lineRule="auto"/>
        <w:tabs>
          <w:tab w:leader="none" w:pos="944"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4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our</w:t>
      </w:r>
    </w:p>
    <w:p>
      <w:pPr>
        <w:sectPr>
          <w:pgSz w:w="11900" w:h="16867" w:orient="portrait"/>
          <w:cols w:equalWidth="0" w:num="1">
            <w:col w:w="11420"/>
          </w:cols>
          <w:pgMar w:left="240" w:top="125" w:right="239" w:bottom="0" w:gutter="0" w:footer="0" w:header="0"/>
        </w:sectPr>
      </w:pPr>
    </w:p>
    <w:bookmarkStart w:id="31" w:name="page32"/>
    <w:bookmarkEnd w:id="31"/>
    <w:p>
      <w:pPr>
        <w:spacing w:after="0" w:line="1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Afirma Malignancy Classifiers and our Percepta test,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perform all of the Afirma GEC and Percepta testing at our laboratory in South San Francisco, California. Our laboratory in Austin, Texas accepts and stores substantially all FNA samples pending transfer to our California laboratory for Afirma GEC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We expect continued capital expenditures and operating losses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69"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w:t>
      </w:r>
    </w:p>
    <w:p>
      <w:pPr>
        <w:sectPr>
          <w:pgSz w:w="11900" w:h="16850" w:orient="portrait"/>
          <w:cols w:equalWidth="0" w:num="1">
            <w:col w:w="11420"/>
          </w:cols>
          <w:pgMar w:left="240" w:top="125" w:right="239" w:bottom="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in October 2015, the European Court of Justice invalidated a safe-harbor agreement between the United States and European Union member-states, which addressed how U.S. companies handle personal information of European customers, as a result, we may need to modify the way we treat such information. Complying with these various laws could cause us to incur substantial costs or require us to change our business practices, systems and compliance procedures in a manner adverse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eight issued patents that expire between 2029 and 2032 related to methods used in the Afirma diagnostic platform, in addition to eight pending U.S. utility patent applications and six U.S. provisional applications. Some of these U.S. utility patent applications have pending foreign counterparts. We also exclusively licensed intellectual property, including rights to two issued patents that will expire between 2030 and 2032, and three pending U.S. utility patent applications in the thyroid space that would expire between 2030 and 2033 once issued, related to methods that are used in the Afirma diagnostic test, some of which have foreign counterparts. In the lung diagnostic space, we exclusively license intellectual property rights to seven pending patent applications and one issued patent in the United States and abroad. Patents issuing from the licensed portfolio will expire between 2024 and 2028. In addition, we own a PCT application and a pending U.S. application related to our Percepta test. We also own two applications related to other lung diseases, and a PCT application, a pending U.S. application, and two ex-U.S. applications related to our interstitial lung disease test under development. Any patents granted from the current lung cancer patent applications will expire no earlier than 2035 and those from the interstitial lung disease patent applications will expire no earlier than from 2034 to 2035.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ectPr>
          <w:pgSz w:w="11900" w:h="16838" w:orient="portrait"/>
          <w:cols w:equalWidth="0" w:num="1">
            <w:col w:w="11420"/>
          </w:cols>
          <w:pgMar w:left="240" w:top="341" w:right="239" w:bottom="0" w:gutter="0" w:footer="0" w:header="0"/>
        </w:sectPr>
      </w:pPr>
    </w:p>
    <w:bookmarkStart w:id="33" w:name="page34"/>
    <w:bookmarkEnd w:id="33"/>
    <w:p>
      <w:pPr>
        <w:spacing w:after="0" w:line="4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products, our competitive position could be adversely affected, as could our business. Both the patent application process and the process of managing patent disputes can be time consuming and expensive.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w:t>
      </w:r>
    </w:p>
    <w:p>
      <w:pPr>
        <w:sectPr>
          <w:pgSz w:w="11900" w:h="16885" w:orient="portrait"/>
          <w:cols w:equalWidth="0" w:num="1">
            <w:col w:w="11420"/>
          </w:cols>
          <w:pgMar w:left="240" w:top="125" w:right="239" w:bottom="0" w:gutter="0" w:footer="0" w:header="0"/>
        </w:sectPr>
      </w:pPr>
    </w:p>
    <w:bookmarkStart w:id="34" w:name="page35"/>
    <w:bookmarkEnd w:id="34"/>
    <w:p>
      <w:pPr>
        <w:spacing w:after="0" w:line="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69"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connection with any infringement claims, we could incur significant costs and expenses that could adversely affect our business, operating results,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7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w:t>
      </w:r>
    </w:p>
    <w:p>
      <w:pPr>
        <w:sectPr>
          <w:pgSz w:w="11900" w:h="16877" w:orient="portrait"/>
          <w:cols w:equalWidth="0" w:num="1">
            <w:col w:w="11420"/>
          </w:cols>
          <w:pgMar w:left="240" w:top="125" w:right="239" w:bottom="0" w:gutter="0" w:footer="0" w:header="0"/>
        </w:sectPr>
      </w:pPr>
    </w:p>
    <w:bookmarkStart w:id="35" w:name="page36"/>
    <w:bookmarkEnd w:id="35"/>
    <w:p>
      <w:pPr>
        <w:ind w:right="40"/>
        <w:spacing w:after="0" w:line="255" w:lineRule="auto"/>
        <w:rPr>
          <w:sz w:val="20"/>
          <w:szCs w:val="20"/>
          <w:color w:val="auto"/>
        </w:rPr>
      </w:pPr>
      <w:r>
        <w:rPr>
          <w:rFonts w:ascii="Arial" w:cs="Arial" w:eastAsia="Arial" w:hAnsi="Arial"/>
          <w:sz w:val="18"/>
          <w:szCs w:val="18"/>
          <w:color w:val="auto"/>
        </w:rPr>
        <w:t>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If some investors find our common stock less attractive as a result of any choices to reduce future disclosure we may make, there may be a less active trading market for our common stock and our stock price may be more volatile.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Prior to our initial public offering in October 2013, there was no public market for our common stock, and an active and liquid public market for our stock may not develop or be sustained. In addition, the trading price of our common stock is likely to continue to be highly volatile and could be subject to wide fluctuations in response to various factors, some of which are beyond our control. These factors include:</w:t>
      </w:r>
    </w:p>
    <w:p>
      <w:pPr>
        <w:spacing w:after="0" w:line="181"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As of April 29, 2016, directors and executive officers and their affiliates beneficially owned, in the aggregate, 41%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ectPr>
          <w:pgSz w:w="11900" w:h="16838" w:orient="portrait"/>
          <w:cols w:equalWidth="0" w:num="1">
            <w:col w:w="11420"/>
          </w:cols>
          <w:pgMar w:left="240" w:top="125" w:right="239" w:bottom="0" w:gutter="0" w:footer="0" w:header="0"/>
        </w:sectPr>
      </w:pPr>
    </w:p>
    <w:bookmarkStart w:id="36" w:name="page37"/>
    <w:bookmarkEnd w:id="36"/>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16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credit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Credit Agreement dated as of March 25, 2016 by and among Veracyte, Inc.as Borrower, Visium Healthcare Partners, LP,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Administrative Agent, the Guarantors from time to time party thereto and the Lenders from time to time party thereto.</w:t>
            </w:r>
          </w:p>
        </w:tc>
        <w:tc>
          <w:tcPr>
            <w:tcW w:w="0" w:type="dxa"/>
            <w:vAlign w:val="bottom"/>
          </w:tcPr>
          <w:p>
            <w:pPr>
              <w:spacing w:after="0"/>
              <w:rPr>
                <w:sz w:val="1"/>
                <w:szCs w:val="1"/>
                <w:color w:val="auto"/>
              </w:rPr>
            </w:pPr>
          </w:p>
        </w:tc>
      </w:tr>
      <w:tr>
        <w:trPr>
          <w:trHeight w:val="216"/>
        </w:trPr>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10.2</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w w:val="97"/>
              </w:rPr>
              <w:t>Security Agreement dated March 30, 2016 between Veracyte, Inc. and Visium Healthcare Partners, LP, as Administrative Agent</w:t>
            </w:r>
          </w:p>
        </w:tc>
        <w:tc>
          <w:tcPr>
            <w:tcW w:w="0" w:type="dxa"/>
            <w:vAlign w:val="bottom"/>
          </w:tcPr>
          <w:p>
            <w:pPr>
              <w:spacing w:after="0"/>
              <w:rPr>
                <w:sz w:val="1"/>
                <w:szCs w:val="1"/>
                <w:color w:val="auto"/>
              </w:rPr>
            </w:pPr>
          </w:p>
        </w:tc>
      </w:tr>
      <w:tr>
        <w:trPr>
          <w:trHeight w:val="216"/>
        </w:trPr>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10.3</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w w:val="98"/>
              </w:rPr>
              <w:t>Pledge Agreement dated March 30, 2016 between Veracyte, Inc. and Visium Healthcare Partners, LP, as Administrative Agent</w:t>
            </w:r>
          </w:p>
        </w:tc>
        <w:tc>
          <w:tcPr>
            <w:tcW w:w="0" w:type="dxa"/>
            <w:vAlign w:val="bottom"/>
          </w:tcPr>
          <w:p>
            <w:pPr>
              <w:spacing w:after="0"/>
              <w:rPr>
                <w:sz w:val="1"/>
                <w:szCs w:val="1"/>
                <w:color w:val="auto"/>
              </w:rPr>
            </w:pPr>
          </w:p>
        </w:tc>
      </w:tr>
      <w:tr>
        <w:trPr>
          <w:trHeight w:val="216"/>
        </w:trPr>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10.4</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w w:val="91"/>
              </w:rPr>
              <w:t>Letter agreement regarding potential opportunity to purchase common equity interests dated March 30, 2016 between Veracyte, Inc.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Visium Healthcare Partners, LP</w:t>
            </w:r>
          </w:p>
        </w:tc>
        <w:tc>
          <w:tcPr>
            <w:tcW w:w="0" w:type="dxa"/>
            <w:vAlign w:val="bottom"/>
          </w:tcPr>
          <w:p>
            <w:pPr>
              <w:spacing w:after="0"/>
              <w:rPr>
                <w:sz w:val="1"/>
                <w:szCs w:val="1"/>
                <w:color w:val="auto"/>
              </w:rPr>
            </w:pPr>
          </w:p>
        </w:tc>
      </w:tr>
      <w:tr>
        <w:trPr>
          <w:trHeight w:val="216"/>
        </w:trPr>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31.1</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31.2</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16"/>
        </w:trPr>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32.2**</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101.INS</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101.SCH</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101.CAL</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101.DEF</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101.LAB</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101.PRE</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60" w:hanging="652"/>
        <w:spacing w:after="0" w:line="259" w:lineRule="auto"/>
        <w:tabs>
          <w:tab w:leader="none" w:pos="6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20"/>
          </w:cols>
          <w:pgMar w:left="240" w:top="125" w:right="239" w:bottom="144" w:gutter="0" w:footer="0" w:header="0"/>
        </w:sectPr>
      </w:pPr>
    </w:p>
    <w:bookmarkStart w:id="37" w:name="page38"/>
    <w:bookmarkEnd w:id="37"/>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2"/>
          </w:tcPr>
          <w:p>
            <w:pPr>
              <w:ind w:left="428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
          </w:tcPr>
          <w:p>
            <w:pPr>
              <w:ind w:left="4280"/>
              <w:spacing w:after="0"/>
              <w:rPr>
                <w:sz w:val="20"/>
                <w:szCs w:val="20"/>
                <w:color w:val="auto"/>
              </w:rPr>
            </w:pPr>
            <w:r>
              <w:rPr>
                <w:rFonts w:ascii="Arial" w:cs="Arial" w:eastAsia="Arial" w:hAnsi="Arial"/>
                <w:sz w:val="18"/>
                <w:szCs w:val="18"/>
                <w:color w:val="auto"/>
              </w:rPr>
              <w:t>By:   /s/ SHELLY D. GUYER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51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2"/>
          </w:tcPr>
          <w:p>
            <w:pPr>
              <w:ind w:left="4780"/>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2"/>
          </w:tcPr>
          <w:p>
            <w:pPr>
              <w:ind w:left="4780"/>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ind w:left="4240"/>
              <w:spacing w:after="0"/>
              <w:rPr>
                <w:sz w:val="20"/>
                <w:szCs w:val="20"/>
                <w:color w:val="auto"/>
              </w:rPr>
            </w:pPr>
            <w:r>
              <w:rPr>
                <w:rFonts w:ascii="Arial" w:cs="Arial" w:eastAsia="Arial" w:hAnsi="Arial"/>
                <w:sz w:val="18"/>
                <w:szCs w:val="18"/>
                <w:color w:val="auto"/>
              </w:rPr>
              <w:t>48</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
          </w:tcPr>
          <w:p>
            <w:pPr>
              <w:ind w:left="35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992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9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Credit Agreement dated as of March 25, 2016 by and among Veracyte, Inc.as Borrower, Visium Healthcare Partners, LP, as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Administrative Agent, the Guarantors from time to time party thereto and the Lenders from time to time party thereto.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w w:val="97"/>
              </w:rPr>
              <w:t>Security Agreement dated March 30, 2016 between Veracyte, Inc. and Visium Healthcare Partners, LP, as Administrative Agent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w w:val="98"/>
              </w:rPr>
              <w:t>Pledge Agreement dated March 30, 2016 between Veracyte, Inc. and Visium Healthcare Partners, LP, as Administrative Agent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w w:val="91"/>
              </w:rPr>
              <w:t>Letter agreement regarding potential opportunity to purchase common equity interests dated March 30, 2016 between Veracyte, Inc.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Visium Healthcare Partners,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101.INS</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101.SCH</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101.CAL</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101.DEF</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101.LAB</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101.PRE</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-3191510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-3191510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line="259" w:lineRule="auto"/>
        <w:tabs>
          <w:tab w:leader="none" w:pos="6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480"/>
        <w:spacing w:after="0"/>
        <w:rPr>
          <w:sz w:val="20"/>
          <w:szCs w:val="20"/>
          <w:color w:val="auto"/>
        </w:rPr>
      </w:pPr>
      <w:r>
        <w:rPr>
          <w:rFonts w:ascii="Arial" w:cs="Arial" w:eastAsia="Arial" w:hAnsi="Arial"/>
          <w:sz w:val="17"/>
          <w:szCs w:val="17"/>
          <w:b w:val="1"/>
          <w:bCs w:val="1"/>
          <w:color w:val="auto"/>
        </w:rPr>
        <w:t>Exhibit 10.1</w:t>
      </w:r>
    </w:p>
    <w:p>
      <w:pPr>
        <w:spacing w:after="0" w:line="241" w:lineRule="exact"/>
        <w:rPr>
          <w:sz w:val="20"/>
          <w:szCs w:val="20"/>
          <w:color w:val="auto"/>
        </w:rPr>
      </w:pPr>
    </w:p>
    <w:p>
      <w:pPr>
        <w:ind w:left="954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Dated as of March 25, 2016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CERTAIN DOMESTIC SUBSIDIARIES OF THE BORROWER,</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the Guarantors,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VISIUM HEALTHCARE PARTNERS, LP,</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the Administrative Agent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LENDERS 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TABLE OF CONTENTS</w:t>
      </w:r>
    </w:p>
    <w:p>
      <w:pPr>
        <w:sectPr>
          <w:pgSz w:w="11900" w:h="16838" w:orient="portrait"/>
          <w:cols w:equalWidth="0" w:num="1">
            <w:col w:w="11460"/>
          </w:cols>
          <w:pgMar w:left="240" w:top="125" w:right="199" w:bottom="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71"/>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ACCOUNTING TERMS</w:t>
            </w:r>
          </w:p>
        </w:tc>
        <w:tc>
          <w:tcPr>
            <w:tcW w:w="47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5500" w:type="dxa"/>
            <w:vAlign w:val="bottom"/>
            <w:gridSpan w:val="2"/>
            <w:vMerge w:val="continue"/>
          </w:tcPr>
          <w:p>
            <w:pPr>
              <w:spacing w:after="0"/>
              <w:rPr>
                <w:sz w:val="19"/>
                <w:szCs w:val="19"/>
                <w:color w:val="auto"/>
              </w:rPr>
            </w:pPr>
          </w:p>
        </w:tc>
        <w:tc>
          <w:tcPr>
            <w:tcW w:w="47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4720" w:type="dxa"/>
            <w:vAlign w:val="bottom"/>
          </w:tcPr>
          <w:p>
            <w:pPr>
              <w:ind w:left="280"/>
              <w:spacing w:after="0"/>
              <w:rPr>
                <w:sz w:val="20"/>
                <w:szCs w:val="20"/>
                <w:color w:val="auto"/>
              </w:rPr>
            </w:pPr>
            <w:r>
              <w:rPr>
                <w:rFonts w:ascii="Arial" w:cs="Arial" w:eastAsia="Arial" w:hAnsi="Arial"/>
                <w:sz w:val="18"/>
                <w:szCs w:val="18"/>
                <w:color w:val="auto"/>
              </w:rPr>
              <w:t>Defined Terms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4720" w:type="dxa"/>
            <w:vAlign w:val="bottom"/>
          </w:tcPr>
          <w:p>
            <w:pPr>
              <w:ind w:left="280"/>
              <w:spacing w:after="0"/>
              <w:rPr>
                <w:sz w:val="20"/>
                <w:szCs w:val="20"/>
                <w:color w:val="auto"/>
              </w:rPr>
            </w:pPr>
            <w:r>
              <w:rPr>
                <w:rFonts w:ascii="Arial" w:cs="Arial" w:eastAsia="Arial" w:hAnsi="Arial"/>
                <w:sz w:val="18"/>
                <w:szCs w:val="18"/>
                <w:color w:val="auto"/>
              </w:rPr>
              <w:t>Other Interpretive Provisions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1.03</w:t>
            </w:r>
          </w:p>
        </w:tc>
        <w:tc>
          <w:tcPr>
            <w:tcW w:w="4720" w:type="dxa"/>
            <w:vAlign w:val="bottom"/>
          </w:tcPr>
          <w:p>
            <w:pPr>
              <w:ind w:left="280"/>
              <w:spacing w:after="0"/>
              <w:rPr>
                <w:sz w:val="20"/>
                <w:szCs w:val="20"/>
                <w:color w:val="auto"/>
              </w:rPr>
            </w:pPr>
            <w:r>
              <w:rPr>
                <w:rFonts w:ascii="Arial" w:cs="Arial" w:eastAsia="Arial" w:hAnsi="Arial"/>
                <w:sz w:val="18"/>
                <w:szCs w:val="18"/>
                <w:color w:val="auto"/>
              </w:rPr>
              <w:t>Accounting Terms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1.04</w:t>
            </w:r>
          </w:p>
        </w:tc>
        <w:tc>
          <w:tcPr>
            <w:tcW w:w="4720" w:type="dxa"/>
            <w:vAlign w:val="bottom"/>
          </w:tcPr>
          <w:p>
            <w:pPr>
              <w:ind w:left="280"/>
              <w:spacing w:after="0"/>
              <w:rPr>
                <w:sz w:val="20"/>
                <w:szCs w:val="20"/>
                <w:color w:val="auto"/>
              </w:rPr>
            </w:pPr>
            <w:r>
              <w:rPr>
                <w:rFonts w:ascii="Arial" w:cs="Arial" w:eastAsia="Arial" w:hAnsi="Arial"/>
                <w:sz w:val="18"/>
                <w:szCs w:val="18"/>
                <w:color w:val="auto"/>
              </w:rPr>
              <w:t>Times of Day</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ARTICLE II THE COMMITMENTS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8"/>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2.01</w:t>
            </w:r>
          </w:p>
        </w:tc>
        <w:tc>
          <w:tcPr>
            <w:tcW w:w="4720" w:type="dxa"/>
            <w:vAlign w:val="bottom"/>
          </w:tcPr>
          <w:p>
            <w:pPr>
              <w:ind w:left="280"/>
              <w:spacing w:after="0"/>
              <w:rPr>
                <w:sz w:val="20"/>
                <w:szCs w:val="20"/>
                <w:color w:val="auto"/>
              </w:rPr>
            </w:pPr>
            <w:r>
              <w:rPr>
                <w:rFonts w:ascii="Arial" w:cs="Arial" w:eastAsia="Arial" w:hAnsi="Arial"/>
                <w:sz w:val="18"/>
                <w:szCs w:val="18"/>
                <w:color w:val="auto"/>
              </w:rPr>
              <w:t>Commitments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2.02</w:t>
            </w:r>
          </w:p>
        </w:tc>
        <w:tc>
          <w:tcPr>
            <w:tcW w:w="4720" w:type="dxa"/>
            <w:vAlign w:val="bottom"/>
          </w:tcPr>
          <w:p>
            <w:pPr>
              <w:ind w:left="280"/>
              <w:spacing w:after="0"/>
              <w:rPr>
                <w:sz w:val="20"/>
                <w:szCs w:val="20"/>
                <w:color w:val="auto"/>
              </w:rPr>
            </w:pPr>
            <w:r>
              <w:rPr>
                <w:rFonts w:ascii="Arial" w:cs="Arial" w:eastAsia="Arial" w:hAnsi="Arial"/>
                <w:sz w:val="18"/>
                <w:szCs w:val="18"/>
                <w:color w:val="auto"/>
              </w:rPr>
              <w:t>Borrowings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2.03</w:t>
            </w:r>
          </w:p>
        </w:tc>
        <w:tc>
          <w:tcPr>
            <w:tcW w:w="4720" w:type="dxa"/>
            <w:vAlign w:val="bottom"/>
          </w:tcPr>
          <w:p>
            <w:pPr>
              <w:ind w:left="280"/>
              <w:spacing w:after="0"/>
              <w:rPr>
                <w:sz w:val="20"/>
                <w:szCs w:val="20"/>
                <w:color w:val="auto"/>
              </w:rPr>
            </w:pPr>
            <w:r>
              <w:rPr>
                <w:rFonts w:ascii="Arial" w:cs="Arial" w:eastAsia="Arial" w:hAnsi="Arial"/>
                <w:sz w:val="18"/>
                <w:szCs w:val="18"/>
                <w:color w:val="auto"/>
              </w:rPr>
              <w:t>Prepayments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2.04</w:t>
            </w:r>
          </w:p>
        </w:tc>
        <w:tc>
          <w:tcPr>
            <w:tcW w:w="4720" w:type="dxa"/>
            <w:vAlign w:val="bottom"/>
          </w:tcPr>
          <w:p>
            <w:pPr>
              <w:ind w:left="280"/>
              <w:spacing w:after="0"/>
              <w:rPr>
                <w:sz w:val="20"/>
                <w:szCs w:val="20"/>
                <w:color w:val="auto"/>
              </w:rPr>
            </w:pPr>
            <w:r>
              <w:rPr>
                <w:rFonts w:ascii="Arial" w:cs="Arial" w:eastAsia="Arial" w:hAnsi="Arial"/>
                <w:sz w:val="18"/>
                <w:szCs w:val="18"/>
                <w:color w:val="auto"/>
              </w:rPr>
              <w:t>Termination or Reduction of Commitments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2.05</w:t>
            </w:r>
          </w:p>
        </w:tc>
        <w:tc>
          <w:tcPr>
            <w:tcW w:w="4720" w:type="dxa"/>
            <w:vAlign w:val="bottom"/>
          </w:tcPr>
          <w:p>
            <w:pPr>
              <w:ind w:left="280"/>
              <w:spacing w:after="0"/>
              <w:rPr>
                <w:sz w:val="20"/>
                <w:szCs w:val="20"/>
                <w:color w:val="auto"/>
              </w:rPr>
            </w:pPr>
            <w:r>
              <w:rPr>
                <w:rFonts w:ascii="Arial" w:cs="Arial" w:eastAsia="Arial" w:hAnsi="Arial"/>
                <w:sz w:val="18"/>
                <w:szCs w:val="18"/>
                <w:color w:val="auto"/>
              </w:rPr>
              <w:t>Repayment of Loans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2.06</w:t>
            </w:r>
          </w:p>
        </w:tc>
        <w:tc>
          <w:tcPr>
            <w:tcW w:w="4720" w:type="dxa"/>
            <w:vAlign w:val="bottom"/>
          </w:tcPr>
          <w:p>
            <w:pPr>
              <w:ind w:left="280"/>
              <w:spacing w:after="0"/>
              <w:rPr>
                <w:sz w:val="20"/>
                <w:szCs w:val="20"/>
                <w:color w:val="auto"/>
              </w:rPr>
            </w:pPr>
            <w:r>
              <w:rPr>
                <w:rFonts w:ascii="Arial" w:cs="Arial" w:eastAsia="Arial" w:hAnsi="Arial"/>
                <w:sz w:val="18"/>
                <w:szCs w:val="18"/>
                <w:color w:val="auto"/>
              </w:rPr>
              <w:t>Interest</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2.07</w:t>
            </w:r>
          </w:p>
        </w:tc>
        <w:tc>
          <w:tcPr>
            <w:tcW w:w="4720" w:type="dxa"/>
            <w:vAlign w:val="bottom"/>
          </w:tcPr>
          <w:p>
            <w:pPr>
              <w:ind w:left="280"/>
              <w:spacing w:after="0"/>
              <w:rPr>
                <w:sz w:val="20"/>
                <w:szCs w:val="20"/>
                <w:color w:val="auto"/>
              </w:rPr>
            </w:pPr>
            <w:r>
              <w:rPr>
                <w:rFonts w:ascii="Arial" w:cs="Arial" w:eastAsia="Arial" w:hAnsi="Arial"/>
                <w:sz w:val="18"/>
                <w:szCs w:val="18"/>
                <w:color w:val="auto"/>
              </w:rPr>
              <w:t>Fees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2.08</w:t>
            </w:r>
          </w:p>
        </w:tc>
        <w:tc>
          <w:tcPr>
            <w:tcW w:w="4720" w:type="dxa"/>
            <w:vAlign w:val="bottom"/>
          </w:tcPr>
          <w:p>
            <w:pPr>
              <w:ind w:left="280"/>
              <w:spacing w:after="0"/>
              <w:rPr>
                <w:sz w:val="20"/>
                <w:szCs w:val="20"/>
                <w:color w:val="auto"/>
              </w:rPr>
            </w:pPr>
            <w:r>
              <w:rPr>
                <w:rFonts w:ascii="Arial" w:cs="Arial" w:eastAsia="Arial" w:hAnsi="Arial"/>
                <w:sz w:val="18"/>
                <w:szCs w:val="18"/>
                <w:color w:val="auto"/>
              </w:rPr>
              <w:t>Computation of Interest</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2.09</w:t>
            </w:r>
          </w:p>
        </w:tc>
        <w:tc>
          <w:tcPr>
            <w:tcW w:w="4720" w:type="dxa"/>
            <w:vAlign w:val="bottom"/>
          </w:tcPr>
          <w:p>
            <w:pPr>
              <w:ind w:left="280"/>
              <w:spacing w:after="0"/>
              <w:rPr>
                <w:sz w:val="20"/>
                <w:szCs w:val="20"/>
                <w:color w:val="auto"/>
              </w:rPr>
            </w:pPr>
            <w:r>
              <w:rPr>
                <w:rFonts w:ascii="Arial" w:cs="Arial" w:eastAsia="Arial" w:hAnsi="Arial"/>
                <w:sz w:val="18"/>
                <w:szCs w:val="18"/>
                <w:color w:val="auto"/>
              </w:rPr>
              <w:t>Evidence of Debt</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2.10</w:t>
            </w:r>
          </w:p>
        </w:tc>
        <w:tc>
          <w:tcPr>
            <w:tcW w:w="4720" w:type="dxa"/>
            <w:vAlign w:val="bottom"/>
          </w:tcPr>
          <w:p>
            <w:pPr>
              <w:ind w:left="280"/>
              <w:spacing w:after="0"/>
              <w:rPr>
                <w:sz w:val="20"/>
                <w:szCs w:val="20"/>
                <w:color w:val="auto"/>
              </w:rPr>
            </w:pPr>
            <w:r>
              <w:rPr>
                <w:rFonts w:ascii="Arial" w:cs="Arial" w:eastAsia="Arial" w:hAnsi="Arial"/>
                <w:sz w:val="18"/>
                <w:szCs w:val="18"/>
                <w:color w:val="auto"/>
              </w:rPr>
              <w:t>Payments Generally</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2.11</w:t>
            </w:r>
          </w:p>
        </w:tc>
        <w:tc>
          <w:tcPr>
            <w:tcW w:w="4720" w:type="dxa"/>
            <w:vAlign w:val="bottom"/>
          </w:tcPr>
          <w:p>
            <w:pPr>
              <w:ind w:left="280"/>
              <w:spacing w:after="0"/>
              <w:rPr>
                <w:sz w:val="20"/>
                <w:szCs w:val="20"/>
                <w:color w:val="auto"/>
              </w:rPr>
            </w:pPr>
            <w:r>
              <w:rPr>
                <w:rFonts w:ascii="Arial" w:cs="Arial" w:eastAsia="Arial" w:hAnsi="Arial"/>
                <w:sz w:val="18"/>
                <w:szCs w:val="18"/>
                <w:color w:val="auto"/>
              </w:rPr>
              <w:t>Sharing of Payments by Lenders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2.12</w:t>
            </w:r>
          </w:p>
        </w:tc>
        <w:tc>
          <w:tcPr>
            <w:tcW w:w="4720" w:type="dxa"/>
            <w:vAlign w:val="bottom"/>
          </w:tcPr>
          <w:p>
            <w:pPr>
              <w:ind w:left="280"/>
              <w:spacing w:after="0"/>
              <w:rPr>
                <w:sz w:val="20"/>
                <w:szCs w:val="20"/>
                <w:color w:val="auto"/>
              </w:rPr>
            </w:pPr>
            <w:r>
              <w:rPr>
                <w:rFonts w:ascii="Arial" w:cs="Arial" w:eastAsia="Arial" w:hAnsi="Arial"/>
                <w:sz w:val="18"/>
                <w:szCs w:val="18"/>
                <w:color w:val="auto"/>
              </w:rPr>
              <w:t>Defaulting Lenders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2.13</w:t>
            </w:r>
          </w:p>
        </w:tc>
        <w:tc>
          <w:tcPr>
            <w:tcW w:w="4720" w:type="dxa"/>
            <w:vAlign w:val="bottom"/>
          </w:tcPr>
          <w:p>
            <w:pPr>
              <w:ind w:left="280"/>
              <w:spacing w:after="0"/>
              <w:rPr>
                <w:sz w:val="20"/>
                <w:szCs w:val="20"/>
                <w:color w:val="auto"/>
              </w:rPr>
            </w:pPr>
            <w:r>
              <w:rPr>
                <w:rFonts w:ascii="Arial" w:cs="Arial" w:eastAsia="Arial" w:hAnsi="Arial"/>
                <w:sz w:val="18"/>
                <w:szCs w:val="18"/>
                <w:color w:val="auto"/>
              </w:rPr>
              <w:t>Right of First Offer</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ARTICLE III TAXES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8"/>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3.01</w:t>
            </w:r>
          </w:p>
        </w:tc>
        <w:tc>
          <w:tcPr>
            <w:tcW w:w="4720" w:type="dxa"/>
            <w:vAlign w:val="bottom"/>
          </w:tcPr>
          <w:p>
            <w:pPr>
              <w:ind w:left="280"/>
              <w:spacing w:after="0"/>
              <w:rPr>
                <w:sz w:val="20"/>
                <w:szCs w:val="20"/>
                <w:color w:val="auto"/>
              </w:rPr>
            </w:pPr>
            <w:r>
              <w:rPr>
                <w:rFonts w:ascii="Arial" w:cs="Arial" w:eastAsia="Arial" w:hAnsi="Arial"/>
                <w:sz w:val="18"/>
                <w:szCs w:val="18"/>
                <w:color w:val="auto"/>
              </w:rPr>
              <w:t>Taxes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3.02</w:t>
            </w:r>
          </w:p>
        </w:tc>
        <w:tc>
          <w:tcPr>
            <w:tcW w:w="4720" w:type="dxa"/>
            <w:vAlign w:val="bottom"/>
          </w:tcPr>
          <w:p>
            <w:pPr>
              <w:ind w:left="280"/>
              <w:spacing w:after="0"/>
              <w:rPr>
                <w:sz w:val="20"/>
                <w:szCs w:val="20"/>
                <w:color w:val="auto"/>
              </w:rPr>
            </w:pPr>
            <w:r>
              <w:rPr>
                <w:rFonts w:ascii="Arial" w:cs="Arial" w:eastAsia="Arial" w:hAnsi="Arial"/>
                <w:sz w:val="18"/>
                <w:szCs w:val="18"/>
                <w:color w:val="auto"/>
              </w:rPr>
              <w:t>Survival</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ARTICLE IV GUARANTY</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8"/>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4.01</w:t>
            </w:r>
          </w:p>
        </w:tc>
        <w:tc>
          <w:tcPr>
            <w:tcW w:w="4720" w:type="dxa"/>
            <w:vAlign w:val="bottom"/>
          </w:tcPr>
          <w:p>
            <w:pPr>
              <w:ind w:left="280"/>
              <w:spacing w:after="0"/>
              <w:rPr>
                <w:sz w:val="20"/>
                <w:szCs w:val="20"/>
                <w:color w:val="auto"/>
              </w:rPr>
            </w:pPr>
            <w:r>
              <w:rPr>
                <w:rFonts w:ascii="Arial" w:cs="Arial" w:eastAsia="Arial" w:hAnsi="Arial"/>
                <w:sz w:val="18"/>
                <w:szCs w:val="18"/>
                <w:color w:val="auto"/>
              </w:rPr>
              <w:t>The Guaranty</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4.02</w:t>
            </w:r>
          </w:p>
        </w:tc>
        <w:tc>
          <w:tcPr>
            <w:tcW w:w="4720" w:type="dxa"/>
            <w:vAlign w:val="bottom"/>
          </w:tcPr>
          <w:p>
            <w:pPr>
              <w:ind w:left="280"/>
              <w:spacing w:after="0"/>
              <w:rPr>
                <w:sz w:val="20"/>
                <w:szCs w:val="20"/>
                <w:color w:val="auto"/>
              </w:rPr>
            </w:pPr>
            <w:r>
              <w:rPr>
                <w:rFonts w:ascii="Arial" w:cs="Arial" w:eastAsia="Arial" w:hAnsi="Arial"/>
                <w:sz w:val="18"/>
                <w:szCs w:val="18"/>
                <w:color w:val="auto"/>
              </w:rPr>
              <w:t>Obligations Unconditional</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4.03</w:t>
            </w:r>
          </w:p>
        </w:tc>
        <w:tc>
          <w:tcPr>
            <w:tcW w:w="4720" w:type="dxa"/>
            <w:vAlign w:val="bottom"/>
          </w:tcPr>
          <w:p>
            <w:pPr>
              <w:ind w:left="280"/>
              <w:spacing w:after="0"/>
              <w:rPr>
                <w:sz w:val="20"/>
                <w:szCs w:val="20"/>
                <w:color w:val="auto"/>
              </w:rPr>
            </w:pPr>
            <w:r>
              <w:rPr>
                <w:rFonts w:ascii="Arial" w:cs="Arial" w:eastAsia="Arial" w:hAnsi="Arial"/>
                <w:sz w:val="18"/>
                <w:szCs w:val="18"/>
                <w:color w:val="auto"/>
              </w:rPr>
              <w:t>Reinstatement</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4.04</w:t>
            </w:r>
          </w:p>
        </w:tc>
        <w:tc>
          <w:tcPr>
            <w:tcW w:w="4720" w:type="dxa"/>
            <w:vAlign w:val="bottom"/>
          </w:tcPr>
          <w:p>
            <w:pPr>
              <w:ind w:left="280"/>
              <w:spacing w:after="0"/>
              <w:rPr>
                <w:sz w:val="20"/>
                <w:szCs w:val="20"/>
                <w:color w:val="auto"/>
              </w:rPr>
            </w:pPr>
            <w:r>
              <w:rPr>
                <w:rFonts w:ascii="Arial" w:cs="Arial" w:eastAsia="Arial" w:hAnsi="Arial"/>
                <w:sz w:val="18"/>
                <w:szCs w:val="18"/>
                <w:color w:val="auto"/>
              </w:rPr>
              <w:t>Certain Additional Waivers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4.05</w:t>
            </w:r>
          </w:p>
        </w:tc>
        <w:tc>
          <w:tcPr>
            <w:tcW w:w="4720" w:type="dxa"/>
            <w:vAlign w:val="bottom"/>
          </w:tcPr>
          <w:p>
            <w:pPr>
              <w:ind w:left="280"/>
              <w:spacing w:after="0"/>
              <w:rPr>
                <w:sz w:val="20"/>
                <w:szCs w:val="20"/>
                <w:color w:val="auto"/>
              </w:rPr>
            </w:pPr>
            <w:r>
              <w:rPr>
                <w:rFonts w:ascii="Arial" w:cs="Arial" w:eastAsia="Arial" w:hAnsi="Arial"/>
                <w:sz w:val="18"/>
                <w:szCs w:val="18"/>
                <w:color w:val="auto"/>
              </w:rPr>
              <w:t>Remedies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4.06</w:t>
            </w:r>
          </w:p>
        </w:tc>
        <w:tc>
          <w:tcPr>
            <w:tcW w:w="4720" w:type="dxa"/>
            <w:vAlign w:val="bottom"/>
          </w:tcPr>
          <w:p>
            <w:pPr>
              <w:ind w:left="280"/>
              <w:spacing w:after="0"/>
              <w:rPr>
                <w:sz w:val="20"/>
                <w:szCs w:val="20"/>
                <w:color w:val="auto"/>
              </w:rPr>
            </w:pPr>
            <w:r>
              <w:rPr>
                <w:rFonts w:ascii="Arial" w:cs="Arial" w:eastAsia="Arial" w:hAnsi="Arial"/>
                <w:sz w:val="18"/>
                <w:szCs w:val="18"/>
                <w:color w:val="auto"/>
              </w:rPr>
              <w:t>Rights of Contribution</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4.07</w:t>
            </w:r>
          </w:p>
        </w:tc>
        <w:tc>
          <w:tcPr>
            <w:tcW w:w="4720" w:type="dxa"/>
            <w:vAlign w:val="bottom"/>
          </w:tcPr>
          <w:p>
            <w:pPr>
              <w:ind w:left="280"/>
              <w:spacing w:after="0"/>
              <w:rPr>
                <w:sz w:val="20"/>
                <w:szCs w:val="20"/>
                <w:color w:val="auto"/>
              </w:rPr>
            </w:pPr>
            <w:r>
              <w:rPr>
                <w:rFonts w:ascii="Arial" w:cs="Arial" w:eastAsia="Arial" w:hAnsi="Arial"/>
                <w:sz w:val="18"/>
                <w:szCs w:val="18"/>
                <w:color w:val="auto"/>
              </w:rPr>
              <w:t>Guarantee of Payment; Continuing Guarantee</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ARTICLE V CONDITIONS PRECEDENT TO BORROWINGS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8"/>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5.01</w:t>
            </w:r>
          </w:p>
        </w:tc>
        <w:tc>
          <w:tcPr>
            <w:tcW w:w="4720" w:type="dxa"/>
            <w:vAlign w:val="bottom"/>
          </w:tcPr>
          <w:p>
            <w:pPr>
              <w:ind w:left="280"/>
              <w:spacing w:after="0"/>
              <w:rPr>
                <w:sz w:val="20"/>
                <w:szCs w:val="20"/>
                <w:color w:val="auto"/>
              </w:rPr>
            </w:pPr>
            <w:r>
              <w:rPr>
                <w:rFonts w:ascii="Arial" w:cs="Arial" w:eastAsia="Arial" w:hAnsi="Arial"/>
                <w:sz w:val="18"/>
                <w:szCs w:val="18"/>
                <w:color w:val="auto"/>
              </w:rPr>
              <w:t>Condition to Effectiveness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5.02</w:t>
            </w:r>
          </w:p>
        </w:tc>
        <w:tc>
          <w:tcPr>
            <w:tcW w:w="4720" w:type="dxa"/>
            <w:vAlign w:val="bottom"/>
          </w:tcPr>
          <w:p>
            <w:pPr>
              <w:ind w:left="280"/>
              <w:spacing w:after="0"/>
              <w:rPr>
                <w:sz w:val="20"/>
                <w:szCs w:val="20"/>
                <w:color w:val="auto"/>
              </w:rPr>
            </w:pPr>
            <w:r>
              <w:rPr>
                <w:rFonts w:ascii="Arial" w:cs="Arial" w:eastAsia="Arial" w:hAnsi="Arial"/>
                <w:sz w:val="18"/>
                <w:szCs w:val="18"/>
                <w:color w:val="auto"/>
              </w:rPr>
              <w:t>Conditions to Initial Extensions of Credit</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5.03</w:t>
            </w:r>
          </w:p>
        </w:tc>
        <w:tc>
          <w:tcPr>
            <w:tcW w:w="4720" w:type="dxa"/>
            <w:vAlign w:val="bottom"/>
          </w:tcPr>
          <w:p>
            <w:pPr>
              <w:ind w:left="280"/>
              <w:spacing w:after="0"/>
              <w:rPr>
                <w:sz w:val="20"/>
                <w:szCs w:val="20"/>
                <w:color w:val="auto"/>
              </w:rPr>
            </w:pPr>
            <w:r>
              <w:rPr>
                <w:rFonts w:ascii="Arial" w:cs="Arial" w:eastAsia="Arial" w:hAnsi="Arial"/>
                <w:sz w:val="18"/>
                <w:szCs w:val="18"/>
                <w:color w:val="auto"/>
              </w:rPr>
              <w:t>Conditions to all Borrowings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8"/>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6.01</w:t>
            </w:r>
          </w:p>
        </w:tc>
        <w:tc>
          <w:tcPr>
            <w:tcW w:w="4720" w:type="dxa"/>
            <w:vAlign w:val="bottom"/>
          </w:tcPr>
          <w:p>
            <w:pPr>
              <w:ind w:left="280"/>
              <w:spacing w:after="0"/>
              <w:rPr>
                <w:sz w:val="20"/>
                <w:szCs w:val="20"/>
                <w:color w:val="auto"/>
              </w:rPr>
            </w:pPr>
            <w:r>
              <w:rPr>
                <w:rFonts w:ascii="Arial" w:cs="Arial" w:eastAsia="Arial" w:hAnsi="Arial"/>
                <w:sz w:val="18"/>
                <w:szCs w:val="18"/>
                <w:color w:val="auto"/>
              </w:rPr>
              <w:t>Existence, Qualification and Power</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6.02</w:t>
            </w:r>
          </w:p>
        </w:tc>
        <w:tc>
          <w:tcPr>
            <w:tcW w:w="4720" w:type="dxa"/>
            <w:vAlign w:val="bottom"/>
          </w:tcPr>
          <w:p>
            <w:pPr>
              <w:ind w:left="280"/>
              <w:spacing w:after="0"/>
              <w:rPr>
                <w:sz w:val="20"/>
                <w:szCs w:val="20"/>
                <w:color w:val="auto"/>
              </w:rPr>
            </w:pPr>
            <w:r>
              <w:rPr>
                <w:rFonts w:ascii="Arial" w:cs="Arial" w:eastAsia="Arial" w:hAnsi="Arial"/>
                <w:sz w:val="18"/>
                <w:szCs w:val="18"/>
                <w:color w:val="auto"/>
              </w:rPr>
              <w:t>Authorization; No Contravention</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6.03</w:t>
            </w:r>
          </w:p>
        </w:tc>
        <w:tc>
          <w:tcPr>
            <w:tcW w:w="4720" w:type="dxa"/>
            <w:vAlign w:val="bottom"/>
          </w:tcPr>
          <w:p>
            <w:pPr>
              <w:ind w:left="280"/>
              <w:spacing w:after="0"/>
              <w:rPr>
                <w:sz w:val="20"/>
                <w:szCs w:val="20"/>
                <w:color w:val="auto"/>
              </w:rPr>
            </w:pPr>
            <w:r>
              <w:rPr>
                <w:rFonts w:ascii="Arial" w:cs="Arial" w:eastAsia="Arial" w:hAnsi="Arial"/>
                <w:sz w:val="18"/>
                <w:szCs w:val="18"/>
                <w:color w:val="auto"/>
              </w:rPr>
              <w:t>Governmental Authorization; Other Consents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6.04</w:t>
            </w:r>
          </w:p>
        </w:tc>
        <w:tc>
          <w:tcPr>
            <w:tcW w:w="4720" w:type="dxa"/>
            <w:vAlign w:val="bottom"/>
          </w:tcPr>
          <w:p>
            <w:pPr>
              <w:ind w:left="280"/>
              <w:spacing w:after="0"/>
              <w:rPr>
                <w:sz w:val="20"/>
                <w:szCs w:val="20"/>
                <w:color w:val="auto"/>
              </w:rPr>
            </w:pPr>
            <w:r>
              <w:rPr>
                <w:rFonts w:ascii="Arial" w:cs="Arial" w:eastAsia="Arial" w:hAnsi="Arial"/>
                <w:sz w:val="18"/>
                <w:szCs w:val="18"/>
                <w:color w:val="auto"/>
              </w:rPr>
              <w:t>Binding Effect</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6.05</w:t>
            </w:r>
          </w:p>
        </w:tc>
        <w:tc>
          <w:tcPr>
            <w:tcW w:w="4720" w:type="dxa"/>
            <w:vAlign w:val="bottom"/>
          </w:tcPr>
          <w:p>
            <w:pPr>
              <w:ind w:left="280"/>
              <w:spacing w:after="0"/>
              <w:rPr>
                <w:sz w:val="20"/>
                <w:szCs w:val="20"/>
                <w:color w:val="auto"/>
              </w:rPr>
            </w:pPr>
            <w:r>
              <w:rPr>
                <w:rFonts w:ascii="Arial" w:cs="Arial" w:eastAsia="Arial" w:hAnsi="Arial"/>
                <w:sz w:val="18"/>
                <w:szCs w:val="18"/>
                <w:color w:val="auto"/>
              </w:rPr>
              <w:t>Financial Statements; No Material Adverse Effect</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6.06</w:t>
            </w:r>
          </w:p>
        </w:tc>
        <w:tc>
          <w:tcPr>
            <w:tcW w:w="4720" w:type="dxa"/>
            <w:vAlign w:val="bottom"/>
          </w:tcPr>
          <w:p>
            <w:pPr>
              <w:ind w:left="280"/>
              <w:spacing w:after="0"/>
              <w:rPr>
                <w:sz w:val="20"/>
                <w:szCs w:val="20"/>
                <w:color w:val="auto"/>
              </w:rPr>
            </w:pPr>
            <w:r>
              <w:rPr>
                <w:rFonts w:ascii="Arial" w:cs="Arial" w:eastAsia="Arial" w:hAnsi="Arial"/>
                <w:sz w:val="18"/>
                <w:szCs w:val="18"/>
                <w:color w:val="auto"/>
              </w:rPr>
              <w:t>Litigation</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6.07</w:t>
            </w:r>
          </w:p>
        </w:tc>
        <w:tc>
          <w:tcPr>
            <w:tcW w:w="4720" w:type="dxa"/>
            <w:vAlign w:val="bottom"/>
          </w:tcPr>
          <w:p>
            <w:pPr>
              <w:ind w:left="280"/>
              <w:spacing w:after="0"/>
              <w:rPr>
                <w:sz w:val="20"/>
                <w:szCs w:val="20"/>
                <w:color w:val="auto"/>
              </w:rPr>
            </w:pPr>
            <w:r>
              <w:rPr>
                <w:rFonts w:ascii="Arial" w:cs="Arial" w:eastAsia="Arial" w:hAnsi="Arial"/>
                <w:sz w:val="18"/>
                <w:szCs w:val="18"/>
                <w:color w:val="auto"/>
              </w:rPr>
              <w:t>No Default</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960" w:type="dxa"/>
            <w:vAlign w:val="bottom"/>
            <w:gridSpan w:val="3"/>
          </w:tcPr>
          <w:p>
            <w:pPr>
              <w:jc w:val="right"/>
              <w:ind w:right="57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32"/>
        </w:trPr>
        <w:tc>
          <w:tcPr>
            <w:tcW w:w="78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5960" w:type="dxa"/>
            <w:vAlign w:val="bottom"/>
            <w:tcBorders>
              <w:bottom w:val="single" w:sz="8" w:color="808080"/>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6.08</w:t>
            </w:r>
          </w:p>
        </w:tc>
        <w:tc>
          <w:tcPr>
            <w:tcW w:w="4720" w:type="dxa"/>
            <w:vAlign w:val="bottom"/>
          </w:tcPr>
          <w:p>
            <w:pPr>
              <w:ind w:left="280"/>
              <w:spacing w:after="0"/>
              <w:rPr>
                <w:sz w:val="20"/>
                <w:szCs w:val="20"/>
                <w:color w:val="auto"/>
              </w:rPr>
            </w:pPr>
            <w:r>
              <w:rPr>
                <w:rFonts w:ascii="Arial" w:cs="Arial" w:eastAsia="Arial" w:hAnsi="Arial"/>
                <w:sz w:val="18"/>
                <w:szCs w:val="18"/>
                <w:color w:val="auto"/>
              </w:rPr>
              <w:t>Ownership of Property; Liens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6.09</w:t>
            </w:r>
          </w:p>
        </w:tc>
        <w:tc>
          <w:tcPr>
            <w:tcW w:w="4720" w:type="dxa"/>
            <w:vAlign w:val="bottom"/>
          </w:tcPr>
          <w:p>
            <w:pPr>
              <w:ind w:left="280"/>
              <w:spacing w:after="0"/>
              <w:rPr>
                <w:sz w:val="20"/>
                <w:szCs w:val="20"/>
                <w:color w:val="auto"/>
              </w:rPr>
            </w:pPr>
            <w:r>
              <w:rPr>
                <w:rFonts w:ascii="Arial" w:cs="Arial" w:eastAsia="Arial" w:hAnsi="Arial"/>
                <w:sz w:val="18"/>
                <w:szCs w:val="18"/>
                <w:color w:val="auto"/>
              </w:rPr>
              <w:t>Environmental Compliance</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6.10</w:t>
            </w:r>
          </w:p>
        </w:tc>
        <w:tc>
          <w:tcPr>
            <w:tcW w:w="472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6.11</w:t>
            </w:r>
          </w:p>
        </w:tc>
        <w:tc>
          <w:tcPr>
            <w:tcW w:w="4720" w:type="dxa"/>
            <w:vAlign w:val="bottom"/>
          </w:tcPr>
          <w:p>
            <w:pPr>
              <w:ind w:left="280"/>
              <w:spacing w:after="0"/>
              <w:rPr>
                <w:sz w:val="20"/>
                <w:szCs w:val="20"/>
                <w:color w:val="auto"/>
              </w:rPr>
            </w:pPr>
            <w:r>
              <w:rPr>
                <w:rFonts w:ascii="Arial" w:cs="Arial" w:eastAsia="Arial" w:hAnsi="Arial"/>
                <w:sz w:val="18"/>
                <w:szCs w:val="18"/>
                <w:color w:val="auto"/>
              </w:rPr>
              <w:t>Taxes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6.12</w:t>
            </w:r>
          </w:p>
        </w:tc>
        <w:tc>
          <w:tcPr>
            <w:tcW w:w="4720" w:type="dxa"/>
            <w:vAlign w:val="bottom"/>
          </w:tcPr>
          <w:p>
            <w:pPr>
              <w:ind w:left="280"/>
              <w:spacing w:after="0"/>
              <w:rPr>
                <w:sz w:val="20"/>
                <w:szCs w:val="20"/>
                <w:color w:val="auto"/>
              </w:rPr>
            </w:pPr>
            <w:r>
              <w:rPr>
                <w:rFonts w:ascii="Arial" w:cs="Arial" w:eastAsia="Arial" w:hAnsi="Arial"/>
                <w:sz w:val="18"/>
                <w:szCs w:val="18"/>
                <w:color w:val="auto"/>
              </w:rPr>
              <w:t>ERISA Compliance</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6.13</w:t>
            </w:r>
          </w:p>
        </w:tc>
        <w:tc>
          <w:tcPr>
            <w:tcW w:w="4720" w:type="dxa"/>
            <w:vAlign w:val="bottom"/>
          </w:tcPr>
          <w:p>
            <w:pPr>
              <w:ind w:left="280"/>
              <w:spacing w:after="0"/>
              <w:rPr>
                <w:sz w:val="20"/>
                <w:szCs w:val="20"/>
                <w:color w:val="auto"/>
              </w:rPr>
            </w:pPr>
            <w:r>
              <w:rPr>
                <w:rFonts w:ascii="Arial" w:cs="Arial" w:eastAsia="Arial" w:hAnsi="Arial"/>
                <w:sz w:val="18"/>
                <w:szCs w:val="18"/>
                <w:color w:val="auto"/>
              </w:rPr>
              <w:t>Subsidiaries and Capitalization</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6.14</w:t>
            </w:r>
          </w:p>
        </w:tc>
        <w:tc>
          <w:tcPr>
            <w:tcW w:w="4720" w:type="dxa"/>
            <w:vAlign w:val="bottom"/>
          </w:tcPr>
          <w:p>
            <w:pPr>
              <w:ind w:left="280"/>
              <w:spacing w:after="0"/>
              <w:rPr>
                <w:sz w:val="20"/>
                <w:szCs w:val="20"/>
                <w:color w:val="auto"/>
              </w:rPr>
            </w:pPr>
            <w:r>
              <w:rPr>
                <w:rFonts w:ascii="Arial" w:cs="Arial" w:eastAsia="Arial" w:hAnsi="Arial"/>
                <w:sz w:val="18"/>
                <w:szCs w:val="18"/>
                <w:color w:val="auto"/>
              </w:rPr>
              <w:t>Margin Regulations; Investment Company Act</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6.15</w:t>
            </w:r>
          </w:p>
        </w:tc>
        <w:tc>
          <w:tcPr>
            <w:tcW w:w="4720" w:type="dxa"/>
            <w:vAlign w:val="bottom"/>
          </w:tcPr>
          <w:p>
            <w:pPr>
              <w:ind w:left="280"/>
              <w:spacing w:after="0"/>
              <w:rPr>
                <w:sz w:val="20"/>
                <w:szCs w:val="20"/>
                <w:color w:val="auto"/>
              </w:rPr>
            </w:pPr>
            <w:r>
              <w:rPr>
                <w:rFonts w:ascii="Arial" w:cs="Arial" w:eastAsia="Arial" w:hAnsi="Arial"/>
                <w:sz w:val="18"/>
                <w:szCs w:val="18"/>
                <w:color w:val="auto"/>
              </w:rPr>
              <w:t>Disclosure</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6.16</w:t>
            </w:r>
          </w:p>
        </w:tc>
        <w:tc>
          <w:tcPr>
            <w:tcW w:w="4720" w:type="dxa"/>
            <w:vAlign w:val="bottom"/>
          </w:tcPr>
          <w:p>
            <w:pPr>
              <w:ind w:left="280"/>
              <w:spacing w:after="0"/>
              <w:rPr>
                <w:sz w:val="20"/>
                <w:szCs w:val="20"/>
                <w:color w:val="auto"/>
              </w:rPr>
            </w:pPr>
            <w:r>
              <w:rPr>
                <w:rFonts w:ascii="Arial" w:cs="Arial" w:eastAsia="Arial" w:hAnsi="Arial"/>
                <w:sz w:val="18"/>
                <w:szCs w:val="18"/>
                <w:color w:val="auto"/>
              </w:rPr>
              <w:t>Compliance with Laws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6.17</w:t>
            </w:r>
          </w:p>
        </w:tc>
        <w:tc>
          <w:tcPr>
            <w:tcW w:w="4720" w:type="dxa"/>
            <w:vAlign w:val="bottom"/>
          </w:tcPr>
          <w:p>
            <w:pPr>
              <w:ind w:left="280"/>
              <w:spacing w:after="0"/>
              <w:rPr>
                <w:sz w:val="20"/>
                <w:szCs w:val="20"/>
                <w:color w:val="auto"/>
              </w:rPr>
            </w:pPr>
            <w:r>
              <w:rPr>
                <w:rFonts w:ascii="Arial" w:cs="Arial" w:eastAsia="Arial" w:hAnsi="Arial"/>
                <w:sz w:val="18"/>
                <w:szCs w:val="18"/>
                <w:color w:val="auto"/>
              </w:rPr>
              <w:t>Intellectual Property; Licenses, Etc.</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6.18</w:t>
            </w:r>
          </w:p>
        </w:tc>
        <w:tc>
          <w:tcPr>
            <w:tcW w:w="4720" w:type="dxa"/>
            <w:vAlign w:val="bottom"/>
          </w:tcPr>
          <w:p>
            <w:pPr>
              <w:ind w:left="280"/>
              <w:spacing w:after="0"/>
              <w:rPr>
                <w:sz w:val="20"/>
                <w:szCs w:val="20"/>
                <w:color w:val="auto"/>
              </w:rPr>
            </w:pPr>
            <w:r>
              <w:rPr>
                <w:rFonts w:ascii="Arial" w:cs="Arial" w:eastAsia="Arial" w:hAnsi="Arial"/>
                <w:sz w:val="18"/>
                <w:szCs w:val="18"/>
                <w:color w:val="auto"/>
              </w:rPr>
              <w:t>Solvency</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6.19</w:t>
            </w:r>
          </w:p>
        </w:tc>
        <w:tc>
          <w:tcPr>
            <w:tcW w:w="4720" w:type="dxa"/>
            <w:vAlign w:val="bottom"/>
          </w:tcPr>
          <w:p>
            <w:pPr>
              <w:ind w:left="280"/>
              <w:spacing w:after="0"/>
              <w:rPr>
                <w:sz w:val="20"/>
                <w:szCs w:val="20"/>
                <w:color w:val="auto"/>
              </w:rPr>
            </w:pPr>
            <w:r>
              <w:rPr>
                <w:rFonts w:ascii="Arial" w:cs="Arial" w:eastAsia="Arial" w:hAnsi="Arial"/>
                <w:sz w:val="18"/>
                <w:szCs w:val="18"/>
                <w:color w:val="auto"/>
              </w:rPr>
              <w:t>Perfection of Security Interests in the Collateral</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6.20</w:t>
            </w:r>
          </w:p>
        </w:tc>
        <w:tc>
          <w:tcPr>
            <w:tcW w:w="4720" w:type="dxa"/>
            <w:vAlign w:val="bottom"/>
          </w:tcPr>
          <w:p>
            <w:pPr>
              <w:ind w:left="280"/>
              <w:spacing w:after="0"/>
              <w:rPr>
                <w:sz w:val="20"/>
                <w:szCs w:val="20"/>
                <w:color w:val="auto"/>
              </w:rPr>
            </w:pPr>
            <w:r>
              <w:rPr>
                <w:rFonts w:ascii="Arial" w:cs="Arial" w:eastAsia="Arial" w:hAnsi="Arial"/>
                <w:sz w:val="18"/>
                <w:szCs w:val="18"/>
                <w:color w:val="auto"/>
              </w:rPr>
              <w:t>Business Locations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6.21</w:t>
            </w:r>
          </w:p>
        </w:tc>
        <w:tc>
          <w:tcPr>
            <w:tcW w:w="4720" w:type="dxa"/>
            <w:vAlign w:val="bottom"/>
          </w:tcPr>
          <w:p>
            <w:pPr>
              <w:ind w:left="280"/>
              <w:spacing w:after="0"/>
              <w:rPr>
                <w:sz w:val="20"/>
                <w:szCs w:val="20"/>
                <w:color w:val="auto"/>
              </w:rPr>
            </w:pPr>
            <w:r>
              <w:rPr>
                <w:rFonts w:ascii="Arial" w:cs="Arial" w:eastAsia="Arial" w:hAnsi="Arial"/>
                <w:sz w:val="18"/>
                <w:szCs w:val="18"/>
                <w:color w:val="auto"/>
                <w:w w:val="96"/>
              </w:rPr>
              <w:t>Sanctions Concerns; Anti-Corruption Laws; PATRIOT Act</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6.22</w:t>
            </w:r>
          </w:p>
        </w:tc>
        <w:tc>
          <w:tcPr>
            <w:tcW w:w="4720" w:type="dxa"/>
            <w:vAlign w:val="bottom"/>
          </w:tcPr>
          <w:p>
            <w:pPr>
              <w:ind w:left="280"/>
              <w:spacing w:after="0"/>
              <w:rPr>
                <w:sz w:val="20"/>
                <w:szCs w:val="20"/>
                <w:color w:val="auto"/>
              </w:rPr>
            </w:pPr>
            <w:r>
              <w:rPr>
                <w:rFonts w:ascii="Arial" w:cs="Arial" w:eastAsia="Arial" w:hAnsi="Arial"/>
                <w:sz w:val="18"/>
                <w:szCs w:val="18"/>
                <w:color w:val="auto"/>
              </w:rPr>
              <w:t>Material Contracts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6.23</w:t>
            </w:r>
          </w:p>
        </w:tc>
        <w:tc>
          <w:tcPr>
            <w:tcW w:w="4720" w:type="dxa"/>
            <w:vAlign w:val="bottom"/>
          </w:tcPr>
          <w:p>
            <w:pPr>
              <w:ind w:left="280"/>
              <w:spacing w:after="0"/>
              <w:rPr>
                <w:sz w:val="20"/>
                <w:szCs w:val="20"/>
                <w:color w:val="auto"/>
              </w:rPr>
            </w:pPr>
            <w:r>
              <w:rPr>
                <w:rFonts w:ascii="Arial" w:cs="Arial" w:eastAsia="Arial" w:hAnsi="Arial"/>
                <w:sz w:val="18"/>
                <w:szCs w:val="18"/>
                <w:color w:val="auto"/>
              </w:rPr>
              <w:t>Compliance of Products</w:t>
            </w:r>
          </w:p>
        </w:tc>
        <w:tc>
          <w:tcPr>
            <w:tcW w:w="596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-2582545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-2582545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820" w:type="dxa"/>
            <w:vAlign w:val="bottom"/>
          </w:tcPr>
          <w:p>
            <w:pPr>
              <w:ind w:left="180"/>
              <w:spacing w:after="0"/>
              <w:rPr>
                <w:sz w:val="20"/>
                <w:szCs w:val="20"/>
                <w:color w:val="auto"/>
              </w:rPr>
            </w:pPr>
            <w:r>
              <w:rPr>
                <w:rFonts w:ascii="Arial" w:cs="Arial" w:eastAsia="Arial" w:hAnsi="Arial"/>
                <w:sz w:val="18"/>
                <w:szCs w:val="18"/>
                <w:color w:val="auto"/>
              </w:rPr>
              <w:t>6.24</w:t>
            </w:r>
          </w:p>
        </w:tc>
        <w:tc>
          <w:tcPr>
            <w:tcW w:w="9420" w:type="dxa"/>
            <w:vAlign w:val="bottom"/>
          </w:tcPr>
          <w:p>
            <w:pPr>
              <w:ind w:left="240"/>
              <w:spacing w:after="0"/>
              <w:rPr>
                <w:sz w:val="20"/>
                <w:szCs w:val="20"/>
                <w:color w:val="auto"/>
              </w:rPr>
            </w:pPr>
            <w:r>
              <w:rPr>
                <w:rFonts w:ascii="Arial" w:cs="Arial" w:eastAsia="Arial" w:hAnsi="Arial"/>
                <w:sz w:val="18"/>
                <w:szCs w:val="18"/>
                <w:color w:val="auto"/>
              </w:rPr>
              <w:t>Labor Matters</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ARTICLE VII AFFIRMATIVE COVENANTS</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820" w:type="dxa"/>
            <w:vAlign w:val="bottom"/>
          </w:tcPr>
          <w:p>
            <w:pPr>
              <w:ind w:left="180"/>
              <w:spacing w:after="0"/>
              <w:rPr>
                <w:sz w:val="20"/>
                <w:szCs w:val="20"/>
                <w:color w:val="auto"/>
              </w:rPr>
            </w:pPr>
            <w:r>
              <w:rPr>
                <w:rFonts w:ascii="Arial" w:cs="Arial" w:eastAsia="Arial" w:hAnsi="Arial"/>
                <w:sz w:val="18"/>
                <w:szCs w:val="18"/>
                <w:color w:val="auto"/>
              </w:rPr>
              <w:t>7.01</w:t>
            </w:r>
          </w:p>
        </w:tc>
        <w:tc>
          <w:tcPr>
            <w:tcW w:w="942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7.02</w:t>
            </w:r>
          </w:p>
        </w:tc>
        <w:tc>
          <w:tcPr>
            <w:tcW w:w="9420" w:type="dxa"/>
            <w:vAlign w:val="bottom"/>
          </w:tcPr>
          <w:p>
            <w:pPr>
              <w:ind w:left="240"/>
              <w:spacing w:after="0"/>
              <w:rPr>
                <w:sz w:val="20"/>
                <w:szCs w:val="20"/>
                <w:color w:val="auto"/>
              </w:rPr>
            </w:pPr>
            <w:r>
              <w:rPr>
                <w:rFonts w:ascii="Arial" w:cs="Arial" w:eastAsia="Arial" w:hAnsi="Arial"/>
                <w:sz w:val="18"/>
                <w:szCs w:val="18"/>
                <w:color w:val="auto"/>
              </w:rPr>
              <w:t>Certificates; Other Information</w:t>
            </w: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7.03</w:t>
            </w:r>
          </w:p>
        </w:tc>
        <w:tc>
          <w:tcPr>
            <w:tcW w:w="9420" w:type="dxa"/>
            <w:vAlign w:val="bottom"/>
          </w:tcPr>
          <w:p>
            <w:pPr>
              <w:ind w:left="240"/>
              <w:spacing w:after="0"/>
              <w:rPr>
                <w:sz w:val="20"/>
                <w:szCs w:val="20"/>
                <w:color w:val="auto"/>
              </w:rPr>
            </w:pPr>
            <w:r>
              <w:rPr>
                <w:rFonts w:ascii="Arial" w:cs="Arial" w:eastAsia="Arial" w:hAnsi="Arial"/>
                <w:sz w:val="18"/>
                <w:szCs w:val="18"/>
                <w:color w:val="auto"/>
              </w:rPr>
              <w:t>Notices</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7.04</w:t>
            </w:r>
          </w:p>
        </w:tc>
        <w:tc>
          <w:tcPr>
            <w:tcW w:w="9420" w:type="dxa"/>
            <w:vAlign w:val="bottom"/>
          </w:tcPr>
          <w:p>
            <w:pPr>
              <w:ind w:left="240"/>
              <w:spacing w:after="0"/>
              <w:rPr>
                <w:sz w:val="20"/>
                <w:szCs w:val="20"/>
                <w:color w:val="auto"/>
              </w:rPr>
            </w:pPr>
            <w:r>
              <w:rPr>
                <w:rFonts w:ascii="Arial" w:cs="Arial" w:eastAsia="Arial" w:hAnsi="Arial"/>
                <w:sz w:val="18"/>
                <w:szCs w:val="18"/>
                <w:color w:val="auto"/>
              </w:rPr>
              <w:t>Payment of Obligations</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7.05</w:t>
            </w:r>
          </w:p>
        </w:tc>
        <w:tc>
          <w:tcPr>
            <w:tcW w:w="9420" w:type="dxa"/>
            <w:vAlign w:val="bottom"/>
          </w:tcPr>
          <w:p>
            <w:pPr>
              <w:ind w:left="240"/>
              <w:spacing w:after="0"/>
              <w:rPr>
                <w:sz w:val="20"/>
                <w:szCs w:val="20"/>
                <w:color w:val="auto"/>
              </w:rPr>
            </w:pPr>
            <w:r>
              <w:rPr>
                <w:rFonts w:ascii="Arial" w:cs="Arial" w:eastAsia="Arial" w:hAnsi="Arial"/>
                <w:sz w:val="18"/>
                <w:szCs w:val="18"/>
                <w:color w:val="auto"/>
              </w:rPr>
              <w:t>Preservation of Existence, Etc.</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7.06</w:t>
            </w:r>
          </w:p>
        </w:tc>
        <w:tc>
          <w:tcPr>
            <w:tcW w:w="9420" w:type="dxa"/>
            <w:vAlign w:val="bottom"/>
          </w:tcPr>
          <w:p>
            <w:pPr>
              <w:ind w:left="240"/>
              <w:spacing w:after="0"/>
              <w:rPr>
                <w:sz w:val="20"/>
                <w:szCs w:val="20"/>
                <w:color w:val="auto"/>
              </w:rPr>
            </w:pPr>
            <w:r>
              <w:rPr>
                <w:rFonts w:ascii="Arial" w:cs="Arial" w:eastAsia="Arial" w:hAnsi="Arial"/>
                <w:sz w:val="18"/>
                <w:szCs w:val="18"/>
                <w:color w:val="auto"/>
              </w:rPr>
              <w:t>Maintenance of Properties</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7.07</w:t>
            </w:r>
          </w:p>
        </w:tc>
        <w:tc>
          <w:tcPr>
            <w:tcW w:w="9420" w:type="dxa"/>
            <w:vAlign w:val="bottom"/>
          </w:tcPr>
          <w:p>
            <w:pPr>
              <w:ind w:left="240"/>
              <w:spacing w:after="0"/>
              <w:rPr>
                <w:sz w:val="20"/>
                <w:szCs w:val="20"/>
                <w:color w:val="auto"/>
              </w:rPr>
            </w:pPr>
            <w:r>
              <w:rPr>
                <w:rFonts w:ascii="Arial" w:cs="Arial" w:eastAsia="Arial" w:hAnsi="Arial"/>
                <w:sz w:val="18"/>
                <w:szCs w:val="18"/>
                <w:color w:val="auto"/>
              </w:rPr>
              <w:t>Maintenance of Insurance</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7.08</w:t>
            </w:r>
          </w:p>
        </w:tc>
        <w:tc>
          <w:tcPr>
            <w:tcW w:w="942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7.09</w:t>
            </w:r>
          </w:p>
        </w:tc>
        <w:tc>
          <w:tcPr>
            <w:tcW w:w="9420" w:type="dxa"/>
            <w:vAlign w:val="bottom"/>
          </w:tcPr>
          <w:p>
            <w:pPr>
              <w:ind w:left="240"/>
              <w:spacing w:after="0"/>
              <w:rPr>
                <w:sz w:val="20"/>
                <w:szCs w:val="20"/>
                <w:color w:val="auto"/>
              </w:rPr>
            </w:pPr>
            <w:r>
              <w:rPr>
                <w:rFonts w:ascii="Arial" w:cs="Arial" w:eastAsia="Arial" w:hAnsi="Arial"/>
                <w:sz w:val="18"/>
                <w:szCs w:val="18"/>
                <w:color w:val="auto"/>
              </w:rPr>
              <w:t>Books and Records</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7.10</w:t>
            </w:r>
          </w:p>
        </w:tc>
        <w:tc>
          <w:tcPr>
            <w:tcW w:w="9420" w:type="dxa"/>
            <w:vAlign w:val="bottom"/>
          </w:tcPr>
          <w:p>
            <w:pPr>
              <w:ind w:left="240"/>
              <w:spacing w:after="0"/>
              <w:rPr>
                <w:sz w:val="20"/>
                <w:szCs w:val="20"/>
                <w:color w:val="auto"/>
              </w:rPr>
            </w:pPr>
            <w:r>
              <w:rPr>
                <w:rFonts w:ascii="Arial" w:cs="Arial" w:eastAsia="Arial" w:hAnsi="Arial"/>
                <w:sz w:val="18"/>
                <w:szCs w:val="18"/>
                <w:color w:val="auto"/>
              </w:rPr>
              <w:t>Inspection Rights</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7.11</w:t>
            </w:r>
          </w:p>
        </w:tc>
        <w:tc>
          <w:tcPr>
            <w:tcW w:w="942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7.12</w:t>
            </w:r>
          </w:p>
        </w:tc>
        <w:tc>
          <w:tcPr>
            <w:tcW w:w="9420" w:type="dxa"/>
            <w:vAlign w:val="bottom"/>
          </w:tcPr>
          <w:p>
            <w:pPr>
              <w:ind w:left="240"/>
              <w:spacing w:after="0"/>
              <w:rPr>
                <w:sz w:val="20"/>
                <w:szCs w:val="20"/>
                <w:color w:val="auto"/>
              </w:rPr>
            </w:pPr>
            <w:r>
              <w:rPr>
                <w:rFonts w:ascii="Arial" w:cs="Arial" w:eastAsia="Arial" w:hAnsi="Arial"/>
                <w:sz w:val="18"/>
                <w:szCs w:val="18"/>
                <w:color w:val="auto"/>
              </w:rPr>
              <w:t>Additional Subsidiaries</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7.13</w:t>
            </w:r>
          </w:p>
        </w:tc>
        <w:tc>
          <w:tcPr>
            <w:tcW w:w="9420" w:type="dxa"/>
            <w:vAlign w:val="bottom"/>
          </w:tcPr>
          <w:p>
            <w:pPr>
              <w:ind w:left="240"/>
              <w:spacing w:after="0"/>
              <w:rPr>
                <w:sz w:val="20"/>
                <w:szCs w:val="20"/>
                <w:color w:val="auto"/>
              </w:rPr>
            </w:pPr>
            <w:r>
              <w:rPr>
                <w:rFonts w:ascii="Arial" w:cs="Arial" w:eastAsia="Arial" w:hAnsi="Arial"/>
                <w:sz w:val="18"/>
                <w:szCs w:val="18"/>
                <w:color w:val="auto"/>
              </w:rPr>
              <w:t>ERISA Compliance</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7.14</w:t>
            </w:r>
          </w:p>
        </w:tc>
        <w:tc>
          <w:tcPr>
            <w:tcW w:w="9420" w:type="dxa"/>
            <w:vAlign w:val="bottom"/>
          </w:tcPr>
          <w:p>
            <w:pPr>
              <w:ind w:left="240"/>
              <w:spacing w:after="0"/>
              <w:rPr>
                <w:sz w:val="20"/>
                <w:szCs w:val="20"/>
                <w:color w:val="auto"/>
              </w:rPr>
            </w:pPr>
            <w:r>
              <w:rPr>
                <w:rFonts w:ascii="Arial" w:cs="Arial" w:eastAsia="Arial" w:hAnsi="Arial"/>
                <w:sz w:val="18"/>
                <w:szCs w:val="18"/>
                <w:color w:val="auto"/>
              </w:rPr>
              <w:t>Pledged Assets</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7.15</w:t>
            </w:r>
          </w:p>
        </w:tc>
        <w:tc>
          <w:tcPr>
            <w:tcW w:w="9420" w:type="dxa"/>
            <w:vAlign w:val="bottom"/>
          </w:tcPr>
          <w:p>
            <w:pPr>
              <w:ind w:left="240"/>
              <w:spacing w:after="0"/>
              <w:rPr>
                <w:sz w:val="20"/>
                <w:szCs w:val="20"/>
                <w:color w:val="auto"/>
              </w:rPr>
            </w:pPr>
            <w:r>
              <w:rPr>
                <w:rFonts w:ascii="Arial" w:cs="Arial" w:eastAsia="Arial" w:hAnsi="Arial"/>
                <w:sz w:val="18"/>
                <w:szCs w:val="18"/>
                <w:color w:val="auto"/>
              </w:rPr>
              <w:t>Compliance with Material Contracts</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7.16</w:t>
            </w:r>
          </w:p>
        </w:tc>
        <w:tc>
          <w:tcPr>
            <w:tcW w:w="9420" w:type="dxa"/>
            <w:vAlign w:val="bottom"/>
          </w:tcPr>
          <w:p>
            <w:pPr>
              <w:ind w:left="240"/>
              <w:spacing w:after="0"/>
              <w:rPr>
                <w:sz w:val="20"/>
                <w:szCs w:val="20"/>
                <w:color w:val="auto"/>
              </w:rPr>
            </w:pPr>
            <w:r>
              <w:rPr>
                <w:rFonts w:ascii="Arial" w:cs="Arial" w:eastAsia="Arial" w:hAnsi="Arial"/>
                <w:sz w:val="18"/>
                <w:szCs w:val="18"/>
                <w:color w:val="auto"/>
              </w:rPr>
              <w:t>Products and Required Permits</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7.17</w:t>
            </w:r>
          </w:p>
        </w:tc>
        <w:tc>
          <w:tcPr>
            <w:tcW w:w="9420" w:type="dxa"/>
            <w:vAlign w:val="bottom"/>
          </w:tcPr>
          <w:p>
            <w:pPr>
              <w:ind w:left="240"/>
              <w:spacing w:after="0"/>
              <w:rPr>
                <w:sz w:val="20"/>
                <w:szCs w:val="20"/>
                <w:color w:val="auto"/>
              </w:rPr>
            </w:pPr>
            <w:r>
              <w:rPr>
                <w:rFonts w:ascii="Arial" w:cs="Arial" w:eastAsia="Arial" w:hAnsi="Arial"/>
                <w:sz w:val="18"/>
                <w:szCs w:val="18"/>
                <w:color w:val="auto"/>
              </w:rPr>
              <w:t>Consent of Licensors</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7.18</w:t>
            </w:r>
          </w:p>
        </w:tc>
        <w:tc>
          <w:tcPr>
            <w:tcW w:w="9420" w:type="dxa"/>
            <w:vAlign w:val="bottom"/>
          </w:tcPr>
          <w:p>
            <w:pPr>
              <w:ind w:left="240"/>
              <w:spacing w:after="0"/>
              <w:rPr>
                <w:sz w:val="20"/>
                <w:szCs w:val="20"/>
                <w:color w:val="auto"/>
              </w:rPr>
            </w:pPr>
            <w:r>
              <w:rPr>
                <w:rFonts w:ascii="Arial" w:cs="Arial" w:eastAsia="Arial" w:hAnsi="Arial"/>
                <w:sz w:val="18"/>
                <w:szCs w:val="18"/>
                <w:color w:val="auto"/>
              </w:rPr>
              <w:t>Anti-Corruption Laws</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7.19</w:t>
            </w:r>
          </w:p>
        </w:tc>
        <w:tc>
          <w:tcPr>
            <w:tcW w:w="9420" w:type="dxa"/>
            <w:vAlign w:val="bottom"/>
          </w:tcPr>
          <w:p>
            <w:pPr>
              <w:ind w:left="240"/>
              <w:spacing w:after="0"/>
              <w:rPr>
                <w:sz w:val="20"/>
                <w:szCs w:val="20"/>
                <w:color w:val="auto"/>
              </w:rPr>
            </w:pPr>
            <w:r>
              <w:rPr>
                <w:rFonts w:ascii="Arial" w:cs="Arial" w:eastAsia="Arial" w:hAnsi="Arial"/>
                <w:sz w:val="18"/>
                <w:szCs w:val="18"/>
                <w:color w:val="auto"/>
              </w:rPr>
              <w:t>Maintenance of IP Rights</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20" w:type="dxa"/>
            <w:vAlign w:val="bottom"/>
          </w:tcPr>
          <w:p>
            <w:pPr>
              <w:ind w:left="180"/>
              <w:spacing w:after="0"/>
              <w:rPr>
                <w:sz w:val="20"/>
                <w:szCs w:val="20"/>
                <w:color w:val="auto"/>
              </w:rPr>
            </w:pPr>
            <w:r>
              <w:rPr>
                <w:rFonts w:ascii="Arial" w:cs="Arial" w:eastAsia="Arial" w:hAnsi="Arial"/>
                <w:sz w:val="18"/>
                <w:szCs w:val="18"/>
                <w:color w:val="auto"/>
              </w:rPr>
              <w:t>7.20</w:t>
            </w:r>
          </w:p>
        </w:tc>
        <w:tc>
          <w:tcPr>
            <w:tcW w:w="9420" w:type="dxa"/>
            <w:vAlign w:val="bottom"/>
          </w:tcPr>
          <w:p>
            <w:pPr>
              <w:ind w:left="240"/>
              <w:spacing w:after="0"/>
              <w:rPr>
                <w:sz w:val="20"/>
                <w:szCs w:val="20"/>
                <w:color w:val="auto"/>
              </w:rPr>
            </w:pPr>
            <w:r>
              <w:rPr>
                <w:rFonts w:ascii="Arial" w:cs="Arial" w:eastAsia="Arial" w:hAnsi="Arial"/>
                <w:sz w:val="18"/>
                <w:szCs w:val="18"/>
                <w:color w:val="auto"/>
              </w:rPr>
              <w:t>Post-Closing Matters</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ARTICLE VIII NEGATIVE COVENANTS</w:t>
            </w: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820" w:type="dxa"/>
            <w:vAlign w:val="bottom"/>
          </w:tcPr>
          <w:p>
            <w:pPr>
              <w:ind w:left="180"/>
              <w:spacing w:after="0"/>
              <w:rPr>
                <w:sz w:val="20"/>
                <w:szCs w:val="20"/>
                <w:color w:val="auto"/>
              </w:rPr>
            </w:pPr>
            <w:r>
              <w:rPr>
                <w:rFonts w:ascii="Arial" w:cs="Arial" w:eastAsia="Arial" w:hAnsi="Arial"/>
                <w:sz w:val="18"/>
                <w:szCs w:val="18"/>
                <w:color w:val="auto"/>
              </w:rPr>
              <w:t>8.01</w:t>
            </w:r>
          </w:p>
        </w:tc>
        <w:tc>
          <w:tcPr>
            <w:tcW w:w="9420" w:type="dxa"/>
            <w:vAlign w:val="bottom"/>
          </w:tcPr>
          <w:p>
            <w:pPr>
              <w:ind w:left="240"/>
              <w:spacing w:after="0"/>
              <w:rPr>
                <w:sz w:val="20"/>
                <w:szCs w:val="20"/>
                <w:color w:val="auto"/>
              </w:rPr>
            </w:pPr>
            <w:r>
              <w:rPr>
                <w:rFonts w:ascii="Arial" w:cs="Arial" w:eastAsia="Arial" w:hAnsi="Arial"/>
                <w:sz w:val="18"/>
                <w:szCs w:val="18"/>
                <w:color w:val="auto"/>
              </w:rPr>
              <w:t>Liens</w:t>
            </w: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8.02</w:t>
            </w:r>
          </w:p>
        </w:tc>
        <w:tc>
          <w:tcPr>
            <w:tcW w:w="942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8.03</w:t>
            </w:r>
          </w:p>
        </w:tc>
        <w:tc>
          <w:tcPr>
            <w:tcW w:w="9420" w:type="dxa"/>
            <w:vAlign w:val="bottom"/>
          </w:tcPr>
          <w:p>
            <w:pPr>
              <w:ind w:left="240"/>
              <w:spacing w:after="0"/>
              <w:rPr>
                <w:sz w:val="20"/>
                <w:szCs w:val="20"/>
                <w:color w:val="auto"/>
              </w:rPr>
            </w:pPr>
            <w:r>
              <w:rPr>
                <w:rFonts w:ascii="Arial" w:cs="Arial" w:eastAsia="Arial" w:hAnsi="Arial"/>
                <w:sz w:val="18"/>
                <w:szCs w:val="18"/>
                <w:color w:val="auto"/>
              </w:rPr>
              <w:t>Indebtedness</w:t>
            </w: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8.04</w:t>
            </w:r>
          </w:p>
        </w:tc>
        <w:tc>
          <w:tcPr>
            <w:tcW w:w="9420" w:type="dxa"/>
            <w:vAlign w:val="bottom"/>
          </w:tcPr>
          <w:p>
            <w:pPr>
              <w:ind w:left="240"/>
              <w:spacing w:after="0"/>
              <w:rPr>
                <w:sz w:val="20"/>
                <w:szCs w:val="20"/>
                <w:color w:val="auto"/>
              </w:rPr>
            </w:pPr>
            <w:r>
              <w:rPr>
                <w:rFonts w:ascii="Arial" w:cs="Arial" w:eastAsia="Arial" w:hAnsi="Arial"/>
                <w:sz w:val="18"/>
                <w:szCs w:val="18"/>
                <w:color w:val="auto"/>
              </w:rPr>
              <w:t>Fundamental Changes</w:t>
            </w: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8.05</w:t>
            </w:r>
          </w:p>
        </w:tc>
        <w:tc>
          <w:tcPr>
            <w:tcW w:w="9420" w:type="dxa"/>
            <w:vAlign w:val="bottom"/>
          </w:tcPr>
          <w:p>
            <w:pPr>
              <w:ind w:left="240"/>
              <w:spacing w:after="0"/>
              <w:rPr>
                <w:sz w:val="20"/>
                <w:szCs w:val="20"/>
                <w:color w:val="auto"/>
              </w:rPr>
            </w:pPr>
            <w:r>
              <w:rPr>
                <w:rFonts w:ascii="Arial" w:cs="Arial" w:eastAsia="Arial" w:hAnsi="Arial"/>
                <w:sz w:val="18"/>
                <w:szCs w:val="18"/>
                <w:color w:val="auto"/>
              </w:rPr>
              <w:t>Dispositions</w:t>
            </w: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8.06</w:t>
            </w:r>
          </w:p>
        </w:tc>
        <w:tc>
          <w:tcPr>
            <w:tcW w:w="9420" w:type="dxa"/>
            <w:vAlign w:val="bottom"/>
          </w:tcPr>
          <w:p>
            <w:pPr>
              <w:ind w:left="240"/>
              <w:spacing w:after="0"/>
              <w:rPr>
                <w:sz w:val="20"/>
                <w:szCs w:val="20"/>
                <w:color w:val="auto"/>
              </w:rPr>
            </w:pPr>
            <w:r>
              <w:rPr>
                <w:rFonts w:ascii="Arial" w:cs="Arial" w:eastAsia="Arial" w:hAnsi="Arial"/>
                <w:sz w:val="18"/>
                <w:szCs w:val="18"/>
                <w:color w:val="auto"/>
              </w:rPr>
              <w:t>Restricted Payments</w:t>
            </w: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8.07</w:t>
            </w:r>
          </w:p>
        </w:tc>
        <w:tc>
          <w:tcPr>
            <w:tcW w:w="9420" w:type="dxa"/>
            <w:vAlign w:val="bottom"/>
          </w:tcPr>
          <w:p>
            <w:pPr>
              <w:ind w:left="240"/>
              <w:spacing w:after="0"/>
              <w:rPr>
                <w:sz w:val="20"/>
                <w:szCs w:val="20"/>
                <w:color w:val="auto"/>
              </w:rPr>
            </w:pPr>
            <w:r>
              <w:rPr>
                <w:rFonts w:ascii="Arial" w:cs="Arial" w:eastAsia="Arial" w:hAnsi="Arial"/>
                <w:sz w:val="18"/>
                <w:szCs w:val="18"/>
                <w:color w:val="auto"/>
              </w:rPr>
              <w:t>Change in Nature of Business</w:t>
            </w: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8.08</w:t>
            </w:r>
          </w:p>
        </w:tc>
        <w:tc>
          <w:tcPr>
            <w:tcW w:w="9420" w:type="dxa"/>
            <w:vAlign w:val="bottom"/>
          </w:tcPr>
          <w:p>
            <w:pPr>
              <w:ind w:left="240"/>
              <w:spacing w:after="0"/>
              <w:rPr>
                <w:sz w:val="20"/>
                <w:szCs w:val="20"/>
                <w:color w:val="auto"/>
              </w:rPr>
            </w:pPr>
            <w:r>
              <w:rPr>
                <w:rFonts w:ascii="Arial" w:cs="Arial" w:eastAsia="Arial" w:hAnsi="Arial"/>
                <w:sz w:val="18"/>
                <w:szCs w:val="18"/>
                <w:color w:val="auto"/>
              </w:rPr>
              <w:t>Transactions with Affiliates and Insiders</w:t>
            </w: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8.09</w:t>
            </w:r>
          </w:p>
        </w:tc>
        <w:tc>
          <w:tcPr>
            <w:tcW w:w="9420" w:type="dxa"/>
            <w:vAlign w:val="bottom"/>
          </w:tcPr>
          <w:p>
            <w:pPr>
              <w:ind w:left="240"/>
              <w:spacing w:after="0"/>
              <w:rPr>
                <w:sz w:val="20"/>
                <w:szCs w:val="20"/>
                <w:color w:val="auto"/>
              </w:rPr>
            </w:pPr>
            <w:r>
              <w:rPr>
                <w:rFonts w:ascii="Arial" w:cs="Arial" w:eastAsia="Arial" w:hAnsi="Arial"/>
                <w:sz w:val="18"/>
                <w:szCs w:val="18"/>
                <w:color w:val="auto"/>
              </w:rPr>
              <w:t>Burdensome Agreements</w:t>
            </w: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20" w:type="dxa"/>
            <w:vAlign w:val="bottom"/>
          </w:tcPr>
          <w:p>
            <w:pPr>
              <w:ind w:left="180"/>
              <w:spacing w:after="0"/>
              <w:rPr>
                <w:sz w:val="20"/>
                <w:szCs w:val="20"/>
                <w:color w:val="auto"/>
              </w:rPr>
            </w:pPr>
            <w:r>
              <w:rPr>
                <w:rFonts w:ascii="Arial" w:cs="Arial" w:eastAsia="Arial" w:hAnsi="Arial"/>
                <w:sz w:val="18"/>
                <w:szCs w:val="18"/>
                <w:color w:val="auto"/>
              </w:rPr>
              <w:t>8.10</w:t>
            </w:r>
          </w:p>
        </w:tc>
        <w:tc>
          <w:tcPr>
            <w:tcW w:w="942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820" w:type="dxa"/>
            <w:vAlign w:val="bottom"/>
          </w:tcPr>
          <w:p>
            <w:pPr>
              <w:spacing w:after="0"/>
              <w:rPr>
                <w:sz w:val="24"/>
                <w:szCs w:val="24"/>
                <w:color w:val="auto"/>
              </w:rPr>
            </w:pPr>
          </w:p>
        </w:tc>
        <w:tc>
          <w:tcPr>
            <w:tcW w:w="9420" w:type="dxa"/>
            <w:vAlign w:val="bottom"/>
          </w:tcPr>
          <w:p>
            <w:pPr>
              <w:ind w:left="4840"/>
              <w:spacing w:after="0"/>
              <w:rPr>
                <w:sz w:val="20"/>
                <w:szCs w:val="20"/>
                <w:color w:val="auto"/>
              </w:rPr>
            </w:pPr>
            <w:r>
              <w:rPr>
                <w:rFonts w:ascii="Arial" w:cs="Arial" w:eastAsia="Arial" w:hAnsi="Arial"/>
                <w:sz w:val="18"/>
                <w:szCs w:val="18"/>
                <w:color w:val="auto"/>
              </w:rPr>
              <w:t>ii</w:t>
            </w:r>
          </w:p>
        </w:tc>
        <w:tc>
          <w:tcPr>
            <w:tcW w:w="1220" w:type="dxa"/>
            <w:vAlign w:val="bottom"/>
          </w:tcPr>
          <w:p>
            <w:pPr>
              <w:spacing w:after="0"/>
              <w:rPr>
                <w:sz w:val="24"/>
                <w:szCs w:val="24"/>
                <w:color w:val="auto"/>
              </w:rPr>
            </w:pPr>
          </w:p>
        </w:tc>
      </w:tr>
      <w:tr>
        <w:trPr>
          <w:trHeight w:val="132"/>
        </w:trPr>
        <w:tc>
          <w:tcPr>
            <w:tcW w:w="820" w:type="dxa"/>
            <w:vAlign w:val="bottom"/>
            <w:tcBorders>
              <w:bottom w:val="single" w:sz="8" w:color="808080"/>
            </w:tcBorders>
          </w:tcPr>
          <w:p>
            <w:pPr>
              <w:spacing w:after="0"/>
              <w:rPr>
                <w:sz w:val="11"/>
                <w:szCs w:val="11"/>
                <w:color w:val="auto"/>
              </w:rPr>
            </w:pPr>
          </w:p>
        </w:tc>
        <w:tc>
          <w:tcPr>
            <w:tcW w:w="942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r>
      <w:tr>
        <w:trPr>
          <w:trHeight w:val="766"/>
        </w:trPr>
        <w:tc>
          <w:tcPr>
            <w:tcW w:w="820" w:type="dxa"/>
            <w:vAlign w:val="bottom"/>
          </w:tcPr>
          <w:p>
            <w:pPr>
              <w:ind w:left="180"/>
              <w:spacing w:after="0"/>
              <w:rPr>
                <w:sz w:val="20"/>
                <w:szCs w:val="20"/>
                <w:color w:val="auto"/>
              </w:rPr>
            </w:pPr>
            <w:r>
              <w:rPr>
                <w:rFonts w:ascii="Arial" w:cs="Arial" w:eastAsia="Arial" w:hAnsi="Arial"/>
                <w:sz w:val="18"/>
                <w:szCs w:val="18"/>
                <w:color w:val="auto"/>
              </w:rPr>
              <w:t>8.11</w:t>
            </w:r>
          </w:p>
        </w:tc>
        <w:tc>
          <w:tcPr>
            <w:tcW w:w="9420" w:type="dxa"/>
            <w:vAlign w:val="bottom"/>
          </w:tcPr>
          <w:p>
            <w:pPr>
              <w:ind w:left="240"/>
              <w:spacing w:after="0"/>
              <w:rPr>
                <w:sz w:val="20"/>
                <w:szCs w:val="20"/>
                <w:color w:val="auto"/>
              </w:rPr>
            </w:pPr>
            <w:r>
              <w:rPr>
                <w:rFonts w:ascii="Arial" w:cs="Arial" w:eastAsia="Arial" w:hAnsi="Arial"/>
                <w:sz w:val="18"/>
                <w:szCs w:val="18"/>
                <w:color w:val="auto"/>
              </w:rPr>
              <w:t>Payment of Other Indebtedness</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8.12</w:t>
            </w:r>
          </w:p>
        </w:tc>
        <w:tc>
          <w:tcPr>
            <w:tcW w:w="9420" w:type="dxa"/>
            <w:vAlign w:val="bottom"/>
          </w:tcPr>
          <w:p>
            <w:pPr>
              <w:ind w:left="240"/>
              <w:spacing w:after="0"/>
              <w:rPr>
                <w:sz w:val="20"/>
                <w:szCs w:val="20"/>
                <w:color w:val="auto"/>
              </w:rPr>
            </w:pPr>
            <w:r>
              <w:rPr>
                <w:rFonts w:ascii="Arial" w:cs="Arial" w:eastAsia="Arial" w:hAnsi="Arial"/>
                <w:sz w:val="18"/>
                <w:szCs w:val="18"/>
                <w:color w:val="auto"/>
              </w:rPr>
              <w:t>Organization Documents; Fiscal Year; Legal Name, State of Formation and Form of Entity; Certain Amendments</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8.13</w:t>
            </w:r>
          </w:p>
        </w:tc>
        <w:tc>
          <w:tcPr>
            <w:tcW w:w="9420" w:type="dxa"/>
            <w:vAlign w:val="bottom"/>
          </w:tcPr>
          <w:p>
            <w:pPr>
              <w:ind w:left="240"/>
              <w:spacing w:after="0"/>
              <w:rPr>
                <w:sz w:val="20"/>
                <w:szCs w:val="20"/>
                <w:color w:val="auto"/>
              </w:rPr>
            </w:pPr>
            <w:r>
              <w:rPr>
                <w:rFonts w:ascii="Arial" w:cs="Arial" w:eastAsia="Arial" w:hAnsi="Arial"/>
                <w:sz w:val="18"/>
                <w:szCs w:val="18"/>
                <w:color w:val="auto"/>
              </w:rPr>
              <w:t>Ownership of Subsidiaries</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8.14</w:t>
            </w:r>
          </w:p>
        </w:tc>
        <w:tc>
          <w:tcPr>
            <w:tcW w:w="9420" w:type="dxa"/>
            <w:vAlign w:val="bottom"/>
          </w:tcPr>
          <w:p>
            <w:pPr>
              <w:ind w:left="240"/>
              <w:spacing w:after="0"/>
              <w:rPr>
                <w:sz w:val="20"/>
                <w:szCs w:val="20"/>
                <w:color w:val="auto"/>
              </w:rPr>
            </w:pPr>
            <w:r>
              <w:rPr>
                <w:rFonts w:ascii="Arial" w:cs="Arial" w:eastAsia="Arial" w:hAnsi="Arial"/>
                <w:sz w:val="18"/>
                <w:szCs w:val="18"/>
                <w:color w:val="auto"/>
              </w:rPr>
              <w:t>Sale Leasebacks</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8.15</w:t>
            </w:r>
          </w:p>
        </w:tc>
        <w:tc>
          <w:tcPr>
            <w:tcW w:w="9420" w:type="dxa"/>
            <w:vAlign w:val="bottom"/>
          </w:tcPr>
          <w:p>
            <w:pPr>
              <w:ind w:left="240"/>
              <w:spacing w:after="0"/>
              <w:rPr>
                <w:sz w:val="20"/>
                <w:szCs w:val="20"/>
                <w:color w:val="auto"/>
              </w:rPr>
            </w:pPr>
            <w:r>
              <w:rPr>
                <w:rFonts w:ascii="Arial" w:cs="Arial" w:eastAsia="Arial" w:hAnsi="Arial"/>
                <w:sz w:val="18"/>
                <w:szCs w:val="18"/>
                <w:color w:val="auto"/>
              </w:rPr>
              <w:t>Sanctions; Anti-Corruption Laws</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8.16</w:t>
            </w:r>
          </w:p>
        </w:tc>
        <w:tc>
          <w:tcPr>
            <w:tcW w:w="9420" w:type="dxa"/>
            <w:vAlign w:val="bottom"/>
          </w:tcPr>
          <w:p>
            <w:pPr>
              <w:ind w:left="240"/>
              <w:spacing w:after="0"/>
              <w:rPr>
                <w:sz w:val="20"/>
                <w:szCs w:val="20"/>
                <w:color w:val="auto"/>
              </w:rPr>
            </w:pPr>
            <w:r>
              <w:rPr>
                <w:rFonts w:ascii="Arial" w:cs="Arial" w:eastAsia="Arial" w:hAnsi="Arial"/>
                <w:sz w:val="18"/>
                <w:szCs w:val="18"/>
                <w:color w:val="auto"/>
              </w:rPr>
              <w:t>Consolidated Revenues</w:t>
            </w: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8.17</w:t>
            </w:r>
          </w:p>
        </w:tc>
        <w:tc>
          <w:tcPr>
            <w:tcW w:w="9420" w:type="dxa"/>
            <w:vAlign w:val="bottom"/>
          </w:tcPr>
          <w:p>
            <w:pPr>
              <w:ind w:left="240"/>
              <w:spacing w:after="0"/>
              <w:rPr>
                <w:sz w:val="20"/>
                <w:szCs w:val="20"/>
                <w:color w:val="auto"/>
              </w:rPr>
            </w:pPr>
            <w:r>
              <w:rPr>
                <w:rFonts w:ascii="Arial" w:cs="Arial" w:eastAsia="Arial" w:hAnsi="Arial"/>
                <w:sz w:val="18"/>
                <w:szCs w:val="18"/>
                <w:color w:val="auto"/>
              </w:rPr>
              <w:t>Liquidity</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20" w:type="dxa"/>
            <w:vAlign w:val="bottom"/>
          </w:tcPr>
          <w:p>
            <w:pPr>
              <w:ind w:left="180"/>
              <w:spacing w:after="0"/>
              <w:rPr>
                <w:sz w:val="20"/>
                <w:szCs w:val="20"/>
                <w:color w:val="auto"/>
              </w:rPr>
            </w:pPr>
            <w:r>
              <w:rPr>
                <w:rFonts w:ascii="Arial" w:cs="Arial" w:eastAsia="Arial" w:hAnsi="Arial"/>
                <w:sz w:val="18"/>
                <w:szCs w:val="18"/>
                <w:color w:val="auto"/>
              </w:rPr>
              <w:t>8.18</w:t>
            </w:r>
          </w:p>
        </w:tc>
        <w:tc>
          <w:tcPr>
            <w:tcW w:w="9420" w:type="dxa"/>
            <w:vAlign w:val="bottom"/>
          </w:tcPr>
          <w:p>
            <w:pPr>
              <w:ind w:left="240"/>
              <w:spacing w:after="0"/>
              <w:rPr>
                <w:sz w:val="20"/>
                <w:szCs w:val="20"/>
                <w:color w:val="auto"/>
              </w:rPr>
            </w:pPr>
            <w:r>
              <w:rPr>
                <w:rFonts w:ascii="Arial" w:cs="Arial" w:eastAsia="Arial" w:hAnsi="Arial"/>
                <w:sz w:val="18"/>
                <w:szCs w:val="18"/>
                <w:color w:val="auto"/>
              </w:rPr>
              <w:t>Accounts</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ARTICLE IX EVENTS OF DEFAULT AND REMEDIES</w:t>
            </w: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18"/>
        </w:trPr>
        <w:tc>
          <w:tcPr>
            <w:tcW w:w="820" w:type="dxa"/>
            <w:vAlign w:val="bottom"/>
          </w:tcPr>
          <w:p>
            <w:pPr>
              <w:ind w:left="180"/>
              <w:spacing w:after="0"/>
              <w:rPr>
                <w:sz w:val="20"/>
                <w:szCs w:val="20"/>
                <w:color w:val="auto"/>
              </w:rPr>
            </w:pPr>
            <w:r>
              <w:rPr>
                <w:rFonts w:ascii="Arial" w:cs="Arial" w:eastAsia="Arial" w:hAnsi="Arial"/>
                <w:sz w:val="18"/>
                <w:szCs w:val="18"/>
                <w:color w:val="auto"/>
              </w:rPr>
              <w:t>9.01</w:t>
            </w:r>
          </w:p>
        </w:tc>
        <w:tc>
          <w:tcPr>
            <w:tcW w:w="942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9.02</w:t>
            </w:r>
          </w:p>
        </w:tc>
        <w:tc>
          <w:tcPr>
            <w:tcW w:w="9420" w:type="dxa"/>
            <w:vAlign w:val="bottom"/>
          </w:tcPr>
          <w:p>
            <w:pPr>
              <w:ind w:left="240"/>
              <w:spacing w:after="0"/>
              <w:rPr>
                <w:sz w:val="20"/>
                <w:szCs w:val="20"/>
                <w:color w:val="auto"/>
              </w:rPr>
            </w:pPr>
            <w:r>
              <w:rPr>
                <w:rFonts w:ascii="Arial" w:cs="Arial" w:eastAsia="Arial" w:hAnsi="Arial"/>
                <w:sz w:val="18"/>
                <w:szCs w:val="18"/>
                <w:color w:val="auto"/>
              </w:rPr>
              <w:t>Remedies Upon Event of Default</w:t>
            </w: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20" w:type="dxa"/>
            <w:vAlign w:val="bottom"/>
          </w:tcPr>
          <w:p>
            <w:pPr>
              <w:ind w:left="180"/>
              <w:spacing w:after="0"/>
              <w:rPr>
                <w:sz w:val="20"/>
                <w:szCs w:val="20"/>
                <w:color w:val="auto"/>
              </w:rPr>
            </w:pPr>
            <w:r>
              <w:rPr>
                <w:rFonts w:ascii="Arial" w:cs="Arial" w:eastAsia="Arial" w:hAnsi="Arial"/>
                <w:sz w:val="18"/>
                <w:szCs w:val="18"/>
                <w:color w:val="auto"/>
              </w:rPr>
              <w:t>9.03</w:t>
            </w:r>
          </w:p>
        </w:tc>
        <w:tc>
          <w:tcPr>
            <w:tcW w:w="9420" w:type="dxa"/>
            <w:vAlign w:val="bottom"/>
          </w:tcPr>
          <w:p>
            <w:pPr>
              <w:ind w:left="240"/>
              <w:spacing w:after="0"/>
              <w:rPr>
                <w:sz w:val="20"/>
                <w:szCs w:val="20"/>
                <w:color w:val="auto"/>
              </w:rPr>
            </w:pPr>
            <w:r>
              <w:rPr>
                <w:rFonts w:ascii="Arial" w:cs="Arial" w:eastAsia="Arial" w:hAnsi="Arial"/>
                <w:sz w:val="18"/>
                <w:szCs w:val="18"/>
                <w:color w:val="auto"/>
              </w:rPr>
              <w:t>Application of Funds</w:t>
            </w: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ARTICLE X ADMINISTRATIVE AGENT</w:t>
            </w: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8"/>
        </w:trPr>
        <w:tc>
          <w:tcPr>
            <w:tcW w:w="820" w:type="dxa"/>
            <w:vAlign w:val="bottom"/>
          </w:tcPr>
          <w:p>
            <w:pPr>
              <w:ind w:left="180"/>
              <w:spacing w:after="0"/>
              <w:rPr>
                <w:sz w:val="20"/>
                <w:szCs w:val="20"/>
                <w:color w:val="auto"/>
              </w:rPr>
            </w:pPr>
            <w:r>
              <w:rPr>
                <w:rFonts w:ascii="Arial" w:cs="Arial" w:eastAsia="Arial" w:hAnsi="Arial"/>
                <w:sz w:val="18"/>
                <w:szCs w:val="18"/>
                <w:color w:val="auto"/>
              </w:rPr>
              <w:t>10.01</w:t>
            </w:r>
          </w:p>
        </w:tc>
        <w:tc>
          <w:tcPr>
            <w:tcW w:w="9420" w:type="dxa"/>
            <w:vAlign w:val="bottom"/>
          </w:tcPr>
          <w:p>
            <w:pPr>
              <w:ind w:left="240"/>
              <w:spacing w:after="0"/>
              <w:rPr>
                <w:sz w:val="20"/>
                <w:szCs w:val="20"/>
                <w:color w:val="auto"/>
              </w:rPr>
            </w:pPr>
            <w:r>
              <w:rPr>
                <w:rFonts w:ascii="Arial" w:cs="Arial" w:eastAsia="Arial" w:hAnsi="Arial"/>
                <w:sz w:val="18"/>
                <w:szCs w:val="18"/>
                <w:color w:val="auto"/>
              </w:rPr>
              <w:t>Appointment and Authority</w:t>
            </w: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10.02</w:t>
            </w:r>
          </w:p>
        </w:tc>
        <w:tc>
          <w:tcPr>
            <w:tcW w:w="9420" w:type="dxa"/>
            <w:vAlign w:val="bottom"/>
          </w:tcPr>
          <w:p>
            <w:pPr>
              <w:ind w:left="240"/>
              <w:spacing w:after="0"/>
              <w:rPr>
                <w:sz w:val="20"/>
                <w:szCs w:val="20"/>
                <w:color w:val="auto"/>
              </w:rPr>
            </w:pPr>
            <w:r>
              <w:rPr>
                <w:rFonts w:ascii="Arial" w:cs="Arial" w:eastAsia="Arial" w:hAnsi="Arial"/>
                <w:sz w:val="18"/>
                <w:szCs w:val="18"/>
                <w:color w:val="auto"/>
              </w:rPr>
              <w:t>Rights as a Lender</w:t>
            </w: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10.03</w:t>
            </w:r>
          </w:p>
        </w:tc>
        <w:tc>
          <w:tcPr>
            <w:tcW w:w="9420" w:type="dxa"/>
            <w:vAlign w:val="bottom"/>
          </w:tcPr>
          <w:p>
            <w:pPr>
              <w:ind w:left="240"/>
              <w:spacing w:after="0"/>
              <w:rPr>
                <w:sz w:val="20"/>
                <w:szCs w:val="20"/>
                <w:color w:val="auto"/>
              </w:rPr>
            </w:pPr>
            <w:r>
              <w:rPr>
                <w:rFonts w:ascii="Arial" w:cs="Arial" w:eastAsia="Arial" w:hAnsi="Arial"/>
                <w:sz w:val="18"/>
                <w:szCs w:val="18"/>
                <w:color w:val="auto"/>
              </w:rPr>
              <w:t>Exculpatory Provisions</w:t>
            </w: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10.04</w:t>
            </w:r>
          </w:p>
        </w:tc>
        <w:tc>
          <w:tcPr>
            <w:tcW w:w="9420" w:type="dxa"/>
            <w:vAlign w:val="bottom"/>
          </w:tcPr>
          <w:p>
            <w:pPr>
              <w:ind w:left="240"/>
              <w:spacing w:after="0"/>
              <w:rPr>
                <w:sz w:val="20"/>
                <w:szCs w:val="20"/>
                <w:color w:val="auto"/>
              </w:rPr>
            </w:pPr>
            <w:r>
              <w:rPr>
                <w:rFonts w:ascii="Arial" w:cs="Arial" w:eastAsia="Arial" w:hAnsi="Arial"/>
                <w:sz w:val="18"/>
                <w:szCs w:val="18"/>
                <w:color w:val="auto"/>
              </w:rPr>
              <w:t>Reliance by Administrative Agent</w:t>
            </w: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10.05</w:t>
            </w:r>
          </w:p>
        </w:tc>
        <w:tc>
          <w:tcPr>
            <w:tcW w:w="9420" w:type="dxa"/>
            <w:vAlign w:val="bottom"/>
          </w:tcPr>
          <w:p>
            <w:pPr>
              <w:ind w:left="240"/>
              <w:spacing w:after="0"/>
              <w:rPr>
                <w:sz w:val="20"/>
                <w:szCs w:val="20"/>
                <w:color w:val="auto"/>
              </w:rPr>
            </w:pPr>
            <w:r>
              <w:rPr>
                <w:rFonts w:ascii="Arial" w:cs="Arial" w:eastAsia="Arial" w:hAnsi="Arial"/>
                <w:sz w:val="18"/>
                <w:szCs w:val="18"/>
                <w:color w:val="auto"/>
              </w:rPr>
              <w:t>Delegation of Duties</w:t>
            </w: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10.06</w:t>
            </w:r>
          </w:p>
        </w:tc>
        <w:tc>
          <w:tcPr>
            <w:tcW w:w="9420" w:type="dxa"/>
            <w:vAlign w:val="bottom"/>
          </w:tcPr>
          <w:p>
            <w:pPr>
              <w:ind w:left="240"/>
              <w:spacing w:after="0"/>
              <w:rPr>
                <w:sz w:val="20"/>
                <w:szCs w:val="20"/>
                <w:color w:val="auto"/>
              </w:rPr>
            </w:pPr>
            <w:r>
              <w:rPr>
                <w:rFonts w:ascii="Arial" w:cs="Arial" w:eastAsia="Arial" w:hAnsi="Arial"/>
                <w:sz w:val="18"/>
                <w:szCs w:val="18"/>
                <w:color w:val="auto"/>
              </w:rPr>
              <w:t>Resignation of Administrative Agent</w:t>
            </w: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10.07</w:t>
            </w:r>
          </w:p>
        </w:tc>
        <w:tc>
          <w:tcPr>
            <w:tcW w:w="9420" w:type="dxa"/>
            <w:vAlign w:val="bottom"/>
          </w:tcPr>
          <w:p>
            <w:pPr>
              <w:ind w:left="240"/>
              <w:spacing w:after="0"/>
              <w:rPr>
                <w:sz w:val="20"/>
                <w:szCs w:val="20"/>
                <w:color w:val="auto"/>
              </w:rPr>
            </w:pPr>
            <w:r>
              <w:rPr>
                <w:rFonts w:ascii="Arial" w:cs="Arial" w:eastAsia="Arial" w:hAnsi="Arial"/>
                <w:sz w:val="18"/>
                <w:szCs w:val="18"/>
                <w:color w:val="auto"/>
              </w:rPr>
              <w:t>Non-Reliance on Administrative Agent and Other Lenders</w:t>
            </w: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10.08</w:t>
            </w:r>
          </w:p>
        </w:tc>
        <w:tc>
          <w:tcPr>
            <w:tcW w:w="9420" w:type="dxa"/>
            <w:vAlign w:val="bottom"/>
          </w:tcPr>
          <w:p>
            <w:pPr>
              <w:ind w:left="240"/>
              <w:spacing w:after="0"/>
              <w:rPr>
                <w:sz w:val="20"/>
                <w:szCs w:val="20"/>
                <w:color w:val="auto"/>
              </w:rPr>
            </w:pPr>
            <w:r>
              <w:rPr>
                <w:rFonts w:ascii="Arial" w:cs="Arial" w:eastAsia="Arial" w:hAnsi="Arial"/>
                <w:sz w:val="18"/>
                <w:szCs w:val="18"/>
                <w:color w:val="auto"/>
              </w:rPr>
              <w:t>Administrative Agent May File Proofs of Claim</w:t>
            </w: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820" w:type="dxa"/>
            <w:vAlign w:val="bottom"/>
          </w:tcPr>
          <w:p>
            <w:pPr>
              <w:ind w:left="180"/>
              <w:spacing w:after="0"/>
              <w:rPr>
                <w:sz w:val="20"/>
                <w:szCs w:val="20"/>
                <w:color w:val="auto"/>
              </w:rPr>
            </w:pPr>
            <w:r>
              <w:rPr>
                <w:rFonts w:ascii="Arial" w:cs="Arial" w:eastAsia="Arial" w:hAnsi="Arial"/>
                <w:sz w:val="18"/>
                <w:szCs w:val="18"/>
                <w:color w:val="auto"/>
              </w:rPr>
              <w:t>10.09</w:t>
            </w:r>
          </w:p>
        </w:tc>
        <w:tc>
          <w:tcPr>
            <w:tcW w:w="9420" w:type="dxa"/>
            <w:vAlign w:val="bottom"/>
          </w:tcPr>
          <w:p>
            <w:pPr>
              <w:ind w:left="240"/>
              <w:spacing w:after="0"/>
              <w:rPr>
                <w:sz w:val="20"/>
                <w:szCs w:val="20"/>
                <w:color w:val="auto"/>
              </w:rPr>
            </w:pPr>
            <w:r>
              <w:rPr>
                <w:rFonts w:ascii="Arial" w:cs="Arial" w:eastAsia="Arial" w:hAnsi="Arial"/>
                <w:sz w:val="18"/>
                <w:szCs w:val="18"/>
                <w:color w:val="auto"/>
              </w:rPr>
              <w:t>Collateral and Guaranty Matters</w:t>
            </w: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18"/>
        </w:trPr>
        <w:tc>
          <w:tcPr>
            <w:tcW w:w="820" w:type="dxa"/>
            <w:vAlign w:val="bottom"/>
          </w:tcPr>
          <w:p>
            <w:pPr>
              <w:ind w:left="180"/>
              <w:spacing w:after="0"/>
              <w:rPr>
                <w:sz w:val="20"/>
                <w:szCs w:val="20"/>
                <w:color w:val="auto"/>
              </w:rPr>
            </w:pPr>
            <w:r>
              <w:rPr>
                <w:rFonts w:ascii="Arial" w:cs="Arial" w:eastAsia="Arial" w:hAnsi="Arial"/>
                <w:sz w:val="18"/>
                <w:szCs w:val="18"/>
                <w:color w:val="auto"/>
              </w:rPr>
              <w:t>11.01</w:t>
            </w:r>
          </w:p>
        </w:tc>
        <w:tc>
          <w:tcPr>
            <w:tcW w:w="9420" w:type="dxa"/>
            <w:vAlign w:val="bottom"/>
          </w:tcPr>
          <w:p>
            <w:pPr>
              <w:ind w:left="240"/>
              <w:spacing w:after="0"/>
              <w:rPr>
                <w:sz w:val="20"/>
                <w:szCs w:val="20"/>
                <w:color w:val="auto"/>
              </w:rPr>
            </w:pPr>
            <w:r>
              <w:rPr>
                <w:rFonts w:ascii="Arial" w:cs="Arial" w:eastAsia="Arial" w:hAnsi="Arial"/>
                <w:sz w:val="18"/>
                <w:szCs w:val="18"/>
                <w:color w:val="auto"/>
              </w:rPr>
              <w:t>Amendments, Etc.</w:t>
            </w: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11.02</w:t>
            </w:r>
          </w:p>
        </w:tc>
        <w:tc>
          <w:tcPr>
            <w:tcW w:w="9420" w:type="dxa"/>
            <w:vAlign w:val="bottom"/>
          </w:tcPr>
          <w:p>
            <w:pPr>
              <w:ind w:left="240"/>
              <w:spacing w:after="0"/>
              <w:rPr>
                <w:sz w:val="20"/>
                <w:szCs w:val="20"/>
                <w:color w:val="auto"/>
              </w:rPr>
            </w:pPr>
            <w:r>
              <w:rPr>
                <w:rFonts w:ascii="Arial" w:cs="Arial" w:eastAsia="Arial" w:hAnsi="Arial"/>
                <w:sz w:val="18"/>
                <w:szCs w:val="18"/>
                <w:color w:val="auto"/>
              </w:rPr>
              <w:t>Notices and Other Communications; Facsimile Copies</w:t>
            </w: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11.03</w:t>
            </w:r>
          </w:p>
        </w:tc>
        <w:tc>
          <w:tcPr>
            <w:tcW w:w="9420" w:type="dxa"/>
            <w:vAlign w:val="bottom"/>
          </w:tcPr>
          <w:p>
            <w:pPr>
              <w:ind w:left="240"/>
              <w:spacing w:after="0"/>
              <w:rPr>
                <w:sz w:val="20"/>
                <w:szCs w:val="20"/>
                <w:color w:val="auto"/>
              </w:rPr>
            </w:pPr>
            <w:r>
              <w:rPr>
                <w:rFonts w:ascii="Arial" w:cs="Arial" w:eastAsia="Arial" w:hAnsi="Arial"/>
                <w:sz w:val="18"/>
                <w:szCs w:val="18"/>
                <w:color w:val="auto"/>
              </w:rPr>
              <w:t>No Waiver; Cumulative Remedies; Enforcement</w:t>
            </w: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820" w:type="dxa"/>
            <w:vAlign w:val="bottom"/>
          </w:tcPr>
          <w:p>
            <w:pPr>
              <w:ind w:left="180"/>
              <w:spacing w:after="0"/>
              <w:rPr>
                <w:sz w:val="20"/>
                <w:szCs w:val="20"/>
                <w:color w:val="auto"/>
              </w:rPr>
            </w:pPr>
            <w:r>
              <w:rPr>
                <w:rFonts w:ascii="Arial" w:cs="Arial" w:eastAsia="Arial" w:hAnsi="Arial"/>
                <w:sz w:val="18"/>
                <w:szCs w:val="18"/>
                <w:color w:val="auto"/>
              </w:rPr>
              <w:t>11.04</w:t>
            </w:r>
          </w:p>
        </w:tc>
        <w:tc>
          <w:tcPr>
            <w:tcW w:w="9420" w:type="dxa"/>
            <w:vAlign w:val="bottom"/>
          </w:tcPr>
          <w:p>
            <w:pPr>
              <w:ind w:left="240"/>
              <w:spacing w:after="0"/>
              <w:rPr>
                <w:sz w:val="20"/>
                <w:szCs w:val="20"/>
                <w:color w:val="auto"/>
              </w:rPr>
            </w:pPr>
            <w:r>
              <w:rPr>
                <w:rFonts w:ascii="Arial" w:cs="Arial" w:eastAsia="Arial" w:hAnsi="Arial"/>
                <w:sz w:val="18"/>
                <w:szCs w:val="18"/>
                <w:color w:val="auto"/>
              </w:rPr>
              <w:t>Expenses; Indemnity; and Damage Waiver</w:t>
            </w: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20" w:type="dxa"/>
            <w:vAlign w:val="bottom"/>
          </w:tcPr>
          <w:p>
            <w:pPr>
              <w:ind w:left="180"/>
              <w:spacing w:after="0"/>
              <w:rPr>
                <w:sz w:val="20"/>
                <w:szCs w:val="20"/>
                <w:color w:val="auto"/>
              </w:rPr>
            </w:pPr>
            <w:r>
              <w:rPr>
                <w:rFonts w:ascii="Arial" w:cs="Arial" w:eastAsia="Arial" w:hAnsi="Arial"/>
                <w:sz w:val="18"/>
                <w:szCs w:val="18"/>
                <w:color w:val="auto"/>
              </w:rPr>
              <w:t>11.05</w:t>
            </w:r>
          </w:p>
        </w:tc>
        <w:tc>
          <w:tcPr>
            <w:tcW w:w="9420" w:type="dxa"/>
            <w:vAlign w:val="bottom"/>
          </w:tcPr>
          <w:p>
            <w:pPr>
              <w:ind w:left="240"/>
              <w:spacing w:after="0"/>
              <w:rPr>
                <w:sz w:val="20"/>
                <w:szCs w:val="20"/>
                <w:color w:val="auto"/>
              </w:rPr>
            </w:pPr>
            <w:r>
              <w:rPr>
                <w:rFonts w:ascii="Arial" w:cs="Arial" w:eastAsia="Arial" w:hAnsi="Arial"/>
                <w:sz w:val="18"/>
                <w:szCs w:val="18"/>
                <w:color w:val="auto"/>
              </w:rPr>
              <w:t>Payments Set Aside</w:t>
            </w: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-5052695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-5052695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11.06</w:t>
            </w:r>
          </w:p>
        </w:tc>
        <w:tc>
          <w:tcPr>
            <w:tcW w:w="7700" w:type="dxa"/>
            <w:vAlign w:val="bottom"/>
            <w:gridSpan w:val="2"/>
          </w:tcPr>
          <w:p>
            <w:pPr>
              <w:spacing w:after="0"/>
              <w:rPr>
                <w:sz w:val="20"/>
                <w:szCs w:val="20"/>
                <w:color w:val="auto"/>
              </w:rPr>
            </w:pPr>
            <w:r>
              <w:rPr>
                <w:rFonts w:ascii="Arial" w:cs="Arial" w:eastAsia="Arial" w:hAnsi="Arial"/>
                <w:sz w:val="18"/>
                <w:szCs w:val="18"/>
                <w:color w:val="auto"/>
              </w:rPr>
              <w:t>Successors and Assigns</w:t>
            </w:r>
          </w:p>
        </w:tc>
        <w:tc>
          <w:tcPr>
            <w:tcW w:w="27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11.07</w:t>
            </w:r>
          </w:p>
        </w:tc>
        <w:tc>
          <w:tcPr>
            <w:tcW w:w="7700" w:type="dxa"/>
            <w:vAlign w:val="bottom"/>
            <w:gridSpan w:val="2"/>
          </w:tcPr>
          <w:p>
            <w:pPr>
              <w:spacing w:after="0"/>
              <w:rPr>
                <w:sz w:val="20"/>
                <w:szCs w:val="20"/>
                <w:color w:val="auto"/>
              </w:rPr>
            </w:pPr>
            <w:r>
              <w:rPr>
                <w:rFonts w:ascii="Arial" w:cs="Arial" w:eastAsia="Arial" w:hAnsi="Arial"/>
                <w:sz w:val="18"/>
                <w:szCs w:val="18"/>
                <w:color w:val="auto"/>
              </w:rPr>
              <w:t>Treatment of Certain Information; Confidentiality</w:t>
            </w:r>
          </w:p>
        </w:tc>
        <w:tc>
          <w:tcPr>
            <w:tcW w:w="27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11.08</w:t>
            </w:r>
          </w:p>
        </w:tc>
        <w:tc>
          <w:tcPr>
            <w:tcW w:w="680" w:type="dxa"/>
            <w:vAlign w:val="bottom"/>
          </w:tcPr>
          <w:p>
            <w:pPr>
              <w:spacing w:after="0"/>
              <w:rPr>
                <w:sz w:val="20"/>
                <w:szCs w:val="20"/>
                <w:color w:val="auto"/>
              </w:rPr>
            </w:pPr>
            <w:r>
              <w:rPr>
                <w:rFonts w:ascii="Arial" w:cs="Arial" w:eastAsia="Arial" w:hAnsi="Arial"/>
                <w:sz w:val="18"/>
                <w:szCs w:val="18"/>
                <w:color w:val="auto"/>
              </w:rPr>
              <w:t>Set-off</w:t>
            </w:r>
          </w:p>
        </w:tc>
        <w:tc>
          <w:tcPr>
            <w:tcW w:w="702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11.09</w:t>
            </w:r>
          </w:p>
        </w:tc>
        <w:tc>
          <w:tcPr>
            <w:tcW w:w="7700" w:type="dxa"/>
            <w:vAlign w:val="bottom"/>
            <w:gridSpan w:val="2"/>
          </w:tcPr>
          <w:p>
            <w:pPr>
              <w:spacing w:after="0"/>
              <w:rPr>
                <w:sz w:val="20"/>
                <w:szCs w:val="20"/>
                <w:color w:val="auto"/>
              </w:rPr>
            </w:pPr>
            <w:r>
              <w:rPr>
                <w:rFonts w:ascii="Arial" w:cs="Arial" w:eastAsia="Arial" w:hAnsi="Arial"/>
                <w:sz w:val="18"/>
                <w:szCs w:val="18"/>
                <w:color w:val="auto"/>
              </w:rPr>
              <w:t>Interest Rate Limitation</w:t>
            </w:r>
          </w:p>
        </w:tc>
        <w:tc>
          <w:tcPr>
            <w:tcW w:w="27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11.10</w:t>
            </w:r>
          </w:p>
        </w:tc>
        <w:tc>
          <w:tcPr>
            <w:tcW w:w="7700" w:type="dxa"/>
            <w:vAlign w:val="bottom"/>
            <w:gridSpan w:val="2"/>
          </w:tcPr>
          <w:p>
            <w:pPr>
              <w:spacing w:after="0"/>
              <w:rPr>
                <w:sz w:val="20"/>
                <w:szCs w:val="20"/>
                <w:color w:val="auto"/>
              </w:rPr>
            </w:pPr>
            <w:r>
              <w:rPr>
                <w:rFonts w:ascii="Arial" w:cs="Arial" w:eastAsia="Arial" w:hAnsi="Arial"/>
                <w:sz w:val="18"/>
                <w:szCs w:val="18"/>
                <w:color w:val="auto"/>
              </w:rPr>
              <w:t>Counterparts; Integration; Effectiveness</w:t>
            </w:r>
          </w:p>
        </w:tc>
        <w:tc>
          <w:tcPr>
            <w:tcW w:w="27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11.11</w:t>
            </w:r>
          </w:p>
        </w:tc>
        <w:tc>
          <w:tcPr>
            <w:tcW w:w="7700" w:type="dxa"/>
            <w:vAlign w:val="bottom"/>
            <w:gridSpan w:val="2"/>
          </w:tcPr>
          <w:p>
            <w:pPr>
              <w:spacing w:after="0"/>
              <w:rPr>
                <w:sz w:val="20"/>
                <w:szCs w:val="20"/>
                <w:color w:val="auto"/>
              </w:rPr>
            </w:pPr>
            <w:r>
              <w:rPr>
                <w:rFonts w:ascii="Arial" w:cs="Arial" w:eastAsia="Arial" w:hAnsi="Arial"/>
                <w:sz w:val="18"/>
                <w:szCs w:val="18"/>
                <w:color w:val="auto"/>
              </w:rPr>
              <w:t>Survival of Representations and Warranties</w:t>
            </w:r>
          </w:p>
        </w:tc>
        <w:tc>
          <w:tcPr>
            <w:tcW w:w="27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11.12</w:t>
            </w:r>
          </w:p>
        </w:tc>
        <w:tc>
          <w:tcPr>
            <w:tcW w:w="7700" w:type="dxa"/>
            <w:vAlign w:val="bottom"/>
            <w:gridSpan w:val="2"/>
          </w:tcPr>
          <w:p>
            <w:pPr>
              <w:spacing w:after="0"/>
              <w:rPr>
                <w:sz w:val="20"/>
                <w:szCs w:val="20"/>
                <w:color w:val="auto"/>
              </w:rPr>
            </w:pPr>
            <w:r>
              <w:rPr>
                <w:rFonts w:ascii="Arial" w:cs="Arial" w:eastAsia="Arial" w:hAnsi="Arial"/>
                <w:sz w:val="18"/>
                <w:szCs w:val="18"/>
                <w:color w:val="auto"/>
              </w:rPr>
              <w:t>Severability</w:t>
            </w:r>
          </w:p>
        </w:tc>
        <w:tc>
          <w:tcPr>
            <w:tcW w:w="27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11.13</w:t>
            </w:r>
          </w:p>
        </w:tc>
        <w:tc>
          <w:tcPr>
            <w:tcW w:w="7700" w:type="dxa"/>
            <w:vAlign w:val="bottom"/>
            <w:gridSpan w:val="2"/>
          </w:tcPr>
          <w:p>
            <w:pPr>
              <w:spacing w:after="0"/>
              <w:rPr>
                <w:sz w:val="20"/>
                <w:szCs w:val="20"/>
                <w:color w:val="auto"/>
              </w:rPr>
            </w:pPr>
            <w:r>
              <w:rPr>
                <w:rFonts w:ascii="Arial" w:cs="Arial" w:eastAsia="Arial" w:hAnsi="Arial"/>
                <w:sz w:val="18"/>
                <w:szCs w:val="18"/>
                <w:color w:val="auto"/>
              </w:rPr>
              <w:t>Replacement of Lenders</w:t>
            </w:r>
          </w:p>
        </w:tc>
        <w:tc>
          <w:tcPr>
            <w:tcW w:w="27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11.14</w:t>
            </w:r>
          </w:p>
        </w:tc>
        <w:tc>
          <w:tcPr>
            <w:tcW w:w="7700" w:type="dxa"/>
            <w:vAlign w:val="bottom"/>
            <w:gridSpan w:val="2"/>
          </w:tcPr>
          <w:p>
            <w:pPr>
              <w:spacing w:after="0"/>
              <w:rPr>
                <w:sz w:val="20"/>
                <w:szCs w:val="20"/>
                <w:color w:val="auto"/>
              </w:rPr>
            </w:pPr>
            <w:r>
              <w:rPr>
                <w:rFonts w:ascii="Arial" w:cs="Arial" w:eastAsia="Arial" w:hAnsi="Arial"/>
                <w:sz w:val="18"/>
                <w:szCs w:val="18"/>
                <w:color w:val="auto"/>
              </w:rPr>
              <w:t>Governing Law; Jurisdiction; Etc.</w:t>
            </w:r>
          </w:p>
        </w:tc>
        <w:tc>
          <w:tcPr>
            <w:tcW w:w="27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11.15</w:t>
            </w:r>
          </w:p>
        </w:tc>
        <w:tc>
          <w:tcPr>
            <w:tcW w:w="7700" w:type="dxa"/>
            <w:vAlign w:val="bottom"/>
            <w:gridSpan w:val="2"/>
          </w:tcPr>
          <w:p>
            <w:pPr>
              <w:spacing w:after="0"/>
              <w:rPr>
                <w:sz w:val="20"/>
                <w:szCs w:val="20"/>
                <w:color w:val="auto"/>
              </w:rPr>
            </w:pPr>
            <w:r>
              <w:rPr>
                <w:rFonts w:ascii="Arial" w:cs="Arial" w:eastAsia="Arial" w:hAnsi="Arial"/>
                <w:sz w:val="18"/>
                <w:szCs w:val="18"/>
                <w:color w:val="auto"/>
              </w:rPr>
              <w:t>Waiver of Right to Trial by Jury</w:t>
            </w:r>
          </w:p>
        </w:tc>
        <w:tc>
          <w:tcPr>
            <w:tcW w:w="27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11.16</w:t>
            </w:r>
          </w:p>
        </w:tc>
        <w:tc>
          <w:tcPr>
            <w:tcW w:w="7700" w:type="dxa"/>
            <w:vAlign w:val="bottom"/>
            <w:gridSpan w:val="2"/>
          </w:tcPr>
          <w:p>
            <w:pPr>
              <w:spacing w:after="0"/>
              <w:rPr>
                <w:sz w:val="20"/>
                <w:szCs w:val="20"/>
                <w:color w:val="auto"/>
              </w:rPr>
            </w:pPr>
            <w:r>
              <w:rPr>
                <w:rFonts w:ascii="Arial" w:cs="Arial" w:eastAsia="Arial" w:hAnsi="Arial"/>
                <w:sz w:val="18"/>
                <w:szCs w:val="18"/>
                <w:color w:val="auto"/>
              </w:rPr>
              <w:t>Electronic Execution of Assignments and Certain Other Documents</w:t>
            </w:r>
          </w:p>
        </w:tc>
        <w:tc>
          <w:tcPr>
            <w:tcW w:w="27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11.17</w:t>
            </w:r>
          </w:p>
        </w:tc>
        <w:tc>
          <w:tcPr>
            <w:tcW w:w="7700" w:type="dxa"/>
            <w:vAlign w:val="bottom"/>
            <w:gridSpan w:val="2"/>
          </w:tcPr>
          <w:p>
            <w:pPr>
              <w:spacing w:after="0"/>
              <w:rPr>
                <w:sz w:val="20"/>
                <w:szCs w:val="20"/>
                <w:color w:val="auto"/>
              </w:rPr>
            </w:pPr>
            <w:r>
              <w:rPr>
                <w:rFonts w:ascii="Arial" w:cs="Arial" w:eastAsia="Arial" w:hAnsi="Arial"/>
                <w:sz w:val="18"/>
                <w:szCs w:val="18"/>
                <w:color w:val="auto"/>
              </w:rPr>
              <w:t>USA PATRIOT Act</w:t>
            </w:r>
          </w:p>
        </w:tc>
        <w:tc>
          <w:tcPr>
            <w:tcW w:w="27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11.18</w:t>
            </w:r>
          </w:p>
        </w:tc>
        <w:tc>
          <w:tcPr>
            <w:tcW w:w="7700" w:type="dxa"/>
            <w:vAlign w:val="bottom"/>
            <w:gridSpan w:val="2"/>
          </w:tcPr>
          <w:p>
            <w:pPr>
              <w:spacing w:after="0"/>
              <w:rPr>
                <w:sz w:val="20"/>
                <w:szCs w:val="20"/>
                <w:color w:val="auto"/>
              </w:rPr>
            </w:pPr>
            <w:r>
              <w:rPr>
                <w:rFonts w:ascii="Arial" w:cs="Arial" w:eastAsia="Arial" w:hAnsi="Arial"/>
                <w:sz w:val="18"/>
                <w:szCs w:val="18"/>
                <w:color w:val="auto"/>
              </w:rPr>
              <w:t>No Advisory or Fiduciary Relationship</w:t>
            </w:r>
          </w:p>
        </w:tc>
        <w:tc>
          <w:tcPr>
            <w:tcW w:w="27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11.19</w:t>
            </w:r>
          </w:p>
        </w:tc>
        <w:tc>
          <w:tcPr>
            <w:tcW w:w="7700" w:type="dxa"/>
            <w:vAlign w:val="bottom"/>
            <w:gridSpan w:val="2"/>
          </w:tcPr>
          <w:p>
            <w:pPr>
              <w:spacing w:after="0"/>
              <w:rPr>
                <w:sz w:val="20"/>
                <w:szCs w:val="20"/>
                <w:color w:val="auto"/>
              </w:rPr>
            </w:pPr>
            <w:r>
              <w:rPr>
                <w:rFonts w:ascii="Arial" w:cs="Arial" w:eastAsia="Arial" w:hAnsi="Arial"/>
                <w:sz w:val="18"/>
                <w:szCs w:val="18"/>
                <w:color w:val="auto"/>
              </w:rPr>
              <w:t>Facility Termination Date</w:t>
            </w:r>
          </w:p>
        </w:tc>
        <w:tc>
          <w:tcPr>
            <w:tcW w:w="27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060" w:type="dxa"/>
            <w:vAlign w:val="bottom"/>
          </w:tcPr>
          <w:p>
            <w:pPr>
              <w:ind w:left="180"/>
              <w:spacing w:after="0"/>
              <w:rPr>
                <w:sz w:val="20"/>
                <w:szCs w:val="20"/>
                <w:color w:val="auto"/>
              </w:rPr>
            </w:pPr>
            <w:r>
              <w:rPr>
                <w:rFonts w:ascii="Arial" w:cs="Arial" w:eastAsia="Arial" w:hAnsi="Arial"/>
                <w:sz w:val="18"/>
                <w:szCs w:val="18"/>
                <w:color w:val="auto"/>
              </w:rPr>
              <w:t>11.20</w:t>
            </w:r>
          </w:p>
        </w:tc>
        <w:tc>
          <w:tcPr>
            <w:tcW w:w="7700" w:type="dxa"/>
            <w:vAlign w:val="bottom"/>
            <w:gridSpan w:val="2"/>
          </w:tcPr>
          <w:p>
            <w:pPr>
              <w:spacing w:after="0"/>
              <w:rPr>
                <w:sz w:val="20"/>
                <w:szCs w:val="20"/>
                <w:color w:val="auto"/>
              </w:rPr>
            </w:pPr>
            <w:r>
              <w:rPr>
                <w:rFonts w:ascii="Arial" w:cs="Arial" w:eastAsia="Arial" w:hAnsi="Arial"/>
                <w:sz w:val="18"/>
                <w:szCs w:val="18"/>
                <w:color w:val="auto"/>
              </w:rPr>
              <w:t>Funding Date</w:t>
            </w:r>
          </w:p>
        </w:tc>
        <w:tc>
          <w:tcPr>
            <w:tcW w:w="27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20" w:type="dxa"/>
            <w:vAlign w:val="bottom"/>
          </w:tcPr>
          <w:p>
            <w:pPr>
              <w:ind w:left="3900"/>
              <w:spacing w:after="0"/>
              <w:rPr>
                <w:sz w:val="20"/>
                <w:szCs w:val="20"/>
                <w:color w:val="auto"/>
              </w:rPr>
            </w:pPr>
            <w:r>
              <w:rPr>
                <w:rFonts w:ascii="Arial" w:cs="Arial" w:eastAsia="Arial" w:hAnsi="Arial"/>
                <w:sz w:val="18"/>
                <w:szCs w:val="18"/>
                <w:color w:val="auto"/>
              </w:rPr>
              <w:t>iii</w:t>
            </w:r>
          </w:p>
        </w:tc>
        <w:tc>
          <w:tcPr>
            <w:tcW w:w="2700" w:type="dxa"/>
            <w:vAlign w:val="bottom"/>
          </w:tcPr>
          <w:p>
            <w:pPr>
              <w:spacing w:after="0"/>
              <w:rPr>
                <w:sz w:val="24"/>
                <w:szCs w:val="24"/>
                <w:color w:val="auto"/>
              </w:rPr>
            </w:pPr>
          </w:p>
        </w:tc>
      </w:tr>
      <w:tr>
        <w:trPr>
          <w:trHeight w:val="132"/>
        </w:trPr>
        <w:tc>
          <w:tcPr>
            <w:tcW w:w="10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702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r>
      <w:tr>
        <w:trPr>
          <w:trHeight w:val="780"/>
        </w:trPr>
        <w:tc>
          <w:tcPr>
            <w:tcW w:w="1060" w:type="dxa"/>
            <w:vAlign w:val="bottom"/>
          </w:tcPr>
          <w:p>
            <w:pPr>
              <w:spacing w:after="0"/>
              <w:rPr>
                <w:sz w:val="20"/>
                <w:szCs w:val="20"/>
                <w:color w:val="auto"/>
              </w:rPr>
            </w:pPr>
            <w:r>
              <w:rPr>
                <w:rFonts w:ascii="Arial" w:cs="Arial" w:eastAsia="Arial" w:hAnsi="Arial"/>
                <w:sz w:val="18"/>
                <w:szCs w:val="18"/>
                <w:color w:val="auto"/>
                <w:w w:val="94"/>
              </w:rPr>
              <w:t>SCHEDULES</w:t>
            </w:r>
          </w:p>
        </w:tc>
        <w:tc>
          <w:tcPr>
            <w:tcW w:w="6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18"/>
        </w:trPr>
        <w:tc>
          <w:tcPr>
            <w:tcW w:w="1060" w:type="dxa"/>
            <w:vAlign w:val="bottom"/>
          </w:tcPr>
          <w:p>
            <w:pPr>
              <w:ind w:left="54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Products</w:t>
            </w:r>
          </w:p>
        </w:tc>
        <w:tc>
          <w:tcPr>
            <w:tcW w:w="2700" w:type="dxa"/>
            <w:vAlign w:val="bottom"/>
          </w:tcPr>
          <w:p>
            <w:pPr>
              <w:spacing w:after="0"/>
              <w:rPr>
                <w:sz w:val="24"/>
                <w:szCs w:val="24"/>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2.01</w:t>
            </w:r>
          </w:p>
        </w:tc>
        <w:tc>
          <w:tcPr>
            <w:tcW w:w="68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Commitments and Applicable Percentages</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6.10</w:t>
            </w:r>
          </w:p>
        </w:tc>
        <w:tc>
          <w:tcPr>
            <w:tcW w:w="68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w w:val="87"/>
              </w:rPr>
              <w:t>6.13(a)</w:t>
            </w:r>
          </w:p>
        </w:tc>
        <w:tc>
          <w:tcPr>
            <w:tcW w:w="68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Subsidiaries</w:t>
            </w:r>
          </w:p>
        </w:tc>
        <w:tc>
          <w:tcPr>
            <w:tcW w:w="2700" w:type="dxa"/>
            <w:vAlign w:val="bottom"/>
          </w:tcPr>
          <w:p>
            <w:pPr>
              <w:spacing w:after="0"/>
              <w:rPr>
                <w:sz w:val="18"/>
                <w:szCs w:val="18"/>
                <w:color w:val="auto"/>
              </w:rPr>
            </w:pPr>
          </w:p>
        </w:tc>
      </w:tr>
      <w:tr>
        <w:trPr>
          <w:trHeight w:val="216"/>
        </w:trPr>
        <w:tc>
          <w:tcPr>
            <w:tcW w:w="1740" w:type="dxa"/>
            <w:vAlign w:val="bottom"/>
            <w:gridSpan w:val="2"/>
          </w:tcPr>
          <w:p>
            <w:pPr>
              <w:ind w:left="540"/>
              <w:spacing w:after="0"/>
              <w:rPr>
                <w:sz w:val="20"/>
                <w:szCs w:val="20"/>
                <w:color w:val="auto"/>
              </w:rPr>
            </w:pPr>
            <w:r>
              <w:rPr>
                <w:rFonts w:ascii="Arial" w:cs="Arial" w:eastAsia="Arial" w:hAnsi="Arial"/>
                <w:sz w:val="18"/>
                <w:szCs w:val="18"/>
                <w:color w:val="auto"/>
              </w:rPr>
              <w:t>6.13(b)</w:t>
            </w:r>
          </w:p>
        </w:tc>
        <w:tc>
          <w:tcPr>
            <w:tcW w:w="7020" w:type="dxa"/>
            <w:vAlign w:val="bottom"/>
          </w:tcPr>
          <w:p>
            <w:pPr>
              <w:ind w:left="180"/>
              <w:spacing w:after="0"/>
              <w:rPr>
                <w:sz w:val="20"/>
                <w:szCs w:val="20"/>
                <w:color w:val="auto"/>
              </w:rPr>
            </w:pPr>
            <w:r>
              <w:rPr>
                <w:rFonts w:ascii="Arial" w:cs="Arial" w:eastAsia="Arial" w:hAnsi="Arial"/>
                <w:sz w:val="18"/>
                <w:szCs w:val="18"/>
                <w:color w:val="auto"/>
              </w:rPr>
              <w:t>Capitalization</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6.17</w:t>
            </w:r>
          </w:p>
        </w:tc>
        <w:tc>
          <w:tcPr>
            <w:tcW w:w="68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IP Rights</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w w:val="87"/>
              </w:rPr>
              <w:t>6.20(a)</w:t>
            </w:r>
          </w:p>
        </w:tc>
        <w:tc>
          <w:tcPr>
            <w:tcW w:w="68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Locations of Real Property</w:t>
            </w:r>
          </w:p>
        </w:tc>
        <w:tc>
          <w:tcPr>
            <w:tcW w:w="2700" w:type="dxa"/>
            <w:vAlign w:val="bottom"/>
          </w:tcPr>
          <w:p>
            <w:pPr>
              <w:spacing w:after="0"/>
              <w:rPr>
                <w:sz w:val="18"/>
                <w:szCs w:val="18"/>
                <w:color w:val="auto"/>
              </w:rPr>
            </w:pPr>
          </w:p>
        </w:tc>
      </w:tr>
      <w:tr>
        <w:trPr>
          <w:trHeight w:val="216"/>
        </w:trPr>
        <w:tc>
          <w:tcPr>
            <w:tcW w:w="1740" w:type="dxa"/>
            <w:vAlign w:val="bottom"/>
            <w:gridSpan w:val="2"/>
          </w:tcPr>
          <w:p>
            <w:pPr>
              <w:ind w:left="540"/>
              <w:spacing w:after="0"/>
              <w:rPr>
                <w:sz w:val="20"/>
                <w:szCs w:val="20"/>
                <w:color w:val="auto"/>
              </w:rPr>
            </w:pPr>
            <w:r>
              <w:rPr>
                <w:rFonts w:ascii="Arial" w:cs="Arial" w:eastAsia="Arial" w:hAnsi="Arial"/>
                <w:sz w:val="18"/>
                <w:szCs w:val="18"/>
                <w:color w:val="auto"/>
              </w:rPr>
              <w:t>6.20(b)</w:t>
            </w:r>
          </w:p>
        </w:tc>
        <w:tc>
          <w:tcPr>
            <w:tcW w:w="7020" w:type="dxa"/>
            <w:vAlign w:val="bottom"/>
          </w:tcPr>
          <w:p>
            <w:pPr>
              <w:ind w:left="180"/>
              <w:spacing w:after="0"/>
              <w:rPr>
                <w:sz w:val="20"/>
                <w:szCs w:val="20"/>
                <w:color w:val="auto"/>
              </w:rPr>
            </w:pPr>
            <w:r>
              <w:rPr>
                <w:rFonts w:ascii="Arial" w:cs="Arial" w:eastAsia="Arial" w:hAnsi="Arial"/>
                <w:sz w:val="18"/>
                <w:szCs w:val="18"/>
                <w:color w:val="auto"/>
              </w:rPr>
              <w:t>Taxpayer and Organizational Identification Numbers</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w w:val="89"/>
              </w:rPr>
              <w:t>6.20(c)</w:t>
            </w:r>
          </w:p>
        </w:tc>
        <w:tc>
          <w:tcPr>
            <w:tcW w:w="68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Changes in Legal Name, State of Organization and Structure</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6.22</w:t>
            </w:r>
          </w:p>
        </w:tc>
        <w:tc>
          <w:tcPr>
            <w:tcW w:w="68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Material Contracts</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7.20</w:t>
            </w:r>
          </w:p>
        </w:tc>
        <w:tc>
          <w:tcPr>
            <w:tcW w:w="68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Post-Closing Matters</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8.01</w:t>
            </w:r>
          </w:p>
        </w:tc>
        <w:tc>
          <w:tcPr>
            <w:tcW w:w="68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Liens Existing on the Funding Date</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8.02</w:t>
            </w:r>
          </w:p>
        </w:tc>
        <w:tc>
          <w:tcPr>
            <w:tcW w:w="68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Investments Existing on the Funding Date</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8.03</w:t>
            </w:r>
          </w:p>
        </w:tc>
        <w:tc>
          <w:tcPr>
            <w:tcW w:w="68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Indebtedness Existing on the Funding Date</w:t>
            </w:r>
          </w:p>
        </w:tc>
        <w:tc>
          <w:tcPr>
            <w:tcW w:w="2700" w:type="dxa"/>
            <w:vAlign w:val="bottom"/>
          </w:tcPr>
          <w:p>
            <w:pPr>
              <w:spacing w:after="0"/>
              <w:rPr>
                <w:sz w:val="18"/>
                <w:szCs w:val="18"/>
                <w:color w:val="auto"/>
              </w:rPr>
            </w:pPr>
          </w:p>
        </w:tc>
      </w:tr>
      <w:tr>
        <w:trPr>
          <w:trHeight w:val="230"/>
        </w:trPr>
        <w:tc>
          <w:tcPr>
            <w:tcW w:w="1060" w:type="dxa"/>
            <w:vAlign w:val="bottom"/>
          </w:tcPr>
          <w:p>
            <w:pPr>
              <w:ind w:left="540"/>
              <w:spacing w:after="0"/>
              <w:rPr>
                <w:sz w:val="20"/>
                <w:szCs w:val="20"/>
                <w:color w:val="auto"/>
              </w:rPr>
            </w:pPr>
            <w:r>
              <w:rPr>
                <w:rFonts w:ascii="Arial" w:cs="Arial" w:eastAsia="Arial" w:hAnsi="Arial"/>
                <w:sz w:val="18"/>
                <w:szCs w:val="18"/>
                <w:color w:val="auto"/>
              </w:rPr>
              <w:t>11.02</w:t>
            </w:r>
          </w:p>
        </w:tc>
        <w:tc>
          <w:tcPr>
            <w:tcW w:w="680" w:type="dxa"/>
            <w:vAlign w:val="bottom"/>
          </w:tcPr>
          <w:p>
            <w:pPr>
              <w:spacing w:after="0"/>
              <w:rPr>
                <w:sz w:val="20"/>
                <w:szCs w:val="20"/>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Certain Addresses for Notices</w:t>
            </w:r>
          </w:p>
        </w:tc>
        <w:tc>
          <w:tcPr>
            <w:tcW w:w="2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-2719705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-2719705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920" w:hanging="1372"/>
        <w:spacing w:after="0"/>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 of Loan Notice</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B-1</w:t>
            </w:r>
          </w:p>
        </w:tc>
        <w:tc>
          <w:tcPr>
            <w:tcW w:w="2120" w:type="dxa"/>
            <w:vAlign w:val="bottom"/>
          </w:tcPr>
          <w:p>
            <w:pPr>
              <w:ind w:left="560"/>
              <w:spacing w:after="0"/>
              <w:rPr>
                <w:sz w:val="20"/>
                <w:szCs w:val="20"/>
                <w:color w:val="auto"/>
              </w:rPr>
            </w:pPr>
            <w:r>
              <w:rPr>
                <w:rFonts w:ascii="Arial" w:cs="Arial" w:eastAsia="Arial" w:hAnsi="Arial"/>
                <w:sz w:val="18"/>
                <w:szCs w:val="18"/>
                <w:color w:val="auto"/>
                <w:w w:val="91"/>
              </w:rPr>
              <w:t>Form of Term A Note</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B-2</w:t>
            </w:r>
          </w:p>
        </w:tc>
        <w:tc>
          <w:tcPr>
            <w:tcW w:w="2120" w:type="dxa"/>
            <w:vAlign w:val="bottom"/>
          </w:tcPr>
          <w:p>
            <w:pPr>
              <w:ind w:left="560"/>
              <w:spacing w:after="0"/>
              <w:rPr>
                <w:sz w:val="20"/>
                <w:szCs w:val="20"/>
                <w:color w:val="auto"/>
              </w:rPr>
            </w:pPr>
            <w:r>
              <w:rPr>
                <w:rFonts w:ascii="Arial" w:cs="Arial" w:eastAsia="Arial" w:hAnsi="Arial"/>
                <w:sz w:val="18"/>
                <w:szCs w:val="18"/>
                <w:color w:val="auto"/>
                <w:w w:val="91"/>
              </w:rPr>
              <w:t>Form of Term B Note</w:t>
            </w:r>
          </w:p>
        </w:tc>
      </w:tr>
    </w:tbl>
    <w:p>
      <w:pPr>
        <w:ind w:left="1920" w:hanging="1372"/>
        <w:spacing w:after="0"/>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of Joinder Agreement</w:t>
      </w:r>
    </w:p>
    <w:p>
      <w:pPr>
        <w:spacing w:after="0" w:line="9" w:lineRule="exact"/>
        <w:rPr>
          <w:sz w:val="20"/>
          <w:szCs w:val="20"/>
          <w:color w:val="auto"/>
        </w:rPr>
      </w:pPr>
    </w:p>
    <w:p>
      <w:pPr>
        <w:ind w:left="1920" w:hanging="1372"/>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9" w:lineRule="exact"/>
        <w:rPr>
          <w:sz w:val="20"/>
          <w:szCs w:val="20"/>
          <w:color w:val="auto"/>
        </w:rPr>
      </w:pPr>
    </w:p>
    <w:p>
      <w:pPr>
        <w:ind w:left="1920" w:hanging="1372"/>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This CREDIT AGREEMENT is entered into as of March 25, 2016 among VERACYTE,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(defined herein), the Lenders (defined herein) and VISIUM HEALTHCARE PARTNERS, LP, a Delaware limited partnership, as Administrative Agent.</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Borrower has requested that the Lenders make term loan facilities available to the Borrower, and the Lenders are willing to do so on the terms and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ectPr>
          <w:pgSz w:w="11900" w:h="16838" w:orient="portrait"/>
          <w:cols w:equalWidth="0" w:num="1">
            <w:col w:w="11460"/>
          </w:cols>
          <w:pgMar w:left="240" w:top="125" w:right="199" w:bottom="0" w:gutter="0" w:footer="0" w:header="0"/>
        </w:sectPr>
      </w:pPr>
    </w:p>
    <w:bookmarkStart w:id="41" w:name="page42"/>
    <w:bookmarkEnd w:id="41"/>
    <w:p>
      <w:pPr>
        <w:spacing w:after="0" w:line="9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Visium Healthcare Partners, LP, in its capacity as administrative agent under any of the Loan Documents, or any successor administrative agent.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or such other address or account as the Administrative Agent may from time to time notify the Borrower and the Lenders.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means, with respect to any Lender at any time, (a) in respect of the Term A Facility, with respect to any Term A Lender at any time, the percentage (carried out to the ninth decimal place) of the Term A Facility represented by (i) on or prior to the Funding Date, such Term A Lender’s Term A Commitment at such time and (ii) thereafter, the outstanding principal amount of such Term A Lender’s Term A Loans at such time and</w:t>
      </w:r>
    </w:p>
    <w:p>
      <w:pPr>
        <w:jc w:val="center"/>
        <w:ind w:right="100" w:firstLine="8"/>
        <w:spacing w:after="0" w:line="281"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respect of the Term B Facility, with respect to any Term B Lender at any time, the percentage (carried out to the ninth decimal place) of the Term B Facility represented by (i) at any time during the Availability Period in respect of such Facility, such Term B Lender’s Term B Commitment at such time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thereafter, the outstanding principal amount of such Term B Lender’s Term B Loans at such time. If the Commitments of all of the Lenders to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Loans have been terminated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or if the Commitments have expired, then the Applicable Percentage of each Lender in respect of the applicable Facility shall be determined based on the Applicable Percentage of such Lender in respect of such Facility most recently in effect, giving effect to any subsequent assignments. The Applicable Percentage of each Lender in respect of each Facility is set forth opposite the name of such Lender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w:t>
      </w:r>
      <w:r>
        <w:rPr>
          <w:rFonts w:ascii="Arial" w:cs="Arial" w:eastAsia="Arial" w:hAnsi="Arial"/>
          <w:sz w:val="17"/>
          <w:szCs w:val="17"/>
          <w:color w:val="auto"/>
        </w:rPr>
        <w:t xml:space="preserve"> or in the Assignment and Assumption pursuant to which such Lender becomes a party hereto, as applicable.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Quarter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8.16(b)(i)(A)</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means, at any time, with respect to any Facility, a Lender that has a Commitment with respect to such Facility or holds a Loan under such Facility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set forth in the definition of “Cash Equivalents”.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or any other form (including electronic documentation generated by MarkitClear or other electronic platform) approved by the Administrative Agent.</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(b) in respect of any Synthetic Lease of any Person, the capitalized amount of the remaining lease payments under the relevant lease that would appear on a balance sheet of such Person prepared as of such date in accordance with GAAP if such lease were accounted for as a Capital Lease and (c) in respect of any Securitization Transaction of any Person, the outstanding principal amount of such financing, after taking into account reserve accounts and making appropriate adjustments, determined by the Administrative Agent in its reasonable judgment.</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 ended December 31, 2015, and the related consolidated statements of income or operations, stockholders’ equity and cash flows for such fiscal year of the Borrower and its Subsidiaries, including the notes thereto, audited by independent public accountants of recognized national standing and prepared in conformity with GAAP.</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after the Funding Date to the earliest of (a) June 30, 2017, (b) the date of termination of the Term B Commitments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and (c) the date of termination of the Term B Commitments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(a) with respect to a corporation, the board of directors of the corporation or any committee thereof duly authorized to act on behalf of such board, (b) with respect to a partnership, the Board of Directors of the general partner of the partnership, (c) with respect to a limited liability company, the managing member or members or any controlling committee of managing members thereof or if not member-managed, the managers thereof or any committee of managing members or managers thereof duly authorized to act on behalf of such Persons, and (d) with respect to any other Person, the board or committee of such Person serving a similar function.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set forth in the introductory paragraph hereto.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Term A Borrowing or a Term B Borrowing, as the context may require, in each case,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Businesses</w:t>
      </w:r>
      <w:r>
        <w:rPr>
          <w:rFonts w:ascii="Arial" w:cs="Arial" w:eastAsia="Arial" w:hAnsi="Arial"/>
          <w:sz w:val="18"/>
          <w:szCs w:val="18"/>
          <w:color w:val="auto"/>
        </w:rPr>
        <w:t>” means, at any time, a collective reference to the businesses operated by the Borrower and its Subsidiaries at such time.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Facilities</w:t>
      </w:r>
      <w:r>
        <w:rPr>
          <w:rFonts w:ascii="Arial" w:cs="Arial" w:eastAsia="Arial" w:hAnsi="Arial"/>
          <w:sz w:val="18"/>
          <w:szCs w:val="18"/>
          <w:color w:val="auto"/>
        </w:rPr>
        <w:t>” means, at any time, a collective reference to the facilities and real properties owned, leased or operated by any Loan Party or any Subsidiary.</w:t>
      </w:r>
    </w:p>
    <w:p>
      <w:pPr>
        <w:sectPr>
          <w:pgSz w:w="11900" w:h="16929" w:orient="portrait"/>
          <w:cols w:equalWidth="0" w:num="1">
            <w:col w:w="11380"/>
          </w:cols>
          <w:pgMar w:left="240" w:top="125" w:right="279" w:bottom="0" w:gutter="0" w:footer="0" w:header="0"/>
        </w:sectPr>
      </w:pPr>
    </w:p>
    <w:bookmarkStart w:id="42" w:name="page43"/>
    <w:bookmarkEnd w:id="42"/>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as applied to any Person, any lease of any property by that Person as lessee which, in accordance with GAAP, is required to be accounted for as a capital lease on the balance sheet of that Person.</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as at any date, (a) securities issued or directly and fully guaranteed or insured by the United States or any agency or instrumentality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full faith and credit of the United States is pledged in support thereof) having maturities of not more than twelve months from the date of acquisition, (b) Dollar denominated time deposits and certificates of deposit of (i) any domestic commercial bank of recognized standing having capital and surplus in excess of $500,000,000 or (ii) any bank whose short-term commercial paper rating from S&amp;P is at least A-1 or the equivalent thereof or from Moody’s is at least P-1 or the equivalent thereof (any such bank being an “</w:t>
      </w:r>
      <w:r>
        <w:rPr>
          <w:rFonts w:ascii="Arial" w:cs="Arial" w:eastAsia="Arial" w:hAnsi="Arial"/>
          <w:sz w:val="16"/>
          <w:szCs w:val="16"/>
          <w:u w:val="single" w:color="auto"/>
          <w:color w:val="auto"/>
        </w:rPr>
        <w:t>Approved Bank</w:t>
      </w:r>
      <w:r>
        <w:rPr>
          <w:rFonts w:ascii="Arial" w:cs="Arial" w:eastAsia="Arial" w:hAnsi="Arial"/>
          <w:sz w:val="16"/>
          <w:szCs w:val="16"/>
          <w:color w:val="auto"/>
        </w:rPr>
        <w:t>”), in each case with maturities of not more than two hundred and seventy (270) days from the date of acquisition, (c) commercial paper and variable or fixed rate notes issued by any Approved Bank (or by the parent company thereof) or any variable rate notes issued by, or guaranteed by, any domestic corporation rated A-1 (or the equivalent thereof) or better by S&amp;P or P-1 (or the equivalent thereof) or better by Moody’s and maturing within six months of the date of acquisition, (d) repurchase agreements entered into by any Person with a bank or trust company (including any of the Lenders)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subdivisions (a) through (d).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Pay Interest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regulatory authorities, in each case pursuant to Basel III, shall in each case be deemed to be a “</w:t>
      </w:r>
      <w:r>
        <w:rPr>
          <w:rFonts w:ascii="Arial" w:cs="Arial" w:eastAsia="Arial" w:hAnsi="Arial"/>
          <w:sz w:val="18"/>
          <w:szCs w:val="18"/>
          <w:u w:val="single" w:color="auto"/>
          <w:color w:val="auto"/>
        </w:rPr>
        <w:t>Change in Law</w:t>
      </w:r>
      <w:r>
        <w:rPr>
          <w:rFonts w:ascii="Arial" w:cs="Arial" w:eastAsia="Arial" w:hAnsi="Arial"/>
          <w:sz w:val="18"/>
          <w:szCs w:val="18"/>
          <w:color w:val="auto"/>
        </w:rPr>
        <w:t>”, regardless of the date enacted, adopted or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left="660" w:firstLine="645"/>
        <w:spacing w:after="0" w:line="271" w:lineRule="auto"/>
        <w:tabs>
          <w:tab w:leader="none" w:pos="1954"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Equity Interests representing 35% or more of the aggregate ordinary voting power in the election of the Board of Directors of the Borrower represented by the issued and outstanding Equity Interests of the Borrower on a fully-diluted basis (and taking into account all such securities that such person or group has the right to acquire pursuant to any option right); or</w:t>
      </w:r>
    </w:p>
    <w:p>
      <w:pPr>
        <w:spacing w:after="0" w:line="178" w:lineRule="exact"/>
        <w:rPr>
          <w:rFonts w:ascii="Arial" w:cs="Arial" w:eastAsia="Arial" w:hAnsi="Arial"/>
          <w:sz w:val="17"/>
          <w:szCs w:val="17"/>
          <w:color w:val="auto"/>
        </w:rPr>
      </w:pPr>
    </w:p>
    <w:p>
      <w:pPr>
        <w:ind w:left="660" w:right="300" w:firstLine="645"/>
        <w:spacing w:after="0" w:line="264" w:lineRule="auto"/>
        <w:tabs>
          <w:tab w:leader="none" w:pos="19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 of Control” (or any comparable term) shall occur under any Permitted Senior Revolving Credit Document, any Qualified Subordinated Debt Document or any document or other agreement evidencing any Indebtedness with an aggregate principal amount in excess of the Threshold Amount.</w:t>
      </w:r>
    </w:p>
    <w:p>
      <w:pPr>
        <w:spacing w:after="0" w:line="18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a collective reference to all real and personal property with respect to which Liens in favor of the Administrative Agent, for the benefit of the Secured Parties, are purported to be granted pursuant to and in accordance with the terms of the Collateral Documents.</w:t>
      </w:r>
    </w:p>
    <w:p>
      <w:pPr>
        <w:spacing w:after="0" w:line="14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Access Agreement</w:t>
      </w:r>
      <w:r>
        <w:rPr>
          <w:rFonts w:ascii="Arial" w:cs="Arial" w:eastAsia="Arial" w:hAnsi="Arial"/>
          <w:sz w:val="16"/>
          <w:szCs w:val="16"/>
          <w:color w:val="auto"/>
        </w:rPr>
        <w:t>” means an agreement in form and substance reasonably satisfactory to the Administrative Agent pursuant to which a lessor of real property on which Collateral is stored or otherwise located, or a warehouseman, processor or other bailee of inventory or other property owned by any Loan Party, acknowledges the Liens of the Administrative Agent and waives (or, if approved by the Administrative Agent, subordinates) any Liens held by such Person on such property, and permits the Administrative Agent reasonable access to any Collateral stored or otherwise located thereon.</w:t>
      </w:r>
    </w:p>
    <w:p>
      <w:pPr>
        <w:spacing w:after="0" w:line="154"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a collective reference to the Security Agreement, the Pledge Agreement, the Qualifying Account Control Agreements, the Collateral Questionnaire, the Collateral Access Agreements, the Mortgages, the Real Property Security Documents and other security documents as may be executed and delivered by the Loan Parties pursuant to the terms of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Questionnaire</w:t>
      </w:r>
      <w:r>
        <w:rPr>
          <w:rFonts w:ascii="Arial" w:cs="Arial" w:eastAsia="Arial" w:hAnsi="Arial"/>
          <w:sz w:val="18"/>
          <w:szCs w:val="18"/>
          <w:color w:val="auto"/>
        </w:rPr>
        <w:t>” means that certain collateral questionnaire dated as of the Funding Date, in form and substance reasonably satisfactory to the Administrative Agent and executed by a Responsible Officer of the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A Commitment or a Term B Commitment,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non-public information, whether written, oral or in any electronic, visual or other medium, that is the subject of reasonable efforts to keep confidential and that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0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owned by the Borrower or any Subsidiary or that the Borrower or any Subsidiary is licensed, authorized or otherwise granted rights under or to.</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Revenues</w:t>
      </w:r>
      <w:r>
        <w:rPr>
          <w:rFonts w:ascii="Arial" w:cs="Arial" w:eastAsia="Arial" w:hAnsi="Arial"/>
          <w:sz w:val="18"/>
          <w:szCs w:val="18"/>
          <w:color w:val="auto"/>
        </w:rPr>
        <w:t>” means, for any period, for the Borrower and its Subsidiaries on a consolidated basis, revenues for such period as determined in accordance with GAAP.</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 Without limiting the generality of the foregoing, a Person shall be deemed to be Controlled by another Person if such other Person possesses, directly or indirectly, power to vote five percent (5%) or more of the securities having ordinary voting power for the election of directors, managing general partners or the equivalent.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 License</w:t>
      </w:r>
      <w:r>
        <w:rPr>
          <w:rFonts w:ascii="Arial" w:cs="Arial" w:eastAsia="Arial" w:hAnsi="Arial"/>
          <w:sz w:val="17"/>
          <w:szCs w:val="17"/>
          <w:color w:val="auto"/>
        </w:rPr>
        <w:t>” means any agreement, whether written or oral, providing for the grant of any right to use any Work under any Copyright.</w:t>
      </w:r>
    </w:p>
    <w:p>
      <w:pPr>
        <w:spacing w:after="0" w:line="23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means (a) all proprietary rights afforded Works pursuant to Title 17 of the United States Code, including, without limitation, all rights in mask works, copyrights and original designs, and all proprietary rights afforded such Works by other countries for the full term thereof (and including all rights accruing by virtue of bilateral or international treaties and conventions thereto), whether registered or unregistered, including, but not limited to, all applications for registration, renewals, extensions, reversions or restorations thereof now or hereafter provided for by law and all rights to make applications for registrations and recordations, regardless of the medium of fixation or means of expression, which are owned by the Borrower or any Subsidiary or which the Borrower or any Subsidiary is licensed, authorized or otherwise granted rights under or to and (b) all copyright rights under the copyright laws of the United States and all other countries for the full term thereof (and including all rights accruing by virtue of bilateral or international copyright treaties and conventions), whether registered or unregistered, including, but not limited to, all applications for registration, renewals, extensions, reversions or restorations of copyrights now or hereafter provided for by law and all rights to make applications for copyright registrations and recordations, regardless of the medium of fixation or means of expression, which are owned by the Borrower or any Subsidiary or which the Borrower or any Subsidiary is licensed, authorized or otherwise granted rights under or to.</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Issuance</w:t>
      </w:r>
      <w:r>
        <w:rPr>
          <w:rFonts w:ascii="Arial" w:cs="Arial" w:eastAsia="Arial" w:hAnsi="Arial"/>
          <w:sz w:val="16"/>
          <w:szCs w:val="16"/>
          <w:color w:val="auto"/>
        </w:rPr>
        <w:t xml:space="preserve">” means the issuance by any Loan Party or any Subsidiary of any Indebtedness other than Indebtedness permitted under </w:t>
      </w:r>
      <w:r>
        <w:rPr>
          <w:rFonts w:ascii="Arial" w:cs="Arial" w:eastAsia="Arial" w:hAnsi="Arial"/>
          <w:sz w:val="16"/>
          <w:szCs w:val="16"/>
          <w:u w:val="single" w:color="auto"/>
          <w:color w:val="auto"/>
        </w:rPr>
        <w:t>Section 8.03</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Issuance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receivership, insolvency, reorganization, or similar debtor relief Laws of the United States or other applicable jurisdictions from time to time in effect.</w:t>
      </w:r>
    </w:p>
    <w:p>
      <w:pPr>
        <w:spacing w:after="0" w:line="2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2.12(b)</w:t>
      </w:r>
      <w:r>
        <w:rPr>
          <w:rFonts w:ascii="Arial" w:cs="Arial" w:eastAsia="Arial" w:hAnsi="Arial"/>
          <w:sz w:val="16"/>
          <w:szCs w:val="16"/>
          <w:color w:val="auto"/>
        </w:rPr>
        <w:t>, any Lender, as determined by the Administrative Agent, that (a) has failed to perform any of its funding obligations hereunder, including with respect to any Term B Commitments, within three (3) Business Days of the date required to be funded by it hereunder, (b) has notified the Borrower or the Administrative Agent that it does not intend to comply with its funding obligations hereunder or (c)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w:t>
      </w:r>
    </w:p>
    <w:p>
      <w:pPr>
        <w:spacing w:after="0" w:line="2" w:lineRule="exact"/>
        <w:rPr>
          <w:sz w:val="20"/>
          <w:szCs w:val="20"/>
          <w:color w:val="auto"/>
        </w:rPr>
      </w:pPr>
    </w:p>
    <w:p>
      <w:pPr>
        <w:ind w:right="120" w:firstLine="8"/>
        <w:spacing w:after="0" w:line="255"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taken any action in furtherance of, or indicated its consent to, approval of or acquiescence in any such proceeding or appointment;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Lender shall not be a Defaulting Lender solely by virtue of the ownership or acquisition of any Equity Interests in that Lender or any direct or indirect parent company thereof by a Governmental Authority.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is the subject of any Sanction.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w:t>
      </w:r>
      <w:r>
        <w:rPr>
          <w:rFonts w:ascii="Arial" w:cs="Arial" w:eastAsia="Arial" w:hAnsi="Arial"/>
          <w:sz w:val="16"/>
          <w:szCs w:val="16"/>
          <w:color w:val="auto"/>
        </w:rPr>
        <w:t>” or “</w:t>
      </w:r>
      <w:r>
        <w:rPr>
          <w:rFonts w:ascii="Arial" w:cs="Arial" w:eastAsia="Arial" w:hAnsi="Arial"/>
          <w:sz w:val="16"/>
          <w:szCs w:val="16"/>
          <w:u w:val="single" w:color="auto"/>
          <w:color w:val="auto"/>
        </w:rPr>
        <w:t>Dispose</w:t>
      </w:r>
      <w:r>
        <w:rPr>
          <w:rFonts w:ascii="Arial" w:cs="Arial" w:eastAsia="Arial" w:hAnsi="Arial"/>
          <w:sz w:val="16"/>
          <w:szCs w:val="16"/>
          <w:color w:val="auto"/>
        </w:rPr>
        <w:t>” means the sale, transfer, license, lease, issuance or other disposition (including any Sale and Leaseback Transaction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any issuance by any Subsidiary of its Equity Interests) of any property by any Loan Party or any Subsidiary, including any sale, assignment, transfer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with or without recourse, of any notes or accounts receivable or any rights and claims associated therewith, but excluding the following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Permitted Transfers</w:t>
      </w:r>
      <w:r>
        <w:rPr>
          <w:rFonts w:ascii="Arial" w:cs="Arial" w:eastAsia="Arial" w:hAnsi="Arial"/>
          <w:sz w:val="16"/>
          <w:szCs w:val="16"/>
          <w:color w:val="auto"/>
        </w:rPr>
        <w:t>”): (a) the sale, lease, license, transfer or other disposition of inventory in the ordinary course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business, (b) the sale, lease, license, transfer or other disposition in the ordinary course of business of surplus, obsolete or worn out property no longer 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useful in the conduct of business of any Loan Party and its Subsidiaries, (c) any sale, lease, license, transfer or other disposition of property to any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Party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the transferor of such property is a Loan Party (i) the transferee thereof must be a Loan Party or (ii)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such transaction constitutes an Investment, such transaction is permitted under </w:t>
      </w:r>
      <w:r>
        <w:rPr>
          <w:rFonts w:ascii="Arial" w:cs="Arial" w:eastAsia="Arial" w:hAnsi="Arial"/>
          <w:sz w:val="16"/>
          <w:szCs w:val="16"/>
          <w:u w:val="single" w:color="auto"/>
          <w:color w:val="auto"/>
        </w:rPr>
        <w:t>Section 8.02</w:t>
      </w:r>
      <w:r>
        <w:rPr>
          <w:rFonts w:ascii="Arial" w:cs="Arial" w:eastAsia="Arial" w:hAnsi="Arial"/>
          <w:sz w:val="16"/>
          <w:szCs w:val="16"/>
          <w:color w:val="auto"/>
        </w:rPr>
        <w:t>, (d) granting licenses of intellectual property on a non-exclusive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basis or on an exclusive basis so long as each such exclusive license is limited to geographic areas, particular distribution channels or fields of use,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customized products for customers or limited time periods, and so long as after giving effect to such exclusive license, the Loan Parties retain sufficient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use or benefit from the subject intellectual property as to enable them to continue to conduct their business in the ordinary course, (e) any Involuntary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Disposition, (f) the sale, transfer, issuance or other disposition of a de minimis number of shares of the Equity Interests of a Foreign Subsidiary in order to</w:t>
      </w:r>
    </w:p>
    <w:p>
      <w:pPr>
        <w:sectPr>
          <w:pgSz w:w="11900" w:h="16838" w:orient="portrait"/>
          <w:cols w:equalWidth="0" w:num="1">
            <w:col w:w="11420"/>
          </w:cols>
          <w:pgMar w:left="240" w:top="341" w:right="239" w:bottom="0" w:gutter="0" w:footer="0" w:header="0"/>
        </w:sectPr>
      </w:pPr>
    </w:p>
    <w:bookmarkStart w:id="44" w:name="page45"/>
    <w:bookmarkEnd w:id="44"/>
    <w:p>
      <w:pPr>
        <w:spacing w:after="0" w:line="297" w:lineRule="auto"/>
        <w:rPr>
          <w:sz w:val="20"/>
          <w:szCs w:val="20"/>
          <w:color w:val="auto"/>
        </w:rPr>
      </w:pPr>
      <w:r>
        <w:rPr>
          <w:rFonts w:ascii="Arial" w:cs="Arial" w:eastAsia="Arial" w:hAnsi="Arial"/>
          <w:sz w:val="16"/>
          <w:szCs w:val="16"/>
          <w:color w:val="auto"/>
        </w:rPr>
        <w:t>qualify members of the governing body of such Subsidiary if required by applicable Law, (g) the abandonment or other disposition, including through the grant of an exclusive or non-exclusive license, of IP Rights that are not material and are no longer used or useful in any material respect in the business of the Borrower and its Subsidiaries, (h) licenses, sublicenses, leases or subleases (in each case, other than with respect to IP Rights or intellectual property) granted to third parties in the ordinary course of business and not interfering with the business of the Borrower and its Subsidiaries, (i) dispositions of cash and Cash Equivalents in the ordinary course of business and (j) dispositions which in the aggregate do not exceed $250,000 in any fiscal year.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Capital Stock</w:t>
      </w:r>
      <w:r>
        <w:rPr>
          <w:rFonts w:ascii="Arial" w:cs="Arial" w:eastAsia="Arial" w:hAnsi="Arial"/>
          <w:sz w:val="15"/>
          <w:szCs w:val="15"/>
          <w:color w:val="auto"/>
        </w:rPr>
        <w:t>” means any Equity Interest which, by its terms (or by the terms of any security into which it is convertible or for which it is</w:t>
      </w:r>
      <w:r>
        <w:rPr>
          <w:rFonts w:ascii="Arial" w:cs="Arial" w:eastAsia="Arial" w:hAnsi="Arial"/>
          <w:sz w:val="16"/>
          <w:szCs w:val="16"/>
          <w:color w:val="auto"/>
        </w:rPr>
        <w:t xml:space="preserve"> </w:t>
      </w:r>
      <w:r>
        <w:rPr>
          <w:rFonts w:ascii="Arial" w:cs="Arial" w:eastAsia="Arial" w:hAnsi="Arial"/>
          <w:sz w:val="15"/>
          <w:szCs w:val="15"/>
          <w:color w:val="auto"/>
        </w:rPr>
        <w:t>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prior to the one hundred eighty-first (181</w:t>
      </w:r>
      <w:r>
        <w:rPr>
          <w:rFonts w:ascii="Arial" w:cs="Arial" w:eastAsia="Arial" w:hAnsi="Arial"/>
          <w:sz w:val="20"/>
          <w:szCs w:val="20"/>
          <w:color w:val="auto"/>
          <w:vertAlign w:val="superscript"/>
        </w:rPr>
        <w:t>st</w:t>
      </w:r>
      <w:r>
        <w:rPr>
          <w:rFonts w:ascii="Arial" w:cs="Arial" w:eastAsia="Arial" w:hAnsi="Arial"/>
          <w:sz w:val="16"/>
          <w:szCs w:val="16"/>
          <w:color w:val="auto"/>
        </w:rPr>
        <w:t>) day after the Maturity Date, (b) requires the payment of any cash dividends at any time prior to the one hundred eighty-first</w:t>
      </w:r>
      <w:r>
        <w:rPr>
          <w:rFonts w:ascii="Arial" w:cs="Arial" w:eastAsia="Arial" w:hAnsi="Arial"/>
          <w:sz w:val="15"/>
          <w:szCs w:val="15"/>
          <w:color w:val="auto"/>
        </w:rPr>
        <w:t xml:space="preserve"> </w:t>
      </w:r>
      <w:r>
        <w:rPr>
          <w:rFonts w:ascii="Arial" w:cs="Arial" w:eastAsia="Arial" w:hAnsi="Arial"/>
          <w:sz w:val="16"/>
          <w:szCs w:val="16"/>
          <w:color w:val="auto"/>
        </w:rPr>
        <w:t>(181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after the Maturity Date, (c) contains any repurchase obligation which may come into effect prior to payment in full of all Obligations, or (d) is convertible into or exchangeable (unless at the sole option of the issuer thereof) for (i) debt securities or (ii) any Equity Interests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2" w:lineRule="exact"/>
        <w:rPr>
          <w:sz w:val="20"/>
          <w:szCs w:val="20"/>
          <w:color w:val="auto"/>
        </w:rPr>
      </w:pPr>
    </w:p>
    <w:p>
      <w:pPr>
        <w:ind w:right="40" w:firstLine="8"/>
        <w:spacing w:after="0" w:line="229" w:lineRule="auto"/>
        <w:tabs>
          <w:tab w:leader="none" w:pos="255" w:val="left"/>
        </w:tabs>
        <w:numPr>
          <w:ilvl w:val="0"/>
          <w:numId w:val="27"/>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in each case at any time prior to the one hundred eighty-first (181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Equity Interests that would not constitute Disqualified Capital Stock but for provisions thereof giving holders thereof (or the holders of any security into or for which such Equity Interests are convertible, exchangeable or exercisable) the right to require the issuer thereof to redeem or repurchase such Equity Interests upon the occurrence of a change in control or an asset sale occurring prior to the one hundred eighty-first (181</w:t>
      </w:r>
      <w:r>
        <w:rPr>
          <w:rFonts w:ascii="Arial" w:cs="Arial" w:eastAsia="Arial" w:hAnsi="Arial"/>
          <w:sz w:val="23"/>
          <w:szCs w:val="23"/>
          <w:color w:val="auto"/>
          <w:vertAlign w:val="superscript"/>
        </w:rPr>
        <w:t>st</w:t>
      </w:r>
      <w:r>
        <w:rPr>
          <w:rFonts w:ascii="Arial" w:cs="Arial" w:eastAsia="Arial" w:hAnsi="Arial"/>
          <w:sz w:val="18"/>
          <w:szCs w:val="18"/>
          <w:color w:val="auto"/>
        </w:rPr>
        <w:t>) day after the Maturity Date shall not constitute Disqualified Capital Stock if such Equity Interests provide that the issuer thereof will not redeem or repurchase any such Equity Interests pursuant to such provisions prior to the Facility Termination Date.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the United States, any state of the United States or the District of Columbia.</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Domain Names</w:t>
      </w:r>
      <w:r>
        <w:rPr>
          <w:rFonts w:ascii="Arial" w:cs="Arial" w:eastAsia="Arial" w:hAnsi="Arial"/>
          <w:sz w:val="18"/>
          <w:szCs w:val="18"/>
          <w:color w:val="auto"/>
        </w:rPr>
        <w:t>” means all domain names and URLs that are registered and/or owned by the Borrower or any Subsidiary or which the Borrower or any Subsidiary is licensed, authorized or otherwise granted rights under or to.</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 Out Obligations</w:t>
      </w:r>
      <w:r>
        <w:rPr>
          <w:rFonts w:ascii="Arial" w:cs="Arial" w:eastAsia="Arial" w:hAnsi="Arial"/>
          <w:sz w:val="16"/>
          <w:szCs w:val="16"/>
          <w:color w:val="auto"/>
        </w:rPr>
        <w:t>” means, with respect to an Acquisition, all obligations of the Borrower or any Subsidiary to make earn out or other contingency payments (including purchase price adjustments, non-competition and consulting agreements, or other indemnity obligations) pursuant to the documentation relating to such Acquisition. For purposes of determining the aggregate consideration paid for an Acquisition at the time of such Acquisition, the amount of any Earn Out Obligations shall be deemed to be the maximum amount of the earn-out payments in respect thereof as specified in the documents relating to such Acquisition. For purposes of determining the amount of any Earn Out Obligations to be included in the definition of Funded Indebtedness, the amount of Earn Out Obligations shall be deemed to be the aggregate liability in respect thereof, as determined in accordance with GAAP.</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hereof.</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Assets</w:t>
      </w:r>
      <w:r>
        <w:rPr>
          <w:rFonts w:ascii="Arial" w:cs="Arial" w:eastAsia="Arial" w:hAnsi="Arial"/>
          <w:sz w:val="18"/>
          <w:szCs w:val="18"/>
          <w:color w:val="auto"/>
        </w:rPr>
        <w:t>” means fixed, capital or long-term tangible assets that are used or useful in the same or a similar line of business as the Borrower and its Subsidiaries were engaged in on the Effective Date (or any reasonable extension or expansions thereof).</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federal, state, local, foreign and other applicable statutes, laws, regulations, ordinances, rules, judgments, orders, decrees, permits, concessions, grants, franchises, licenses, agreements or governmental restrictions relating to pollution and the protection of the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environment or the release of any materials into the environment, including those related to hazardous substances or wastes, air emissions and discharges to waste or public systems.</w:t>
      </w:r>
    </w:p>
    <w:p>
      <w:pPr>
        <w:spacing w:after="0" w:line="170" w:lineRule="exact"/>
        <w:rPr>
          <w:sz w:val="20"/>
          <w:szCs w:val="20"/>
          <w:color w:val="auto"/>
        </w:rPr>
      </w:pPr>
    </w:p>
    <w:p>
      <w:pPr>
        <w:jc w:val="both"/>
        <w:ind w:right="28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w:t>
      </w:r>
    </w:p>
    <w:p>
      <w:pPr>
        <w:ind w:firstLine="8"/>
        <w:spacing w:after="0" w:line="261"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membership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under common control with the Borrower within the meaning of Section 414(b) or (c) of the Internal Revenue Code (and Sections 414(m) and (o) of the Internal Revenue Code for purposes of provisions relating to Section 412 of the Internal Revenue Code).</w:t>
      </w:r>
    </w:p>
    <w:p>
      <w:pPr>
        <w:sectPr>
          <w:pgSz w:w="11900" w:h="16838" w:orient="portrait"/>
          <w:cols w:equalWidth="0" w:num="1">
            <w:col w:w="11360"/>
          </w:cols>
          <w:pgMar w:left="240" w:top="125" w:right="299" w:bottom="0" w:gutter="0" w:footer="0" w:header="0"/>
        </w:sectPr>
      </w:pPr>
    </w:p>
    <w:bookmarkStart w:id="45" w:name="page46"/>
    <w:bookmarkEnd w:id="45"/>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the treatment of a Pension Plan amendment as a termination under Sections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other than a Multiemployer Plan is considered an at-risk plan or a plan in endangered or critical status within the meaning of Section 430 of the Internal Revenue Code or Section 303 of ERISA, or (h) the imposition of any liability under Title IV of ERISA, other than for PBGC premiums due but not delinquent under Section 4007 of ERISA, upon the Borrower or any ERISA Affiliate.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xml:space="preserve">” means, with respect to any Loan Party, including any Person that becomes a Loan Party after the Effective Date as contemplated by </w:t>
      </w:r>
      <w:r>
        <w:rPr>
          <w:rFonts w:ascii="Arial" w:cs="Arial" w:eastAsia="Arial" w:hAnsi="Arial"/>
          <w:sz w:val="18"/>
          <w:szCs w:val="18"/>
          <w:u w:val="single" w:color="auto"/>
          <w:color w:val="auto"/>
        </w:rPr>
        <w:t>Section 7.12</w:t>
      </w:r>
      <w:r>
        <w:rPr>
          <w:rFonts w:ascii="Arial" w:cs="Arial" w:eastAsia="Arial" w:hAnsi="Arial"/>
          <w:sz w:val="18"/>
          <w:szCs w:val="18"/>
          <w:color w:val="auto"/>
        </w:rPr>
        <w:t>, (a) any owned or leased real or personal property which is located outside of the United States unless requested by the Administrative Agent or the Required Lenders, (b) any personal property (including, without limitation, motor vehicles) in respect of which perfection of a Lien is not either (i) governed by the Uniform Commercial Code or (ii) effected by appropriate evidence of the Lien being filed in either the United States Copyright Office or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United States Patent and Trademark Office, unless requested by the Administrative Agent or the Required Lenders, (c) the Equity Interests of any Foreign Subsidiary or Foreign Subsidiary Holding Company to the extent not required to be pledged to secure the Obligations pursuant to </w:t>
      </w:r>
      <w:r>
        <w:rPr>
          <w:rFonts w:ascii="Arial" w:cs="Arial" w:eastAsia="Arial" w:hAnsi="Arial"/>
          <w:sz w:val="16"/>
          <w:szCs w:val="16"/>
          <w:u w:val="single" w:color="auto"/>
          <w:color w:val="auto"/>
        </w:rPr>
        <w:t>Section 7.14(a)</w:t>
      </w:r>
      <w:r>
        <w:rPr>
          <w:rFonts w:ascii="Arial" w:cs="Arial" w:eastAsia="Arial" w:hAnsi="Arial"/>
          <w:sz w:val="16"/>
          <w:szCs w:val="16"/>
          <w:color w:val="auto"/>
        </w:rPr>
        <w:t xml:space="preserve">, (d) any property which, subject to the terms of </w:t>
      </w:r>
      <w:r>
        <w:rPr>
          <w:rFonts w:ascii="Arial" w:cs="Arial" w:eastAsia="Arial" w:hAnsi="Arial"/>
          <w:sz w:val="16"/>
          <w:szCs w:val="16"/>
          <w:u w:val="single" w:color="auto"/>
          <w:color w:val="auto"/>
        </w:rPr>
        <w:t>Section 8.09</w:t>
      </w:r>
      <w:r>
        <w:rPr>
          <w:rFonts w:ascii="Arial" w:cs="Arial" w:eastAsia="Arial" w:hAnsi="Arial"/>
          <w:sz w:val="16"/>
          <w:szCs w:val="16"/>
          <w:color w:val="auto"/>
        </w:rPr>
        <w:t xml:space="preserve">, is subject to a Lien of the type described in </w:t>
      </w:r>
      <w:r>
        <w:rPr>
          <w:rFonts w:ascii="Arial" w:cs="Arial" w:eastAsia="Arial" w:hAnsi="Arial"/>
          <w:sz w:val="16"/>
          <w:szCs w:val="16"/>
          <w:u w:val="single" w:color="auto"/>
          <w:color w:val="auto"/>
        </w:rPr>
        <w:t>Section 8.01(i)</w:t>
      </w:r>
      <w:r>
        <w:rPr>
          <w:rFonts w:ascii="Arial" w:cs="Arial" w:eastAsia="Arial" w:hAnsi="Arial"/>
          <w:sz w:val="16"/>
          <w:szCs w:val="16"/>
          <w:color w:val="auto"/>
        </w:rPr>
        <w:t xml:space="preserve"> pursuant to documents which prohibit such Loan Party from granting any other Liens in such property, (e) any leasehold interest of any Loan Party in office space, (f) any real property with a fair market value of less than $500,000, (g) those certain accounts of the Borrower at Silicon Valley Bank which contain cash collateral upon which Silicon Valley Bank has a Lien permitted by </w:t>
      </w:r>
      <w:r>
        <w:rPr>
          <w:rFonts w:ascii="Arial" w:cs="Arial" w:eastAsia="Arial" w:hAnsi="Arial"/>
          <w:sz w:val="16"/>
          <w:szCs w:val="16"/>
          <w:u w:val="single" w:color="auto"/>
          <w:color w:val="auto"/>
        </w:rPr>
        <w:t>Section 8.01(b)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8.01(o)</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SVB Cash Collateral Accounts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accounts shall only constitute “Excluded Property” to the extent that the aggregate amount of cash and Cash Equivalents held in such accounts does not exceed $1,000,000 at any one time and (h) any real or personal property as to which the Administrative Agent and the Borrower agree in writing that the costs or other consequences of obtaining a security interest or perfection thereof are excessive in view of the benefits to be obtained by the Secured Parties therefrom.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Exclusivity and Proposal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Loan and Security Agreement dated as of June 26, 2013 by and among the Borrower and Silicon Valley Bank, a California corporation, as amended by that certain Consent and First Amendment to Loan and Security Agreement dated as of December 18, 2014, that certain Consent and Second Amendment to Loan and Security Agreement dated as of November 24, 2015 and as further amended or otherwise modified.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A Facility or the Term B Facility, as the context may require.</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Termination Date</w:t>
      </w:r>
      <w:r>
        <w:rPr>
          <w:rFonts w:ascii="Arial" w:cs="Arial" w:eastAsia="Arial" w:hAnsi="Arial"/>
          <w:sz w:val="17"/>
          <w:szCs w:val="17"/>
          <w:color w:val="auto"/>
        </w:rPr>
        <w:t>” means the date as of which all of the following shall have occurred: (a) all of the Commitments have terminated and (b) all Obligations have been paid in full in cash (other than contingent indemnification obligations for which no claim has been asserted).</w:t>
      </w:r>
    </w:p>
    <w:p>
      <w:pPr>
        <w:spacing w:after="0" w:line="14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Internal Revenue Code as of the Effective Date (or any amended or successor version that is substantively comparable and not materially more onerous to comply with) and any current or future regulations thereunder, official interpretations thereof, any agreement entered into pursuant to Section 1471(b)(1) of the Internal Revenue Code and any intergovernmental agreements entered into thereunder.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Food and Drug Administration of the United States of America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FDCA</w:t>
      </w:r>
      <w:r>
        <w:rPr>
          <w:rFonts w:ascii="Arial" w:cs="Arial" w:eastAsia="Arial" w:hAnsi="Arial"/>
          <w:sz w:val="16"/>
          <w:szCs w:val="16"/>
          <w:color w:val="auto"/>
        </w:rPr>
        <w:t>” means the Federal Food, Drug and Cosmetic Act, as amended, 21 U.S.C. Section 301 et seq. and all regulations promulgated thereunder.</w:t>
      </w:r>
    </w:p>
    <w:p>
      <w:pPr>
        <w:spacing w:after="0" w:line="24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such day is not a Business Day, the Federal Funds Rate for such day shall be such rate on such transactions on the next preceding Business Day as so published on the next succeeding Business Day.</w:t>
      </w:r>
    </w:p>
    <w:p>
      <w:pPr>
        <w:spacing w:after="0" w:line="17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that certain letter agreement dated as of the Funding Date, by and among the Borrower and the Administrative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Hazard Property</w:t>
      </w:r>
      <w:r>
        <w:rPr>
          <w:rFonts w:ascii="Arial" w:cs="Arial" w:eastAsia="Arial" w:hAnsi="Arial"/>
          <w:sz w:val="18"/>
          <w:szCs w:val="18"/>
          <w:color w:val="auto"/>
        </w:rPr>
        <w:t>” has the meaning set forth in the definition of “Real Property Security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any Domestic Subsidiary of the Borrower substantially all of the assets of which consist of the Equity Interests of one or more controlled foreign corporations (within the meaning of Section 957 of the Internal Revenue Code) or Indebtedness of such controlled foreign corporations.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ectPr>
          <w:pgSz w:w="11900" w:h="16838" w:orient="portrait"/>
          <w:cols w:equalWidth="0" w:num="1">
            <w:col w:w="11420"/>
          </w:cols>
          <w:pgMar w:left="240" w:top="125" w:right="239" w:bottom="32" w:gutter="0" w:footer="0" w:header="0"/>
        </w:sectPr>
      </w:pPr>
    </w:p>
    <w:bookmarkStart w:id="46" w:name="page47"/>
    <w:bookmarkEnd w:id="46"/>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660" w:right="200" w:firstLine="645"/>
        <w:spacing w:after="0" w:line="277" w:lineRule="auto"/>
        <w:tabs>
          <w:tab w:leader="none" w:pos="19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whether current or long-term, for borrowed money (including the Obligations)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purchase money Indebtedness;</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19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portion of all obligations under conditional sale or other title retention agreements relating to property purchased by such Person or any Subsidiary thereof (other than customary reservations or retentions of title under agreements with suppliers entered into in the ordinary course of business);</w:t>
      </w:r>
    </w:p>
    <w:p>
      <w:pPr>
        <w:spacing w:after="0" w:line="181" w:lineRule="exact"/>
        <w:rPr>
          <w:rFonts w:ascii="Arial" w:cs="Arial" w:eastAsia="Arial" w:hAnsi="Arial"/>
          <w:sz w:val="18"/>
          <w:szCs w:val="18"/>
          <w:color w:val="auto"/>
        </w:rPr>
      </w:pPr>
    </w:p>
    <w:p>
      <w:pPr>
        <w:ind w:left="660" w:right="280" w:firstLine="645"/>
        <w:spacing w:after="0" w:line="277" w:lineRule="auto"/>
        <w:tabs>
          <w:tab w:leader="none" w:pos="1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arising under letters of credit (including standby and commercial), bankers’ acceptances, bank guaranties, surety bonds and similar instruments;</w:t>
      </w:r>
    </w:p>
    <w:p>
      <w:pPr>
        <w:spacing w:after="0" w:line="170" w:lineRule="exact"/>
        <w:rPr>
          <w:rFonts w:ascii="Arial" w:cs="Arial" w:eastAsia="Arial" w:hAnsi="Arial"/>
          <w:sz w:val="18"/>
          <w:szCs w:val="18"/>
          <w:color w:val="auto"/>
        </w:rPr>
      </w:pPr>
    </w:p>
    <w:p>
      <w:pPr>
        <w:ind w:left="660" w:right="200" w:firstLine="645"/>
        <w:spacing w:after="0" w:line="264" w:lineRule="auto"/>
        <w:tabs>
          <w:tab w:leader="none" w:pos="19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in respect of the deferred purchase price of property or services (other than trade accounts payable in the ordinary course of business and, in each case, not past due for more than ninety (90) days after the date on which such trade account payable was created), including, without limitation, any Earn Out Obligations;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Attributable Indebtedness of Capital Leases, Securitization Transactions and Synthetic Leases;</w:t>
      </w:r>
    </w:p>
    <w:p>
      <w:pPr>
        <w:spacing w:after="0" w:line="225" w:lineRule="exact"/>
        <w:rPr>
          <w:rFonts w:ascii="Arial" w:cs="Arial" w:eastAsia="Arial" w:hAnsi="Arial"/>
          <w:sz w:val="18"/>
          <w:szCs w:val="18"/>
          <w:color w:val="auto"/>
        </w:rPr>
      </w:pPr>
    </w:p>
    <w:p>
      <w:pPr>
        <w:ind w:left="660" w:right="80" w:firstLine="645"/>
        <w:spacing w:after="0" w:line="264" w:lineRule="auto"/>
        <w:tabs>
          <w:tab w:leader="none" w:pos="19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all obligations of such Person to purchase, redeem, retire, defease or otherwise make any payment in respect of any Disqualified Capital Stock in such Person or any other Person,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w:t>
      </w:r>
    </w:p>
    <w:p>
      <w:pPr>
        <w:spacing w:after="0" w:line="181" w:lineRule="exact"/>
        <w:rPr>
          <w:rFonts w:ascii="Arial" w:cs="Arial" w:eastAsia="Arial" w:hAnsi="Arial"/>
          <w:sz w:val="18"/>
          <w:szCs w:val="18"/>
          <w:color w:val="auto"/>
        </w:rPr>
      </w:pPr>
    </w:p>
    <w:p>
      <w:pPr>
        <w:ind w:left="660" w:right="740" w:firstLine="645"/>
        <w:spacing w:after="0" w:line="277" w:lineRule="auto"/>
        <w:tabs>
          <w:tab w:leader="none" w:pos="1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Funded Indebtedness of others secured by (or for which the holder of such Funded Indebtedness has an existing right, contingent or otherwise, to be secured by) any Lien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on, or payable out of the proceeds of production from, property owned or acquired by such Person, whether or not the obligations secured thereby have been assumed;</w:t>
      </w:r>
    </w:p>
    <w:p>
      <w:pPr>
        <w:spacing w:after="0" w:line="170" w:lineRule="exact"/>
        <w:rPr>
          <w:sz w:val="20"/>
          <w:szCs w:val="20"/>
          <w:color w:val="auto"/>
        </w:rPr>
      </w:pPr>
    </w:p>
    <w:p>
      <w:pPr>
        <w:ind w:left="1980" w:hanging="675"/>
        <w:spacing w:after="0"/>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all Guarantees with respect to Funded Indebtedness of the types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(h)</w:t>
      </w:r>
      <w:r>
        <w:rPr>
          <w:rFonts w:ascii="Arial" w:cs="Arial" w:eastAsia="Arial" w:hAnsi="Arial"/>
          <w:sz w:val="16"/>
          <w:szCs w:val="16"/>
          <w:color w:val="auto"/>
        </w:rPr>
        <w:t xml:space="preserve"> above of another Person; and</w:t>
      </w:r>
    </w:p>
    <w:p>
      <w:pPr>
        <w:spacing w:after="0" w:line="248" w:lineRule="exact"/>
        <w:rPr>
          <w:rFonts w:ascii="Arial" w:cs="Arial" w:eastAsia="Arial" w:hAnsi="Arial"/>
          <w:sz w:val="16"/>
          <w:szCs w:val="16"/>
          <w:color w:val="auto"/>
        </w:rPr>
      </w:pPr>
    </w:p>
    <w:p>
      <w:pPr>
        <w:ind w:left="660" w:right="120" w:firstLine="645"/>
        <w:spacing w:after="0" w:line="264" w:lineRule="auto"/>
        <w:tabs>
          <w:tab w:leader="none" w:pos="19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all Funded Indebtedness of the types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above of any partnership or joint venture (other than a joint venture that is itself a corporation or limited liability company) in which such Person is a general partner or joint venturer, except to the extent that Funded Indebtedness is expressly made non-recourse to such Person.</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purposes hereof, the amount of any direct obligation arising under letters of credit (including standby and commercial), bankers’ acceptances, bank guaranties, surety bonds and similar instruments shall be the maximum amount available to be drawn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Date</w:t>
      </w:r>
      <w:r>
        <w:rPr>
          <w:rFonts w:ascii="Arial" w:cs="Arial" w:eastAsia="Arial" w:hAnsi="Arial"/>
          <w:sz w:val="18"/>
          <w:szCs w:val="18"/>
          <w:color w:val="auto"/>
        </w:rPr>
        <w:t xml:space="preserve">” means the date on which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have been satisfied.</w:t>
      </w:r>
    </w:p>
    <w:p>
      <w:pPr>
        <w:spacing w:after="0" w:line="225"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Receivable</w:t>
      </w:r>
      <w:r>
        <w:rPr>
          <w:rFonts w:ascii="Arial" w:cs="Arial" w:eastAsia="Arial" w:hAnsi="Arial"/>
          <w:sz w:val="18"/>
          <w:szCs w:val="18"/>
          <w:color w:val="auto"/>
        </w:rPr>
        <w:t>” means any Receivable that, consistent with the past accounting practices of the Borrower and its Subsidiaries, is initially classified as a Medicare Receivable, Medicaid Receivable or other government Receivable.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Receivables Account</w:t>
      </w:r>
      <w:r>
        <w:rPr>
          <w:rFonts w:ascii="Arial" w:cs="Arial" w:eastAsia="Arial" w:hAnsi="Arial"/>
          <w:sz w:val="18"/>
          <w:szCs w:val="18"/>
          <w:color w:val="auto"/>
        </w:rPr>
        <w:t>” means an account established by a Loan Party and used for receipt of Restricted Receivables, including, without limitation, Government Receivables.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Licenses</w:t>
      </w:r>
      <w:r>
        <w:rPr>
          <w:rFonts w:ascii="Arial" w:cs="Arial" w:eastAsia="Arial" w:hAnsi="Arial"/>
          <w:sz w:val="18"/>
          <w:szCs w:val="18"/>
          <w:color w:val="auto"/>
        </w:rPr>
        <w:t>” means all applications to and requests for approval from a Governmental Authority for the right to manufacture, import, store, market, promote, advertise, offer for sale, sell, use and/or otherwise distribute a Product, including, without limitation, all filings filed with the FDA, and all authorizations issuing from a Governmental Authority based upon or as a result of such applications and requests, which are owned by the Borrower or any Subsidiary, acquired by the Borrower or any Subsidiary via assignment, purchase or otherwise or that the Borrower or any Subsidiary is licensed, authorized or otherwise granted rights under or to.</w:t>
      </w:r>
    </w:p>
    <w:p>
      <w:pPr>
        <w:spacing w:after="0" w:line="18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w:t>
      </w:r>
    </w:p>
    <w:p>
      <w:pPr>
        <w:sectPr>
          <w:pgSz w:w="11900" w:h="16838" w:orient="portrait"/>
          <w:cols w:equalWidth="0" w:num="1">
            <w:col w:w="11400"/>
          </w:cols>
          <w:pgMar w:left="240" w:top="125" w:right="259" w:bottom="0" w:gutter="0" w:footer="0" w:header="0"/>
        </w:sectPr>
      </w:pPr>
    </w:p>
    <w:bookmarkStart w:id="47" w:name="page48"/>
    <w:bookmarkEnd w:id="47"/>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
        <w:spacing w:after="0" w:line="271" w:lineRule="auto"/>
        <w:tabs>
          <w:tab w:leader="none" w:pos="3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each Domestic Subsidiary identified as a “Guarantor” on the signature pages hereto and each other Person that joins as a Guarantor pursuant to </w:t>
      </w:r>
      <w:r>
        <w:rPr>
          <w:rFonts w:ascii="Arial" w:cs="Arial" w:eastAsia="Arial" w:hAnsi="Arial"/>
          <w:sz w:val="18"/>
          <w:szCs w:val="18"/>
          <w:u w:val="single" w:color="auto"/>
          <w:color w:val="auto"/>
        </w:rPr>
        <w:t>Section 7.12</w:t>
      </w:r>
      <w:r>
        <w:rPr>
          <w:rFonts w:ascii="Arial" w:cs="Arial" w:eastAsia="Arial" w:hAnsi="Arial"/>
          <w:sz w:val="18"/>
          <w:szCs w:val="18"/>
          <w:color w:val="auto"/>
        </w:rPr>
        <w:t>, together with their successors and permitted assigns.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made by the Guarantors in favor of the Secured Parties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HHS</w:t>
      </w:r>
      <w:r>
        <w:rPr>
          <w:rFonts w:ascii="Arial" w:cs="Arial" w:eastAsia="Arial" w:hAnsi="Arial"/>
          <w:sz w:val="18"/>
          <w:szCs w:val="18"/>
          <w:color w:val="auto"/>
        </w:rPr>
        <w:t>” means the United States Department of Health and Human Services and any successor agency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HMT</w:t>
      </w:r>
      <w:r>
        <w:rPr>
          <w:rFonts w:ascii="Arial" w:cs="Arial" w:eastAsia="Arial" w:hAnsi="Arial"/>
          <w:sz w:val="18"/>
          <w:szCs w:val="18"/>
          <w:color w:val="auto"/>
        </w:rPr>
        <w:t>” has the meaning set forth in the definition of “Sanctions”.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1940" w:hanging="635"/>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Funded Indebtedness;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Swap Termination Value of any Swap Contract;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all Guarantees with respect to outstanding Indebtedness of the types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of any other Person; and</w:t>
      </w:r>
    </w:p>
    <w:p>
      <w:pPr>
        <w:spacing w:after="0" w:line="248" w:lineRule="exact"/>
        <w:rPr>
          <w:rFonts w:ascii="Arial" w:cs="Arial" w:eastAsia="Arial" w:hAnsi="Arial"/>
          <w:sz w:val="16"/>
          <w:szCs w:val="16"/>
          <w:color w:val="auto"/>
        </w:rPr>
      </w:pPr>
    </w:p>
    <w:p>
      <w:pPr>
        <w:ind w:left="660" w:right="280" w:firstLine="645"/>
        <w:spacing w:after="0" w:line="264" w:lineRule="auto"/>
        <w:tabs>
          <w:tab w:leader="none" w:pos="19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all Indebtedness of the types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of any partnership or joint venture (other than a joint venture that is itself a corporation or limited liability company) in which such Person or a Subsidiary thereof is a general partner or joint venturer, unless such Indebtedness is expressly made non-recourse to such Person or such Subsidiary.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means (a) the last day of each March, June, September and December;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if any such last day is not a Business Day, the applicable “Interest Payment Date” shall be the first Business Day immediately preceding such last day of such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first Interest Payment Date shall occur at least fifteen (15) days after the Funding Date; and (b) the Maturity Date.</w:t>
      </w:r>
    </w:p>
    <w:p>
      <w:pPr>
        <w:spacing w:after="0" w:line="166"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means the unaudited consolidated financial statements of the Borrower and its Subsidiaries for the fiscal quarter ended September 30, 2015, including balance sheets and statements of income or operations, stockholders’ equity and cash flows.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United States Internal Revenue Code of 1986.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Service</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 For purposes of covenant compliance, the amount of any Investment shall be the amount actually invested, without adjustment for subsequent increases or decreases in the value of such Investment.</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Involuntary Disposition</w:t>
      </w:r>
      <w:r>
        <w:rPr>
          <w:rFonts w:ascii="Arial" w:cs="Arial" w:eastAsia="Arial" w:hAnsi="Arial"/>
          <w:sz w:val="18"/>
          <w:szCs w:val="18"/>
          <w:color w:val="auto"/>
        </w:rPr>
        <w:t>” means any loss of, damage to or destruction of, or any condemnation or other taking for public use of, any property of any Loan Party or any of its Subsidiaries.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means, collectively, all Confidential Information, all Copyrights, all Copyright Licenses, all Domain Names, all Governmental Licenses, all Other Intellectual Property, all Other IP Agreements, all Patents, all Patent Licenses, all Proprietary Databases, all Proprietary Software, all Trademarks, all Trademark Licenses, all Trade Secrets, all Websites and all Website Agreements.</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means a joinder agreement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executed and delivered by a Domestic Subsidiary in accordance with the provisions of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spacing w:after="0" w:line="17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w:t>
      </w:r>
    </w:p>
    <w:p>
      <w:pPr>
        <w:sectPr>
          <w:pgSz w:w="11900" w:h="16975" w:orient="portrait"/>
          <w:cols w:equalWidth="0" w:num="1">
            <w:col w:w="11420"/>
          </w:cols>
          <w:pgMar w:left="240" w:top="125" w:right="239" w:bottom="0" w:gutter="0" w:footer="0" w:header="0"/>
        </w:sectPr>
      </w:pPr>
    </w:p>
    <w:bookmarkStart w:id="48" w:name="page49"/>
    <w:bookmarkEnd w:id="48"/>
    <w:p>
      <w:pPr>
        <w:spacing w:after="0" w:line="114"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each of the Persons identified as a “Lender” on the signature pages hereto and their successors and assigns.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xml:space="preserve">” means, as to any Lender, the office address of such Lender and, as appropriate, account of such Lender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or such other address or account as such Lender may from time to time notify the Borrower and the Administrative Agent.</w:t>
      </w:r>
    </w:p>
    <w:p>
      <w:pPr>
        <w:spacing w:after="0" w:line="170"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any conditional sale or other title retention agreement, any easement, right of way or other encumbrance on title to real property, and any financing lease having substantially the same economic effect as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means, as of any date, an amount equal to Unrestricted Cash as of such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Term A Loan or a Term B Loan.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Note, each Joinder Agreement, each Collateral Document, the Fee Letter, any intercreditor agreement entered into in connection with Permitted Senior Revolving Credit Indebtedness, each Qualified Subordinated Debt Subordination Agreement and any other agreement, instrument or document designated by its terms as a “Loan Document”.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notice of a Borrowing of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Amount</w:t>
      </w:r>
      <w:r>
        <w:rPr>
          <w:rFonts w:ascii="Arial" w:cs="Arial" w:eastAsia="Arial" w:hAnsi="Arial"/>
          <w:sz w:val="17"/>
          <w:szCs w:val="17"/>
          <w:color w:val="auto"/>
        </w:rPr>
        <w:t xml:space="preserve">” means, on any date of determination, with respect to any Loans prepaid or required to be prepaid, an amount equal to the total (as determined by the Administrative Agent in accordance with customary practice) of (a) twenty-four percent (24.00%) of the principal amount of the Loans prepaid or required to be prepaid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all interest payments in cash received by the Administrative Agent prior to such date of determination with respect to the principal amount of the Loans prepaid or required to be prepaid.</w:t>
      </w:r>
    </w:p>
    <w:p>
      <w:pPr>
        <w:spacing w:after="0" w:line="17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Withdrawal</w:t>
      </w:r>
      <w:r>
        <w:rPr>
          <w:rFonts w:ascii="Arial" w:cs="Arial" w:eastAsia="Arial" w:hAnsi="Arial"/>
          <w:sz w:val="18"/>
          <w:szCs w:val="18"/>
          <w:color w:val="auto"/>
        </w:rPr>
        <w:t>” means a Person’s removal or correction of a distributed Product which involves a minor violation that would not be subject to legal action by the FDA or which involves no violation, e.g., normal stock rotation practices, routine equipment adjustments and repairs, etc., as that term is defined in 21 C.F.R. 7.3(j).</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set forth in the definition of “Swap Contract”.</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a material adverse change in, or a material adverse effect on, the business, assets, results of operations or financial condition of the Borrower and its Subsidiaries taken as a whole (each, a “</w:t>
      </w:r>
      <w:r>
        <w:rPr>
          <w:rFonts w:ascii="Arial" w:cs="Arial" w:eastAsia="Arial" w:hAnsi="Arial"/>
          <w:sz w:val="17"/>
          <w:szCs w:val="17"/>
          <w:u w:val="single" w:color="auto"/>
          <w:color w:val="auto"/>
        </w:rPr>
        <w:t>Company MAE</w:t>
      </w:r>
      <w:r>
        <w:rPr>
          <w:rFonts w:ascii="Arial" w:cs="Arial" w:eastAsia="Arial" w:hAnsi="Arial"/>
          <w:sz w:val="17"/>
          <w:szCs w:val="17"/>
          <w:color w:val="auto"/>
        </w:rPr>
        <w:t>”) (it being understood that any adverse change, effect, event, occurrence, state of facts or development to the extent (but only to the extent) resulting from (x) conditions affecting the U.S. economy as a whole or the markets in which the Borrower and its Subsidiaries operate or (y) the commencement, continuation or escalation of a war, armed hostilities or other international or national calamity or act of terrorism directly involving the United States, in each case, shall not be taken into account in determining whether there has been or will be a Company MAE except to the extent that any such change, effect, event, occurrence, state of facts or development has a disproportionate and adverse effect on the Borrower and its Subsidiaries relative to other businesses in the industry in which the Borrower and its Subsidiaries operate (in which case, for the avoidance of doubt, such change, effect, event, occurrence, state of facts or development shall be taken into account in determining whether there has been or will be a Company MAE)), (b) a material impairment of the rights and remedies of the Administrative Agent or any Lender under any Loan Document to which it is a party or a material impairment in the perfection, value or priority of the Administrative Agent’s security interests in the Collateral, (c) an impairment of the ability of any Loan Party to perform its material obligations under any Loan Document to which it is a party, or (d) a material adverse effect upon the legality, validity, binding effect or enforceability against any Loan Party of any Loan Document to which it is a party.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March 31,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11.09</w:t>
      </w:r>
      <w:r>
        <w:rPr>
          <w:rFonts w:ascii="Arial" w:cs="Arial" w:eastAsia="Arial" w:hAnsi="Arial"/>
          <w:sz w:val="18"/>
          <w:szCs w:val="18"/>
          <w:color w:val="auto"/>
        </w:rPr>
        <w:t>.</w:t>
      </w:r>
    </w:p>
    <w:p>
      <w:pPr>
        <w:spacing w:after="0" w:line="22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Medicaid</w:t>
      </w:r>
      <w:r>
        <w:rPr>
          <w:rFonts w:ascii="Arial" w:cs="Arial" w:eastAsia="Arial" w:hAnsi="Arial"/>
          <w:sz w:val="17"/>
          <w:szCs w:val="17"/>
          <w:color w:val="auto"/>
        </w:rPr>
        <w:t>” means that means-tested entitlement program under Title XIX of the Social Security Act, which provides federal grants to states for medical assistance based on specific eligibility criteria, as set forth at Section 1396, et seq. of Title 42 of the United States Code.</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Medicaid Receivable</w:t>
      </w:r>
      <w:r>
        <w:rPr>
          <w:rFonts w:ascii="Arial" w:cs="Arial" w:eastAsia="Arial" w:hAnsi="Arial"/>
          <w:sz w:val="18"/>
          <w:szCs w:val="18"/>
          <w:color w:val="auto"/>
        </w:rPr>
        <w:t>” means any Receivable with respect to which the obligor is a state or, to the extent provided by Law, the United States acting through a state’s Medicaid agency that arises out of charges reimbursable to the Borrower or any Subsidiary under Medicaid.</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Medical Reimbursement Programs</w:t>
      </w:r>
      <w:r>
        <w:rPr>
          <w:rFonts w:ascii="Arial" w:cs="Arial" w:eastAsia="Arial" w:hAnsi="Arial"/>
          <w:sz w:val="18"/>
          <w:szCs w:val="18"/>
          <w:color w:val="auto"/>
        </w:rPr>
        <w:t>” means a collective reference to the Medicare, Medicaid and TRICARE programs and any other health care program operated by or financed in whole or in part by any foreign or domestic federal, state or local government.</w:t>
      </w:r>
    </w:p>
    <w:p>
      <w:pPr>
        <w:spacing w:after="0" w:line="170"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Medicare</w:t>
      </w:r>
      <w:r>
        <w:rPr>
          <w:rFonts w:ascii="Arial" w:cs="Arial" w:eastAsia="Arial" w:hAnsi="Arial"/>
          <w:sz w:val="17"/>
          <w:szCs w:val="17"/>
          <w:color w:val="auto"/>
        </w:rPr>
        <w:t>” means that government-sponsored entitlement program under Title XVIII of the Social Security Act, which provides for a health insurance system for eligible elderly and disabled individuals, as set forth at Section 1395, et seq. of Title 42 of the United States Code.</w:t>
      </w:r>
    </w:p>
    <w:p>
      <w:pPr>
        <w:sectPr>
          <w:pgSz w:w="11900" w:h="16953" w:orient="portrait"/>
          <w:cols w:equalWidth="0" w:num="1">
            <w:col w:w="11400"/>
          </w:cols>
          <w:pgMar w:left="240" w:top="125" w:right="259" w:bottom="0" w:gutter="0" w:footer="0" w:header="0"/>
        </w:sectPr>
      </w:pPr>
    </w:p>
    <w:bookmarkStart w:id="49" w:name="page50"/>
    <w:bookmarkEnd w:id="49"/>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Medicare Receivable</w:t>
      </w:r>
      <w:r>
        <w:rPr>
          <w:rFonts w:ascii="Arial" w:cs="Arial" w:eastAsia="Arial" w:hAnsi="Arial"/>
          <w:sz w:val="18"/>
          <w:szCs w:val="18"/>
          <w:color w:val="auto"/>
        </w:rPr>
        <w:t>” means any Receivable with respect to which the obligor is the United States that arises out of charges reimbursable to the Borrower or any Subsidiary under Medicare.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Mortgages</w:t>
      </w:r>
      <w:r>
        <w:rPr>
          <w:rFonts w:ascii="Arial" w:cs="Arial" w:eastAsia="Arial" w:hAnsi="Arial"/>
          <w:sz w:val="16"/>
          <w:szCs w:val="16"/>
          <w:color w:val="auto"/>
        </w:rPr>
        <w:t>” means the mortgages, deeds of trust or deeds to secure debt that purport to grant to the Administrative Agent, for the benefit of the Secured Parties, a security interest in the fee interest and/or leasehold interest of any Loan Party in real property (other than Excluded Property).</w:t>
      </w:r>
    </w:p>
    <w:p>
      <w:pPr>
        <w:spacing w:after="0" w:line="124"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Pension Plan which has two or more contributing sponsors (including the Borrower or any ERISA Affiliate) at least two of whom are not under common control, as such a plan is described in Section 4064 of ERISA.</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means the aggregate cash or Cash Equivalents proceeds received by any Loan Party or any Subsidiary in respect of any Disposition, Debt Issuance or Involuntary Disposition, net of (a) reasonable direct costs incurred in connection therewith (including, without limitation, legal, accounting and investment banking fees, and sales commissions), (b) taxes paid or payable as a result thereof, and (c) in the case of any Disposition, the amount necessary to retire any Indebtedness secured by a Permitted Lien (ranking senior to any Lien of the Administrative Agent) on the related property; it being understood that “Net Cash Proceeds” shall include, without limitation, any cash or Cash Equivalents received upon the sale or other disposition of any non-cash consideration received by any Loan Party or any Subsidiary in any Disposition, Debt Issuance or Involuntary Disposition.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(b) has been approved by the Required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or “</w:t>
      </w:r>
      <w:r>
        <w:rPr>
          <w:rFonts w:ascii="Arial" w:cs="Arial" w:eastAsia="Arial" w:hAnsi="Arial"/>
          <w:sz w:val="18"/>
          <w:szCs w:val="18"/>
          <w:u w:val="single" w:color="auto"/>
          <w:color w:val="auto"/>
        </w:rPr>
        <w:t>Notes</w:t>
      </w:r>
      <w:r>
        <w:rPr>
          <w:rFonts w:ascii="Arial" w:cs="Arial" w:eastAsia="Arial" w:hAnsi="Arial"/>
          <w:sz w:val="18"/>
          <w:szCs w:val="18"/>
          <w:color w:val="auto"/>
        </w:rPr>
        <w:t>” means the Term A Notes or the Term B Notes, individually or collectively, as appropriate.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 all advances to, and all debts, liabilities, obligations, covenants and duties of, any Loan Party arising under any Loan Document or otherwise with respect to any Loan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any Loan Party or any Affiliate thereof pursuant to any proceeding under any Debtor Relief Laws naming such Person as the debtor in such proceeding, regardless of whether such interest and fees are allowed claims in such proceeding.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Intellectual Property</w:t>
      </w:r>
      <w:r>
        <w:rPr>
          <w:rFonts w:ascii="Arial" w:cs="Arial" w:eastAsia="Arial" w:hAnsi="Arial"/>
          <w:sz w:val="16"/>
          <w:szCs w:val="16"/>
          <w:color w:val="auto"/>
        </w:rPr>
        <w:t>” means all worldwide intellectual property rights, industrial property rights, proprietary rights and common-law rights, whether registered or unregistered, which are not otherwise included in Confidential Information, Copyrights, Copyright Licenses, Domain Names, Governmental Licenses, Other IP Agreements, Patents, Patent Licenses, Trademarks, Trademark Licenses, Proprietary Databases, Proprietary Software, Websites, Website Agreements and Trade Secrets, including, without limitation, all rights to and under all new and useful algorithms, concepts, data (including all clinical data relating to a Product), databases, designs, discoveries, inventions, know-how, methods, processes, protocols, chemistries, compositions, show-how, software (other than commercially available, off-the-shelf software that is not assignable in connection with a Change of Control), specifications for Products, techniques, technology, trade dress and all improvements thereof and thereto, which is owned by the Borrower or any Subsidiary or which the Borrower or any Subsidiary is licensed, authorized or otherwise granted rights under or to.</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IP Agreements</w:t>
      </w:r>
      <w:r>
        <w:rPr>
          <w:rFonts w:ascii="Arial" w:cs="Arial" w:eastAsia="Arial" w:hAnsi="Arial"/>
          <w:sz w:val="18"/>
          <w:szCs w:val="18"/>
          <w:color w:val="auto"/>
        </w:rPr>
        <w:t>” means any agreement, whether written or oral, providing for the grant of any right under any Confidential Information, Governmental Licenses, Proprietary Database, Proprietary Software, Trade Secret and/or any other IP Rights, to the extent that the grant of any such right is not otherwise the subject of a Copyright License, Trademark License, Patent License or Website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with respect to any Loans on any date, the aggregate outstanding principal amount thereof after giving effect to any borrowings and prepayments or repayments of any Loans occurring on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Paid-in-Kind Interest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means any agreement, whether written or oral, providing for the grant of any right under any Patent.</w:t>
      </w:r>
    </w:p>
    <w:p>
      <w:pPr>
        <w:sectPr>
          <w:pgSz w:w="11900" w:h="16838" w:orient="portrait"/>
          <w:cols w:equalWidth="0" w:num="1">
            <w:col w:w="11420"/>
          </w:cols>
          <w:pgMar w:left="240" w:top="341" w:right="239" w:bottom="0" w:gutter="0" w:footer="0" w:header="0"/>
        </w:sectPr>
      </w:pPr>
    </w:p>
    <w:bookmarkStart w:id="50" w:name="page51"/>
    <w:bookmarkEnd w:id="50"/>
    <w:p>
      <w:pPr>
        <w:ind w:right="1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means all letters patent and patent applications in the United States and all other countries (and all letters patent that issue therefrom) and all reissues, reexaminations, extensions, renewals, divisions and continuations (including continuations-in-part and continuing prosecution applications) thereof, for the full term thereof, together with the right to claim the priority thereto and the right to sue for past infringement of any of the foregoing, which are owned by the Borrower or any Subsidiary or which the Borrower or any Subsidiary is licensed, authorized or otherwise granted rights under or to.</w:t>
      </w:r>
    </w:p>
    <w:p>
      <w:pPr>
        <w:spacing w:after="0" w:line="15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Patient</w:t>
      </w:r>
      <w:r>
        <w:rPr>
          <w:rFonts w:ascii="Arial" w:cs="Arial" w:eastAsia="Arial" w:hAnsi="Arial"/>
          <w:sz w:val="18"/>
          <w:szCs w:val="18"/>
          <w:color w:val="auto"/>
        </w:rPr>
        <w:t>” means, on any date, any natural person for whom any health care items or services have been provided or performed prior to such date by the Borrower or any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11.17</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Payor</w:t>
      </w:r>
      <w:r>
        <w:rPr>
          <w:rFonts w:ascii="Arial" w:cs="Arial" w:eastAsia="Arial" w:hAnsi="Arial"/>
          <w:sz w:val="18"/>
          <w:szCs w:val="18"/>
          <w:color w:val="auto"/>
        </w:rPr>
        <w:t>” means any third party liable for payment for health care items or services provided or performed by the Borrower or any Subsidiary, including all Medical Reimbursement Programs, private insurance companies, Blue Cross/Blue Shield, health maintenance organizations, preferred provider organizations, managed care systems and alternative delivery systems.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thereto.</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Internal Revenue Code and ERISA regarding minimum required contributions (including any installment payment thereof) to Pension Plans and set forth in Sections 412, 430, 431, 432 and 436 of the Internal Revenue Code and Sections 302, 303, 304 and 305 of ERISA.</w:t>
      </w:r>
    </w:p>
    <w:p>
      <w:pPr>
        <w:spacing w:after="0" w:line="18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minimum funding standards under Section 412 of the Internal Revenue Code.</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licenses, certificates, accreditations, product clearances or approvals, provider numbers or provider authorizations, marketing authorizations, other authorizations, registrations, permits, consents and approvals required in connection with the conduct of the Borrower’s or any Subsidiary’s business or to comply with any applicable Laws, and those issued by state governments for the conduct of the Borrower’s or any Subsidiary’s business.</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 Investment consisting of an Acquisition by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the property acquired (or the property of the Person acquired) in such Acquisition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 xml:space="preserve">used or useful in the same or a related line of business as the Borrower and its Subsidiaries were engaged in on the Effective Date (or any reasonable extensions or expansions thereof), (b) no Default or Event of Default shall have occurred and be continuing or would result from such Acquisition, (c) the Administrative Agent shall have received all items in respect of the Equity Interests or property acquired in such Acquisition required to be delivered by the terms of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(d) such Acquisition shall not be a “hostile” acquisition and shall have been approved by the Board of Directors and/or the shareholders (or equivalent) of the applicable Loan Party and the target of such Acquisition, (e) the Borrower shall have delivered to the Administrative Agent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statements for the Borrower and its Subsidiaries after giving effect to such Acquisition for the twelve month period ending as of the most recent fiscal quarter end in a form satisfactory to the Administrative Agent, (f) the representations and warranties made by the Loan Parties in each Loan Document shall be true and correct in all respects at and as if made as of the date of such Acquisition (after giving effect thereto) except to the extent any such representation and warranty expressly relates to an earlier date, in which case it shall be true and correct as of such earlier date and</w:t>
      </w:r>
    </w:p>
    <w:p>
      <w:pPr>
        <w:spacing w:after="0" w:line="7" w:lineRule="exact"/>
        <w:rPr>
          <w:sz w:val="20"/>
          <w:szCs w:val="20"/>
          <w:color w:val="auto"/>
        </w:rPr>
      </w:pPr>
    </w:p>
    <w:p>
      <w:pPr>
        <w:ind w:right="500" w:firstLine="8"/>
        <w:spacing w:after="0" w:line="277" w:lineRule="auto"/>
        <w:tabs>
          <w:tab w:leader="none" w:pos="2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aggregate consideration (including cash and non-cash consideration, any assumption of Indebtedness, deferred purchase price and any Earn-Out Obligations, but excluding Qualified Capital Stock of the Borrower (to the extent not constituting a Change of Control)) paid by the Borrower and its Subsidiaries for all such Acquisitions during the term of this Agreement shall not exceed $20,000,000 in the aggregate.</w:t>
      </w:r>
    </w:p>
    <w:p>
      <w:pPr>
        <w:spacing w:after="0" w:line="17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at any time, Liens in respect of property of any Loan Party or any of its Subsidiaries permitted to exist at such time pursuant to the terms of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xml:space="preserve">” means, with respect to any Person, any modification, refinancing, refunding, renewal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principal amount (or accreted value, if applicable) thereof (less any original issue discount, if applicable) does not exceed the principal amount (or accreted value, if applicable) of the Indebtedness so modified, refinanced, refunded, renewed or extended except by an amount equal to unpaid accrued interest and premium thereon plus other reasonable amounts paid, and discounts, commissions and fees and expenses reasonably incurred, in connection with such modification, refinancing, refunding, renewal or extension and by an amount equal to any existing commitments unutilized thereunder, (b)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if the Indebtedness being modified, refinanced, refunded, renewed or extended is subordinated in right of payment to the Obligations, such modification, refinancing, refunding, renewal or extension is subordinated in right of payment to the Obligations on terms at least as favorable to the Lenders as those contained in the documentation governing the Indebtedness being modified, refinanced, refunded, renewed or extended, taken as a whole, (d) the terms of such Indebtedness shall not be more restrictive in any respect on the Loan Parties than the provisions of the Indebtedness being modified, refinanced, refunded, renewed or extended, (e) if the Indebtedness modified, refinanced, refunded, renewed or extended is unsecured, such modification, refinancing, refunding, renewal or extension shall also be unsecured Indebtedness and (f) such modification, refinancing, refunding, renewal or extension is incurred by the Person who is the obligor on the Indebtedness being modified, refinanced, refunded, renewed or extended, and such new or additional obligors as are or become Loan Parties and with respect to subordinated Indebtedness the obligations of such obligors shall be subordinated in right of payment to the Obligations on terms at least as favorable to the Lenders as those contained in documentation governing the Indebtedness, taken as a whole.</w:t>
      </w:r>
    </w:p>
    <w:p>
      <w:pPr>
        <w:spacing w:after="0" w:line="17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Senior Revolving Credit Documents</w:t>
      </w:r>
      <w:r>
        <w:rPr>
          <w:rFonts w:ascii="Arial" w:cs="Arial" w:eastAsia="Arial" w:hAnsi="Arial"/>
          <w:sz w:val="17"/>
          <w:szCs w:val="17"/>
          <w:color w:val="auto"/>
        </w:rPr>
        <w:t>” means each agreement, instrument and document entered into by the Borrower or any Subsidiary in connection with the Permitted Senior Revolving Credit Indebtedness, in each case in form and substance reasonably satisfactory to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51" w:name="page52"/>
    <w:bookmarkEnd w:id="51"/>
    <w:p>
      <w:pPr>
        <w:spacing w:after="0" w:line="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Administrative Agent, as the same may be amended, modified, extended, restated, replaced or supplemented from time to time subject to the terms and provisions of the intercreditor agreement entered into by the Administrative Agent in connection therewith.</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Senior Revolving Credit Indebtedness</w:t>
      </w:r>
      <w:r>
        <w:rPr>
          <w:rFonts w:ascii="Arial" w:cs="Arial" w:eastAsia="Arial" w:hAnsi="Arial"/>
          <w:sz w:val="16"/>
          <w:szCs w:val="16"/>
          <w:color w:val="auto"/>
        </w:rPr>
        <w:t>” means senior secured Indebtedness of the Borrower incurred under the Permitted Senior Revolving Credit Documents which satisfies the following requirements: (a) the Borrower shall have delivered to the Administrative Agent and the Lenders the Permitted Senior Revolving Credit Documents prior to incurrence of the Permitted Senior Revolving Credit Indebtedness, certified by a Responsible Officer of the Borrower, (b) the Administrative Agent shall have approved the financial institution providing the Permitted Senior Revolving Credit Indebtedness (the “</w:t>
      </w:r>
      <w:r>
        <w:rPr>
          <w:rFonts w:ascii="Arial" w:cs="Arial" w:eastAsia="Arial" w:hAnsi="Arial"/>
          <w:sz w:val="16"/>
          <w:szCs w:val="16"/>
          <w:u w:val="single" w:color="auto"/>
          <w:color w:val="auto"/>
        </w:rPr>
        <w:t>Revolving Credit Lender</w:t>
      </w:r>
      <w:r>
        <w:rPr>
          <w:rFonts w:ascii="Arial" w:cs="Arial" w:eastAsia="Arial" w:hAnsi="Arial"/>
          <w:sz w:val="16"/>
          <w:szCs w:val="16"/>
          <w:color w:val="auto"/>
        </w:rPr>
        <w:t>”) and (c) no Subsidiary of the Borrower shall Guarantee, or provide a Lien with respect to, such Indebtedness.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has the meaning set forth in the definition of “Disposition”.</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PIK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2.06(c)(i)</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other than a Multiemployer Plan), maintained by the Borrower or any ERISA Affiliate.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means the pledge agreement dated as of the Funding Date executed in favor of the Administrative Agent, for the benefit of the Secured Parties, by each of the Loan Parties, as amended or modified from time to time in accordance with the terms hereof.</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xml:space="preserve">” means any product or service advertised, developed, imported, manufactured, marketed, offered for sale, provided, promoted, sold, tested, used or otherwise distributed by the Borrower or any Subsidiary in connection with the Businesses, including those products set forth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(as updated from time to time in accordance with the terms of this Agreement) or that embody, in whole or in part, the IP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the Borrower shall fail to comply with its obligations under this Agreement to give notice to the Administrative Agent and update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prior to manufacturing, selling, developing, testing or marketing any new product or service, any such improperly undisclosed product or service shall be deemed to be included in this definition.</w:t>
      </w:r>
    </w:p>
    <w:p>
      <w:pPr>
        <w:spacing w:after="0" w:line="193"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w:t>
      </w:r>
      <w:r>
        <w:rPr>
          <w:rFonts w:ascii="Arial" w:cs="Arial" w:eastAsia="Arial" w:hAnsi="Arial"/>
          <w:sz w:val="16"/>
          <w:szCs w:val="16"/>
          <w:u w:val="single" w:color="auto"/>
          <w:color w:val="auto"/>
        </w:rPr>
        <w:t>Pro Forma Compliance</w:t>
      </w:r>
      <w:r>
        <w:rPr>
          <w:rFonts w:ascii="Arial" w:cs="Arial" w:eastAsia="Arial" w:hAnsi="Arial"/>
          <w:sz w:val="16"/>
          <w:szCs w:val="16"/>
          <w:color w:val="auto"/>
        </w:rPr>
        <w:t>” and “</w:t>
      </w:r>
      <w:r>
        <w:rPr>
          <w:rFonts w:ascii="Arial" w:cs="Arial" w:eastAsia="Arial" w:hAnsi="Arial"/>
          <w:sz w:val="16"/>
          <w:szCs w:val="16"/>
          <w:u w:val="single" w:color="auto"/>
          <w:color w:val="auto"/>
        </w:rPr>
        <w:t>Pro Forma Effect</w:t>
      </w:r>
      <w:r>
        <w:rPr>
          <w:rFonts w:ascii="Arial" w:cs="Arial" w:eastAsia="Arial" w:hAnsi="Arial"/>
          <w:sz w:val="16"/>
          <w:szCs w:val="16"/>
          <w:color w:val="auto"/>
        </w:rPr>
        <w:t xml:space="preserve">” means, in respect of a Specified Transaction, that such Specified Transaction and the following transactions in connection therewith (to the extent applicable) shall be deemed to have occurred as of the first day of the applicable Measurement Period for the applicable covenant or requirement: (a)(i) with respect to any Disposition, Involuntary Disposition or sale, transfer or other disposition that results in a Person ceasing to be a Subsidiary, income statement and cash flow statement items (whether positive or negative) attributable to the Person or property disposed of shall be excluded and (ii) with respect to any Acquisition or Investment, income statement and cash flow statement items (whether positive or negative) attributable to the Person or property acquired shall be included to the extent relating to any period applicable in such calculations to the extent (A) such items are not otherwise included in such income statement items for the Borrower and is Subsidiaries in accordance with GAAP or in accordance with any defined terms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(B) such items are supported by financial statements or other information satisfactory to the Administrative Agent, (b) any retirement of Indebtedness and (c) any incurrence or assumption of Indebtedness by any Loan Party or any Subsidiary (and if such Indebtedness has a floating or formula rate, such Indebtedness shall have an implied rate of interest for the applicable period for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purposes of this definition determined by utilizing the rate which is or would be in effect with respect to such Indebtedness as at the relevant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Pro Forma Basis, Pro Forma Compliance and Pro Forma Effect in respect of any Specified Transaction shall be calculated in a reasonable and factually supportable manner and certified by a Responsible Officer of the Borrower.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Term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Terms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Databases</w:t>
      </w:r>
      <w:r>
        <w:rPr>
          <w:rFonts w:ascii="Arial" w:cs="Arial" w:eastAsia="Arial" w:hAnsi="Arial"/>
          <w:sz w:val="18"/>
          <w:szCs w:val="18"/>
          <w:color w:val="auto"/>
        </w:rPr>
        <w:t>” means any material non-public proprietary database or information repository that is owned by the Borrower or any Subsidiary or that the Borrower or any Subsidiary is licensed, authorized or otherwise granted rights under or to.</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Software</w:t>
      </w:r>
      <w:r>
        <w:rPr>
          <w:rFonts w:ascii="Arial" w:cs="Arial" w:eastAsia="Arial" w:hAnsi="Arial"/>
          <w:sz w:val="18"/>
          <w:szCs w:val="18"/>
          <w:color w:val="auto"/>
        </w:rPr>
        <w:t>” means any proprietary software owned, licensed or otherwise used (other than any software that is generally commercially available, off-the-shelf and/or open source) including, without limitation, the object code and source code forms of such software and all associated documentation, which is owned by the Borrower or any Subsidiary or which the Borrower or any Subsidiary is licensed, authorized or otherwise granted rights under or 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of any Person means any Equity Interests of such Person that are not Disqualified Capital Stock.</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Control Agreement</w:t>
      </w:r>
      <w:r>
        <w:rPr>
          <w:rFonts w:ascii="Arial" w:cs="Arial" w:eastAsia="Arial" w:hAnsi="Arial"/>
          <w:sz w:val="17"/>
          <w:szCs w:val="17"/>
          <w:color w:val="auto"/>
        </w:rPr>
        <w:t>” means an agreement among a Loan Party, a depository institution or securities intermediary and the Administrative Agent, which agreement is in form and substance satisfactory to the Administrative Agent and which provides the Administrative Agent with “control” (as such term is used in Article 9 of the Uniform Commercial Code) over the deposit account(s) or securities account(s) described therein.</w:t>
      </w:r>
    </w:p>
    <w:p>
      <w:pPr>
        <w:spacing w:after="0" w:line="166" w:lineRule="exact"/>
        <w:rPr>
          <w:sz w:val="20"/>
          <w:szCs w:val="20"/>
          <w:color w:val="auto"/>
        </w:rPr>
      </w:pPr>
    </w:p>
    <w:p>
      <w:pPr>
        <w:ind w:firstLine="648"/>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Subordinated Debt</w:t>
      </w:r>
      <w:r>
        <w:rPr>
          <w:rFonts w:ascii="Arial" w:cs="Arial" w:eastAsia="Arial" w:hAnsi="Arial"/>
          <w:sz w:val="16"/>
          <w:szCs w:val="16"/>
          <w:color w:val="auto"/>
        </w:rPr>
        <w:t xml:space="preserve">” means unsecured subordinated Indebtedness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 such Indebtedness shall not mature, and no scheduled principal payments, prepayments, repurchases, redemptions or sinking fund or like payments or cash interest payments of any kind shall be required at any time on or before the 181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following the Maturity Date, (b) such Indebtedness shall not include any financial maintenance covenants, the terms thereof shall be customary for deeply subordinated “insider” indebtedness, not more restrictive in any respect on the Loan Parties than the provisions of this Agreement and otherwise reasonably satisfactory to the Administrative Agent in all respects, (c) the terms of subordination applicable to such Indebtedness shall be reasonably satisfactory to the Administrative Agent (and the Administrative Agent, on the one hand, and the holders of such Indebtedness, on the other hand, shall have entered into a Qualified Subordinated Debt Subordination Agreement with respect thereto), (d) the Obligations shall be designated as “Designated Senior Debt” (and no other obligations shall be so designated) for all purposes of such Indebtedness, (e) the Loan Parties shall have delivered to the Administrative Agent certified copies of all documents and other agreements entered into in connection with such Indebtedness (collectively with the Qualified Subordinated Debt Subordination Agreement, the “</w:t>
      </w:r>
      <w:r>
        <w:rPr>
          <w:rFonts w:ascii="Arial" w:cs="Arial" w:eastAsia="Arial" w:hAnsi="Arial"/>
          <w:sz w:val="16"/>
          <w:szCs w:val="16"/>
          <w:u w:val="single" w:color="auto"/>
          <w:color w:val="auto"/>
        </w:rPr>
        <w:t>Qualified Subordinated Debt Documents</w:t>
      </w:r>
      <w:r>
        <w:rPr>
          <w:rFonts w:ascii="Arial" w:cs="Arial" w:eastAsia="Arial" w:hAnsi="Arial"/>
          <w:sz w:val="16"/>
          <w:szCs w:val="16"/>
          <w:color w:val="auto"/>
        </w:rPr>
        <w:t>”), (f) no Default or Event of</w:t>
      </w:r>
    </w:p>
    <w:p>
      <w:pPr>
        <w:sectPr>
          <w:pgSz w:w="11900" w:h="16855" w:orient="portrait"/>
          <w:cols w:equalWidth="0" w:num="1">
            <w:col w:w="11380"/>
          </w:cols>
          <w:pgMar w:left="240" w:top="125" w:right="279" w:bottom="0" w:gutter="0" w:footer="0" w:header="0"/>
        </w:sectPr>
      </w:pPr>
    </w:p>
    <w:bookmarkStart w:id="52" w:name="page53"/>
    <w:bookmarkEnd w:id="52"/>
    <w:p>
      <w:pPr>
        <w:spacing w:after="0" w:line="302" w:lineRule="auto"/>
        <w:rPr>
          <w:sz w:val="20"/>
          <w:szCs w:val="20"/>
          <w:color w:val="auto"/>
        </w:rPr>
      </w:pPr>
      <w:r>
        <w:rPr>
          <w:rFonts w:ascii="Arial" w:cs="Arial" w:eastAsia="Arial" w:hAnsi="Arial"/>
          <w:sz w:val="16"/>
          <w:szCs w:val="16"/>
          <w:color w:val="auto"/>
        </w:rPr>
        <w:t xml:space="preserve">Default (other than the Event of Default under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giving rise to the Cure Right) shall have occurred and be continuing at the time of incurrence of such Indebtedness or would result therefrom (and the Loan Parties shall deliver a certificate to the Administrative Agent certifying to the satisfaction of this condition), (g) the aggregate outstanding principal amount of all such Indebtedness shall not exceed $10,000,000 at any one time outstanding and (h) such Indebtedness shall only be incurred in connection with the exercise of a Cure Right and shall be subject to the limitations set forth in </w:t>
      </w:r>
      <w:r>
        <w:rPr>
          <w:rFonts w:ascii="Arial" w:cs="Arial" w:eastAsia="Arial" w:hAnsi="Arial"/>
          <w:sz w:val="16"/>
          <w:szCs w:val="16"/>
          <w:u w:val="single" w:color="auto"/>
          <w:color w:val="auto"/>
        </w:rPr>
        <w:t>Section 8.16(b)</w:t>
      </w:r>
      <w:r>
        <w:rPr>
          <w:rFonts w:ascii="Arial" w:cs="Arial" w:eastAsia="Arial" w:hAnsi="Arial"/>
          <w:sz w:val="16"/>
          <w:szCs w:val="16"/>
          <w:color w:val="auto"/>
        </w:rPr>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Subordinated Debt Subordination Agreement</w:t>
      </w:r>
      <w:r>
        <w:rPr>
          <w:rFonts w:ascii="Arial" w:cs="Arial" w:eastAsia="Arial" w:hAnsi="Arial"/>
          <w:sz w:val="18"/>
          <w:szCs w:val="18"/>
          <w:color w:val="auto"/>
        </w:rPr>
        <w:t>” means any subordination agreement in form and substance reasonably satisfactory to the Administrative Agent that is entered into by the Administrative Agent, on the one hand, and the providers of the Qualified Subordinated Debt, on the other hand.</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Security Documents</w:t>
      </w:r>
      <w:r>
        <w:rPr>
          <w:rFonts w:ascii="Arial" w:cs="Arial" w:eastAsia="Arial" w:hAnsi="Arial"/>
          <w:sz w:val="18"/>
          <w:szCs w:val="18"/>
          <w:color w:val="auto"/>
        </w:rPr>
        <w:t>” means with respect to the fee interest and/or leasehold interest of any Loan Party in any real property (other than Excluded Property):</w:t>
      </w:r>
    </w:p>
    <w:p>
      <w:pPr>
        <w:spacing w:after="0" w:line="170" w:lineRule="exact"/>
        <w:rPr>
          <w:sz w:val="20"/>
          <w:szCs w:val="20"/>
          <w:color w:val="auto"/>
        </w:rPr>
      </w:pPr>
    </w:p>
    <w:p>
      <w:pPr>
        <w:ind w:left="1940" w:hanging="635"/>
        <w:spacing w:after="0"/>
        <w:tabs>
          <w:tab w:leader="none" w:pos="1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fully executed and notarized Mortgage encumbering the fee interest and/or leasehold interest of such Loan Party in such real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210" w:lineRule="exact"/>
        <w:rPr>
          <w:rFonts w:ascii="Arial" w:cs="Arial" w:eastAsia="Arial" w:hAnsi="Arial"/>
          <w:sz w:val="16"/>
          <w:szCs w:val="16"/>
          <w:color w:val="auto"/>
        </w:rPr>
      </w:pPr>
    </w:p>
    <w:p>
      <w:pPr>
        <w:ind w:left="660" w:right="100" w:firstLine="645"/>
        <w:spacing w:after="0" w:line="254" w:lineRule="auto"/>
        <w:tabs>
          <w:tab w:leader="none" w:pos="19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if requested by the Administrative Agent in its sole discretion, maps or plats of an as-built survey of the sites of such real property certified to the Administrative Agent and the title insurance company issuing the policies referred to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in a manner satisfactory to each of the Administrative Agent and such title insurance company, dated a date satisfactory to each of the Administrative Agent and such title insurance company by an independent professional licensed land surveyor, which maps or plats and the surveys on which they are based shall be sufficient to delete any standard printed survey exception contained in the applicable title policy and be made in accordance with the Minimum Standard Detail Requirements for Land Title Surveys jointly established and adopted by the American Land Title Association and the American Congress on Surveying and Mapping in 2011 with items 2, 3, 4, 6(b), 7(a), 7(b)(1), 7(c), 8, 9, 10, 11(a), 13, 14, 16,17, 18 and 19 on Table A thereof completed;</w:t>
      </w:r>
    </w:p>
    <w:p>
      <w:pPr>
        <w:spacing w:after="0" w:line="192" w:lineRule="exact"/>
        <w:rPr>
          <w:rFonts w:ascii="Arial" w:cs="Arial" w:eastAsia="Arial" w:hAnsi="Arial"/>
          <w:sz w:val="18"/>
          <w:szCs w:val="18"/>
          <w:color w:val="auto"/>
        </w:rPr>
      </w:pPr>
    </w:p>
    <w:p>
      <w:pPr>
        <w:ind w:left="660" w:right="140" w:firstLine="645"/>
        <w:spacing w:after="0" w:line="257" w:lineRule="auto"/>
        <w:tabs>
          <w:tab w:leader="none" w:pos="19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ALTA mortgagee title insurance policies issued by a title insurance company acceptable to the Administrative Agent with respect to such real property, assuring the Administrative Agent that the Mortgage covering such real property creates a valid and enforceable first priority mortgage lien on such real property, free and clear of all defects and encumbrances except Permitted Liens, which title insurance policies shall otherwise be in form and substance satisfactory to the Administrative Agent and shall include such endorsements as are requested by the Administrative Agent;</w:t>
      </w:r>
    </w:p>
    <w:p>
      <w:pPr>
        <w:spacing w:after="0" w:line="188" w:lineRule="exact"/>
        <w:rPr>
          <w:rFonts w:ascii="Arial" w:cs="Arial" w:eastAsia="Arial" w:hAnsi="Arial"/>
          <w:sz w:val="18"/>
          <w:szCs w:val="18"/>
          <w:color w:val="auto"/>
        </w:rPr>
      </w:pPr>
    </w:p>
    <w:p>
      <w:pPr>
        <w:ind w:left="660" w:right="60" w:firstLine="645"/>
        <w:spacing w:after="0" w:line="291" w:lineRule="auto"/>
        <w:tabs>
          <w:tab w:leader="none" w:pos="1964"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evidence as to (i) whether such real property is in an area designated by the Federal Emergency Management Agency as having special flood or mud slide hazards (a “</w:t>
      </w:r>
      <w:r>
        <w:rPr>
          <w:rFonts w:ascii="Arial" w:cs="Arial" w:eastAsia="Arial" w:hAnsi="Arial"/>
          <w:sz w:val="16"/>
          <w:szCs w:val="16"/>
          <w:u w:val="single" w:color="auto"/>
          <w:color w:val="auto"/>
        </w:rPr>
        <w:t>Flood Hazard Property</w:t>
      </w:r>
      <w:r>
        <w:rPr>
          <w:rFonts w:ascii="Arial" w:cs="Arial" w:eastAsia="Arial" w:hAnsi="Arial"/>
          <w:sz w:val="16"/>
          <w:szCs w:val="16"/>
          <w:color w:val="auto"/>
        </w:rPr>
        <w:t>”) and (ii) if such real property is a Flood Hazard Property, (A) whether the community in which such real property is located is participating in the National Flood Insurance Program, (B) the applicable Loan Party’s written acknowledgment of receipt of written notification from the Administrative Agent (1) as to the fact that such real property is a Flood Hazard Property and (2) as to whether the community in which each such Flood Hazard Property is located is participating in the National Flood Insurance Program and (C) copies of insurance policies or certificates of insurance of the Borrower and its Subsidiaries evidencing flood insurance satisfactory to the Administrative Agent and naming the Administrative Agent and its successors and/or assigns as sole loss payee on behalf of the Secured Parties;</w:t>
      </w:r>
    </w:p>
    <w:p>
      <w:pPr>
        <w:spacing w:after="0" w:line="167" w:lineRule="exact"/>
        <w:rPr>
          <w:rFonts w:ascii="Arial" w:cs="Arial" w:eastAsia="Arial" w:hAnsi="Arial"/>
          <w:sz w:val="16"/>
          <w:szCs w:val="16"/>
          <w:color w:val="auto"/>
        </w:rPr>
      </w:pPr>
    </w:p>
    <w:p>
      <w:pPr>
        <w:ind w:left="660" w:right="380" w:firstLine="645"/>
        <w:spacing w:after="0" w:line="277" w:lineRule="auto"/>
        <w:tabs>
          <w:tab w:leader="none" w:pos="19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requested by the Administrative Agent in its sole discretion, an environmental assessment report, as to such real property, in form and substance and from professional firms acceptable to the Administrative Agent;</w:t>
      </w:r>
    </w:p>
    <w:p>
      <w:pPr>
        <w:spacing w:after="0" w:line="170" w:lineRule="exact"/>
        <w:rPr>
          <w:rFonts w:ascii="Arial" w:cs="Arial" w:eastAsia="Arial" w:hAnsi="Arial"/>
          <w:sz w:val="18"/>
          <w:szCs w:val="18"/>
          <w:color w:val="auto"/>
        </w:rPr>
      </w:pPr>
    </w:p>
    <w:p>
      <w:pPr>
        <w:ind w:left="660" w:right="220" w:firstLine="645"/>
        <w:spacing w:after="0" w:line="264" w:lineRule="auto"/>
        <w:tabs>
          <w:tab w:leader="none" w:pos="19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requested by the Administrative Agent in its sole discretion, evidence reasonably satisfactory to the Administrative Agent that such real property, and the uses of such real property, are in compliance in all material respects with all applicable zoning laws (the evidence submitted as to which should include the zoning designation made for such real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color w:val="auto"/>
        </w:rPr>
        <w:t>property, the permitted uses of such real property under such zoning designation and, if available, zoning requirements as to parking, lot size, ingress, egress and building setbacks);</w:t>
      </w:r>
    </w:p>
    <w:p>
      <w:pPr>
        <w:spacing w:after="0" w:line="170" w:lineRule="exact"/>
        <w:rPr>
          <w:sz w:val="20"/>
          <w:szCs w:val="20"/>
          <w:color w:val="auto"/>
        </w:rPr>
      </w:pPr>
    </w:p>
    <w:p>
      <w:pPr>
        <w:ind w:left="660" w:right="20" w:firstLine="645"/>
        <w:spacing w:after="0" w:line="255" w:lineRule="auto"/>
        <w:tabs>
          <w:tab w:leader="none" w:pos="19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a leasehold interest of any Loan Party in such real property, (i) such Collateral Access Agreements as may be required by the Administrative Agent, and (ii) evidence that the applicable lease, a memorandum of lease with respect thereto, or other evidence of such lease in form and substance satisfactory to the Administrative Agent, has been or will be recorded in all places to the extent necessary or desirable, in the judgment of the Administrative Agent, so as to enable the Mortgage encumbering such leasehold interest to effectively create a valid and enforceable first priority lien (subject to Permitted Liens) on such leasehold interest in favor of the Administrative Agent (or such other Person as may be required or desired under local law); and</w:t>
      </w:r>
    </w:p>
    <w:p>
      <w:pPr>
        <w:spacing w:after="0" w:line="193"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requested by the Administrative Agent in its sole discretion, an opinion of legal counsel to the Loan Party granting the Mortgage on such real property, addressed to the Administrative Agent and each Lender, in form and substance reasonably acceptable to the Administrative Agent.</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w:t>
      </w:r>
      <w:r>
        <w:rPr>
          <w:rFonts w:ascii="Arial" w:cs="Arial" w:eastAsia="Arial" w:hAnsi="Arial"/>
          <w:sz w:val="16"/>
          <w:szCs w:val="16"/>
          <w:color w:val="auto"/>
        </w:rPr>
        <w:t>” means all Patient accounts existing or hereafter created, any and all rights to receive payments due on such accounts from any Patient or Payor under or in respect of such account to the extent not evidenced by an instrument or chattel paper, and all proceeds of, or in any way derived from, any of the foregoing, whether directly or indirectly (including all interest, finance charges and other amounts payable by the obligor in respect thereof).</w:t>
      </w:r>
    </w:p>
    <w:p>
      <w:pPr>
        <w:spacing w:after="0" w:line="1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and any other recipient of any payment by or on account of any obligation of any Loan Party under any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53" w:name="page54"/>
    <w:bookmarkEnd w:id="53"/>
    <w:p>
      <w:pPr>
        <w:spacing w:after="0" w:line="11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sub-advisors and representatives of such Person and of such Person’s Affiliates.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thirty-day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Lenders having Total Credit Exposures representing more than fifty percent (50%) of the Total Credit Exposures of all Lenders. The Total Credit Exposure of any Defaulting Lender shall be disregarded in determining Required Lenders at any time.</w:t>
      </w:r>
    </w:p>
    <w:p>
      <w:pPr>
        <w:spacing w:after="0" w:line="12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Permit</w:t>
      </w:r>
      <w:r>
        <w:rPr>
          <w:rFonts w:ascii="Arial" w:cs="Arial" w:eastAsia="Arial" w:hAnsi="Arial"/>
          <w:sz w:val="16"/>
          <w:szCs w:val="16"/>
          <w:color w:val="auto"/>
        </w:rPr>
        <w:t>” means (a) a Permit issued or required under Laws applicable to the business of the Borrower or any Subsidiary or necessary in the manufacturing, importing, exporting, possession, ownership, warehousing, marketing, promoting, sale, labeling, furnishing, distribution or delivery of goods or services under Laws applicable to the business of the Borrower or any Subsidiary (including without limitation, at any point in time, all licenses, approvals and permits issued by the FDA or any other applicable Governmental Authority necessary for the testing, manufacture, marketing or sale of any Product by the Borrower or any Subsidiary as such activities are being conducted by the Borrower or such Subsidiary with respect to such Product at such time), and</w:t>
      </w:r>
    </w:p>
    <w:p>
      <w:pPr>
        <w:spacing w:after="0" w:line="2" w:lineRule="exact"/>
        <w:rPr>
          <w:sz w:val="20"/>
          <w:szCs w:val="20"/>
          <w:color w:val="auto"/>
        </w:rPr>
      </w:pPr>
    </w:p>
    <w:p>
      <w:pPr>
        <w:ind w:left="5620" w:right="1800" w:hanging="5612"/>
        <w:spacing w:after="0" w:line="511" w:lineRule="auto"/>
        <w:tabs>
          <w:tab w:leader="none" w:pos="25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Permit issued by any Person from which the Borrower or any Subsidiary has, as of the Effective Date, received an accreditation.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chief executive officer, president, chief legal officer, chief financial officer, treasurer, assistant treasurer or controller of a Loan Party and, solely for purposes of the delivery of certificates pursuant to </w:t>
      </w:r>
      <w:r>
        <w:rPr>
          <w:rFonts w:ascii="Arial" w:cs="Arial" w:eastAsia="Arial" w:hAnsi="Arial"/>
          <w:sz w:val="18"/>
          <w:szCs w:val="18"/>
          <w:u w:val="single" w:color="auto"/>
          <w:color w:val="auto"/>
        </w:rPr>
        <w:t>Sections 5.02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7.12</w:t>
      </w:r>
      <w:r>
        <w:rPr>
          <w:rFonts w:ascii="Arial" w:cs="Arial" w:eastAsia="Arial" w:hAnsi="Arial"/>
          <w:sz w:val="18"/>
          <w:szCs w:val="18"/>
          <w:color w:val="auto"/>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w:t>
      </w:r>
      <w:r>
        <w:rPr>
          <w:rFonts w:ascii="Arial" w:cs="Arial" w:eastAsia="Arial" w:hAnsi="Arial"/>
          <w:sz w:val="18"/>
          <w:szCs w:val="18"/>
          <w:color w:val="auto"/>
        </w:rPr>
        <w:t>” means, when referring to cash or Cash Equivalents of the Loan Parties, that such cash or Cash Equivalents (a) appear (or would be required to appear) as “restricted” on a consolidated balance sheet of the Borrower and its Subsidiaries as determined in accordance with GAAP, or (b) are subject to any Lien in favor of any Person (other than bankers’ liens and rights of setoff) other than the Administrative Agent for the benefit of the Secured Parties.</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 any dividend or other distribution, direct or indirect, on account of any shares (or equivalent) of any class of Equity Interests of any Loan Party or any of its Subsidiaries, now or hereafter outstanding, (b) any redemption, retirement, sinking fund or similar payment, purchase or other acquisition for value, direct or indirect, of any shares (or equivalent) of any class of Equity Interests of any Loan Party or any of its Subsidiaries, now or hereafter outstanding, and (c) any payment made to retire, or to obtain the surrender of, any outstanding warrants, options or other rights to acquire shares of any class of Equity Interests of any Loan Party or any of its Subsidiaries, now or hereafter outstanding.</w:t>
      </w:r>
    </w:p>
    <w:p>
      <w:pPr>
        <w:spacing w:after="0" w:line="17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Receivables</w:t>
      </w:r>
      <w:r>
        <w:rPr>
          <w:rFonts w:ascii="Arial" w:cs="Arial" w:eastAsia="Arial" w:hAnsi="Arial"/>
          <w:sz w:val="18"/>
          <w:szCs w:val="18"/>
          <w:color w:val="auto"/>
        </w:rPr>
        <w:t>” means any account receivables generated by the Borrower or any Subsidiary from a line of business permitted under the Loan Documents, including any Receivables which, due to the requirements of applicable Laws, may not be paid by the payor into an account which is subject to a Qualifying Control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has the meaning set forth in the definition of “Permitted Senior Revolving Credit 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Priority Collateral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8.03(g)</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ROFR Side Letter</w:t>
      </w:r>
      <w:r>
        <w:rPr>
          <w:rFonts w:ascii="Arial" w:cs="Arial" w:eastAsia="Arial" w:hAnsi="Arial"/>
          <w:sz w:val="16"/>
          <w:szCs w:val="16"/>
          <w:color w:val="auto"/>
        </w:rPr>
        <w:t>” means that certain letter agreement dated as of the Funding Date by and between the Borrower and the Lenders from time to time party thereto with respect to the purchase of certain common stock of the Borrower in connection with a sale of the common equity of the Borrower.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McGraw-Hill Financial, Inc., and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Safety Notices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6.23</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the Administrative Agent, the Lenders and the Indemnitees.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Transaction</w:t>
      </w:r>
      <w:r>
        <w:rPr>
          <w:rFonts w:ascii="Arial" w:cs="Arial" w:eastAsia="Arial" w:hAnsi="Arial"/>
          <w:sz w:val="16"/>
          <w:szCs w:val="16"/>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47"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means the security agreement dated as of the Funding Date executed in favor of the Administrative Agent, for the benefit of the Secured Parties, by each of the Loan Parties, as amended or modified from time to time in accordance with the terms hereof.</w:t>
      </w:r>
    </w:p>
    <w:p>
      <w:pPr>
        <w:sectPr>
          <w:pgSz w:w="11900" w:h="16953" w:orient="portrait"/>
          <w:cols w:equalWidth="0" w:num="1">
            <w:col w:w="11420"/>
          </w:cols>
          <w:pgMar w:left="240" w:top="125" w:right="239" w:bottom="0" w:gutter="0" w:footer="0" w:header="0"/>
        </w:sectPr>
      </w:pPr>
    </w:p>
    <w:bookmarkStart w:id="54" w:name="page55"/>
    <w:bookmarkEnd w:id="54"/>
    <w:p>
      <w:pPr>
        <w:ind w:right="2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or “</w:t>
      </w:r>
      <w:r>
        <w:rPr>
          <w:rFonts w:ascii="Arial" w:cs="Arial" w:eastAsia="Arial" w:hAnsi="Arial"/>
          <w:sz w:val="16"/>
          <w:szCs w:val="16"/>
          <w:u w:val="single" w:color="auto"/>
          <w:color w:val="auto"/>
        </w:rPr>
        <w:t>Solvency</w:t>
      </w:r>
      <w:r>
        <w:rPr>
          <w:rFonts w:ascii="Arial" w:cs="Arial" w:eastAsia="Arial" w:hAnsi="Arial"/>
          <w:sz w:val="16"/>
          <w:szCs w:val="16"/>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as such debts and liabilities mature in their ordinary course, (c) such Person is not engaged in a business or a transaction, and is not about to engage in a business or a transaction, for which such Person’s property would constitute unreasonably small capital after giving due consideration to the prevailing practice in the industry in which such Person is engaged or is to engage, (d) the fair value of the property of such Person is greater than the total amount of liabilities, including, without limitation, contingent liabilities, of such Person and</w:t>
      </w:r>
    </w:p>
    <w:p>
      <w:pPr>
        <w:spacing w:after="0" w:line="5" w:lineRule="exact"/>
        <w:rPr>
          <w:sz w:val="20"/>
          <w:szCs w:val="20"/>
          <w:color w:val="auto"/>
        </w:rPr>
      </w:pPr>
    </w:p>
    <w:p>
      <w:pPr>
        <w:jc w:val="both"/>
        <w:ind w:right="40" w:firstLine="8"/>
        <w:spacing w:after="0" w:line="254"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present fair salable value of the assets of such Person is not less than the amount that will be required to pay the probable liability of such Person on its debts as they become absolute and matured.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8.16(b)(i)</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means (a) any Acquisition, any Disposition, any sale, transfer or other disposition that results in a Person ceasing to be a Subsidiary, any Involuntary Disposition, or any Investment that results in a Person becoming a Subsidiary, in each case, whether by merger, consolidation or otherwise or (b) any other event that by the terms of the Loan Documents requires Pro Forma Compliance with a test or covenant, calculation as to Pro Forma Effect with respect to a test or covenant or requires such test or covenant to be calculated on a Pro Forma Basis.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8.16(b)(ii)</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182" w:lineRule="exact"/>
        <w:rPr>
          <w:sz w:val="20"/>
          <w:szCs w:val="20"/>
          <w:color w:val="auto"/>
        </w:rPr>
      </w:pPr>
    </w:p>
    <w:p>
      <w:pPr>
        <w:ind w:right="4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w:t>
      </w:r>
    </w:p>
    <w:p>
      <w:pPr>
        <w:ind w:right="160"/>
        <w:spacing w:after="0" w:line="290" w:lineRule="auto"/>
        <w:rPr>
          <w:sz w:val="20"/>
          <w:szCs w:val="20"/>
          <w:color w:val="auto"/>
        </w:rPr>
      </w:pPr>
      <w:r>
        <w:rPr>
          <w:rFonts w:ascii="Arial" w:cs="Arial" w:eastAsia="Arial" w:hAnsi="Arial"/>
          <w:sz w:val="17"/>
          <w:szCs w:val="17"/>
          <w:color w:val="auto"/>
        </w:rPr>
        <w:t>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Lease</w:t>
      </w:r>
      <w:r>
        <w:rPr>
          <w:rFonts w:ascii="Arial" w:cs="Arial" w:eastAsia="Arial" w:hAnsi="Arial"/>
          <w:sz w:val="18"/>
          <w:szCs w:val="18"/>
          <w:color w:val="auto"/>
        </w:rPr>
        <w:t>” means any synthetic lease, tax retention operating lease, off-balance sheet loan or similar off-balance sheet financing arrangement whereby the arrangement is considered borrowed money indebtedness for tax purposes but is classified as an operating lease or does not otherwise appear on a balance sheet under GAAP.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right="1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Borrowing</w:t>
      </w:r>
      <w:r>
        <w:rPr>
          <w:rFonts w:ascii="Arial" w:cs="Arial" w:eastAsia="Arial" w:hAnsi="Arial"/>
          <w:sz w:val="18"/>
          <w:szCs w:val="18"/>
          <w:color w:val="auto"/>
        </w:rPr>
        <w:t xml:space="preserve">” means a borrowing consisting of simultaneous Term A Loans made by each of the Term A Lenders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Commitment</w:t>
      </w:r>
      <w:r>
        <w:rPr>
          <w:rFonts w:ascii="Arial" w:cs="Arial" w:eastAsia="Arial" w:hAnsi="Arial"/>
          <w:sz w:val="18"/>
          <w:szCs w:val="18"/>
          <w:color w:val="auto"/>
        </w:rPr>
        <w:t xml:space="preserve">” means, as to each Term A Lender, its obligation to make a Term A Loan to the Borrower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in the principal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The aggregate principal amount of the Term A Commitments of all of the Term A Lenders as in effect on the Effective Date is TWENTY-FIVE MILLION DOLLARS ($25,000,000).</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Facility</w:t>
      </w:r>
      <w:r>
        <w:rPr>
          <w:rFonts w:ascii="Arial" w:cs="Arial" w:eastAsia="Arial" w:hAnsi="Arial"/>
          <w:sz w:val="18"/>
          <w:szCs w:val="18"/>
          <w:color w:val="auto"/>
        </w:rPr>
        <w:t>” means, at any time, (a) on or prior to the Funding Date, the aggregate amount of the Term A Commitments at such time and (b) thereafter, the aggregate principal amount of the Term A Loans of all Term A Lenders outstanding at such time.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Lender</w:t>
      </w:r>
      <w:r>
        <w:rPr>
          <w:rFonts w:ascii="Arial" w:cs="Arial" w:eastAsia="Arial" w:hAnsi="Arial"/>
          <w:sz w:val="18"/>
          <w:szCs w:val="18"/>
          <w:color w:val="auto"/>
        </w:rPr>
        <w:t>” means (a) at any time on or prior to the Funding Date, any Lender that has a Term A Commitment at such time and (b) at any time after the Funding Date, any Lender that holds one or more Term A Loans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Loan</w:t>
      </w:r>
      <w:r>
        <w:rPr>
          <w:rFonts w:ascii="Arial" w:cs="Arial" w:eastAsia="Arial" w:hAnsi="Arial"/>
          <w:sz w:val="18"/>
          <w:szCs w:val="18"/>
          <w:color w:val="auto"/>
        </w:rPr>
        <w:t>” means an advance made by any Term A Lender under the Term A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Note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2.09</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B Borrowing</w:t>
      </w:r>
      <w:r>
        <w:rPr>
          <w:rFonts w:ascii="Arial" w:cs="Arial" w:eastAsia="Arial" w:hAnsi="Arial"/>
          <w:sz w:val="16"/>
          <w:szCs w:val="16"/>
          <w:color w:val="auto"/>
        </w:rPr>
        <w:t xml:space="preserve">” means a borrowing consisting of simultaneous Term B Loans made by each of the Term B Lenders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w:t>
      </w:r>
    </w:p>
    <w:p>
      <w:pPr>
        <w:sectPr>
          <w:pgSz w:w="11900" w:h="16838" w:orient="portrait"/>
          <w:cols w:equalWidth="0" w:num="1">
            <w:col w:w="11420"/>
          </w:cols>
          <w:pgMar w:left="240" w:top="341" w:right="239" w:bottom="55" w:gutter="0" w:footer="0" w:header="0"/>
        </w:sectPr>
      </w:pPr>
    </w:p>
    <w:bookmarkStart w:id="55" w:name="page56"/>
    <w:bookmarkEnd w:id="55"/>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Commitment</w:t>
      </w:r>
      <w:r>
        <w:rPr>
          <w:rFonts w:ascii="Arial" w:cs="Arial" w:eastAsia="Arial" w:hAnsi="Arial"/>
          <w:sz w:val="18"/>
          <w:szCs w:val="18"/>
          <w:color w:val="auto"/>
        </w:rPr>
        <w:t xml:space="preserve">” means, as to each Lender, its obligation to make a Term B Loan to the Borrower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in the principal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The aggregate principal amount of the Term B Commitments of all of the Lenders as in effect on the Effective Date is FIFTEEN MILLION DOLLARS ($15,000,000.00).</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Facility</w:t>
      </w:r>
      <w:r>
        <w:rPr>
          <w:rFonts w:ascii="Arial" w:cs="Arial" w:eastAsia="Arial" w:hAnsi="Arial"/>
          <w:sz w:val="18"/>
          <w:szCs w:val="18"/>
          <w:color w:val="auto"/>
        </w:rPr>
        <w:t>” means, at any time, (a) on or prior to the Funding Date, the aggregate amount of the Term B Commitments at such time, (b) at any time during the Availability Period, the aggregate amount of the Term B Commitments at such time and (c) thereafter, the aggregate principal amount of the Term B Loans of all Term B Lenders outstanding at such time.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Lender</w:t>
      </w:r>
      <w:r>
        <w:rPr>
          <w:rFonts w:ascii="Arial" w:cs="Arial" w:eastAsia="Arial" w:hAnsi="Arial"/>
          <w:sz w:val="18"/>
          <w:szCs w:val="18"/>
          <w:color w:val="auto"/>
        </w:rPr>
        <w:t>” means (a) at any time on or prior to the Funding Date, any Lender that has a Term B Commitment at such time, (b) at any time during the Availability Period, any Lender that has a Term B Commitment at such time and (c) at any time after the Availability Period, any Lender that holds one or more Term B Loans at such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w:t>
      </w:r>
      <w:r>
        <w:rPr>
          <w:rFonts w:ascii="Arial" w:cs="Arial" w:eastAsia="Arial" w:hAnsi="Arial"/>
          <w:sz w:val="18"/>
          <w:szCs w:val="18"/>
          <w:color w:val="auto"/>
        </w:rPr>
        <w:t>” means an advance made by any Term B Lender under the Term B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Note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$350,000.</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means, as to any Lender at any time, the unused Commitments of such Lender at such time and the Outstanding Amount of all Loans of such Lender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w:t>
      </w:r>
      <w:r>
        <w:rPr>
          <w:rFonts w:ascii="Arial" w:cs="Arial" w:eastAsia="Arial" w:hAnsi="Arial"/>
          <w:sz w:val="18"/>
          <w:szCs w:val="18"/>
          <w:color w:val="auto"/>
        </w:rPr>
        <w:t>” means any agreement, written or oral, providing for the grant of any right to use any Trademark.</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all statutory and common-law trademarks, trade names, corporate names, company names, business names, fictitious business names, trade styles, service marks, logos and other source or business identifiers, and the goodwill associated therewith, now existing or hereafter adopted or acquired, all registrations and recordings thereof, and all applications to register in connection therewith, under the laws of the United States, any state thereof or any other country or any political subdivision thereof, or otherwise, for the full term and all renewals thereof, which are owned by the Borrower or any Subsidiary or which the Borrower or any Subsidiary is licensed, authorized or otherwise granted rights under or to.</w:t>
      </w:r>
    </w:p>
    <w:p>
      <w:pPr>
        <w:spacing w:after="0" w:line="17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Secrets</w:t>
      </w:r>
      <w:r>
        <w:rPr>
          <w:rFonts w:ascii="Arial" w:cs="Arial" w:eastAsia="Arial" w:hAnsi="Arial"/>
          <w:sz w:val="16"/>
          <w:szCs w:val="16"/>
          <w:color w:val="auto"/>
        </w:rPr>
        <w:t>” means any data or information that is not commonly known by or available to the public and which (a) derives economic value, actual or potential, from not being generally known to and not being readily ascertainable by proper means by other Persons who can obtain economic value from its disclosure or use, (b) is the subject of efforts that are reasonable under the circumstances to maintain its secrecy and (c) which are owned by the Borrower or any Subsidiary or which the Borrower or any Subsidiary is licensed, authorized or otherwise granted rights under or to.</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TRICARE</w:t>
      </w:r>
      <w:r>
        <w:rPr>
          <w:rFonts w:ascii="Arial" w:cs="Arial" w:eastAsia="Arial" w:hAnsi="Arial"/>
          <w:sz w:val="18"/>
          <w:szCs w:val="18"/>
          <w:color w:val="auto"/>
        </w:rPr>
        <w:t>” means the health care program of the United States Department of Defense Military Health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at any time, the aggregate cash and Cash Equivalents of the Loan Parties (without duplication) that are not Restricted at such time.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Websites</w:t>
      </w:r>
      <w:r>
        <w:rPr>
          <w:rFonts w:ascii="Arial" w:cs="Arial" w:eastAsia="Arial" w:hAnsi="Arial"/>
          <w:sz w:val="18"/>
          <w:szCs w:val="18"/>
          <w:color w:val="auto"/>
        </w:rPr>
        <w:t>” means all websites that the Borrower or any Subsidiary shall operate, manage or control through a Domain Name, whether on an exclusive basis or a nonexclusive basis, including, without limitation, all content, elements, data, information, materials, hypertext markup language (HTML), software and code, works of authorship, textual works, visual works, aural works, audiovisual works and functionality embodied in, published or available through each such website and all intellectual property and proprietary rights in each of the foregoing.</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Website Agreements</w:t>
      </w:r>
      <w:r>
        <w:rPr>
          <w:rFonts w:ascii="Arial" w:cs="Arial" w:eastAsia="Arial" w:hAnsi="Arial"/>
          <w:sz w:val="16"/>
          <w:szCs w:val="16"/>
          <w:color w:val="auto"/>
        </w:rPr>
        <w:t>” means all agreements between the Borrower and/or any Subsidiary and any other Person pursuant to which such Person provides any services relating to the hosting, design, operation, management or maintenance of any Website, including without limitation, all agreements with any Person providing website hosting, database management or maintenance or disaster recovery services to the Borrower and/or any Subsidiary and all agreements with any domain name registrar, as all such agreements may be amended, supplemented or otherwise modified from time to time.</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1"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 Owned Subsidiary</w:t>
      </w:r>
      <w:r>
        <w:rPr>
          <w:rFonts w:ascii="Arial" w:cs="Arial" w:eastAsia="Arial" w:hAnsi="Arial"/>
          <w:sz w:val="16"/>
          <w:szCs w:val="16"/>
          <w:color w:val="auto"/>
        </w:rPr>
        <w:t>” means, as to any Person, (a) any corporation one hundred percent (100%) of whose Equity Interests (other than directors’ qualifying shares or Equity Interests that are required to be held by another person in order to satisfy a foreign requirement of Law prescribing an equity owner resident in the local jurisdiction) is at the time owned by such Person and/or one or more Wholly Owned Subsidiaries of such Person and</w:t>
      </w:r>
    </w:p>
    <w:p>
      <w:pPr>
        <w:ind w:right="80" w:firstLine="8"/>
        <w:spacing w:after="0" w:line="302" w:lineRule="auto"/>
        <w:tabs>
          <w:tab w:leader="none" w:pos="2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partnership, association, joint venture, limited liability company or other entity in which such Person and/or one or more Wholly Owned Subsidiaries of such Person have a one hundred percent (100%) equity interest at such time. Unless otherwise specified, all references herein to a “Wholly Owned Subsidiary” or to “Wholly Owned Subsidiaries” shall refer to a Wholly Owned Subsidiary or Wholly Owned Subsidiaries of the Borrower.</w:t>
      </w:r>
    </w:p>
    <w:p>
      <w:pPr>
        <w:spacing w:after="0" w:line="15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Loan Party, the Administrative Agent and any other Person required by applicable Law to withhold or deduct amounts from a payment made by or on account of any obligation of any Loan Party under any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w:t>
      </w:r>
      <w:r>
        <w:rPr>
          <w:rFonts w:ascii="Arial" w:cs="Arial" w:eastAsia="Arial" w:hAnsi="Arial"/>
          <w:sz w:val="18"/>
          <w:szCs w:val="18"/>
          <w:color w:val="auto"/>
        </w:rPr>
        <w:t>” means any work or subject matter that is subject to protection pursuant to Title 17 of the United States Code.</w:t>
      </w:r>
    </w:p>
    <w:p>
      <w:pPr>
        <w:sectPr>
          <w:pgSz w:w="11900" w:h="16838" w:orient="portrait"/>
          <w:cols w:equalWidth="0" w:num="1">
            <w:col w:w="11400"/>
          </w:cols>
          <w:pgMar w:left="240" w:top="125" w:right="259" w:bottom="0" w:gutter="0" w:footer="0" w:header="0"/>
        </w:sectPr>
      </w:pPr>
    </w:p>
    <w:bookmarkStart w:id="56" w:name="page57"/>
    <w:bookmarkEnd w:id="56"/>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Other Interpretive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5"/>
        <w:spacing w:after="0" w:line="286" w:lineRule="auto"/>
        <w:tabs>
          <w:tab w:leader="none" w:pos="129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 extended, restated, replaced or supplemented from time to time (subject to any restrictions set forth herein or in any other Loan Document), (ii) any reference herein to any Person shall be construed to include such Person’s successors and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(iv) all references in any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extended, restated, replaced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real and personal property and tangible and intangible assets and properties, including cash, securities, accounts and contract rights.</w:t>
      </w:r>
    </w:p>
    <w:p>
      <w:pPr>
        <w:spacing w:after="0" w:line="168" w:lineRule="exact"/>
        <w:rPr>
          <w:rFonts w:ascii="Arial" w:cs="Arial" w:eastAsia="Arial" w:hAnsi="Arial"/>
          <w:sz w:val="16"/>
          <w:szCs w:val="16"/>
          <w:color w:val="auto"/>
        </w:rPr>
      </w:pPr>
    </w:p>
    <w:p>
      <w:pPr>
        <w:ind w:right="60" w:firstLine="645"/>
        <w:spacing w:after="0" w:line="277" w:lineRule="auto"/>
        <w:tabs>
          <w:tab w:leader="none" w:pos="13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“from and including;”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“to but excluding;”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“to and including.”</w:t>
      </w:r>
    </w:p>
    <w:p>
      <w:pPr>
        <w:spacing w:after="0" w:line="170" w:lineRule="exact"/>
        <w:rPr>
          <w:rFonts w:ascii="Arial" w:cs="Arial" w:eastAsia="Arial" w:hAnsi="Arial"/>
          <w:sz w:val="18"/>
          <w:szCs w:val="18"/>
          <w:color w:val="auto"/>
        </w:rPr>
      </w:pPr>
    </w:p>
    <w:p>
      <w:pPr>
        <w:ind w:right="180" w:firstLine="645"/>
        <w:spacing w:after="0" w:line="277"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Accounting Terms.</w:t>
      </w:r>
    </w:p>
    <w:p>
      <w:pPr>
        <w:spacing w:after="0" w:line="225" w:lineRule="exact"/>
        <w:rPr>
          <w:sz w:val="20"/>
          <w:szCs w:val="20"/>
          <w:color w:val="auto"/>
        </w:rPr>
      </w:pPr>
    </w:p>
    <w:p>
      <w:pPr>
        <w:ind w:firstLine="645"/>
        <w:spacing w:after="0" w:line="270" w:lineRule="auto"/>
        <w:tabs>
          <w:tab w:leader="none" w:pos="129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calculations of Attributable Indebtedness under any Synthetic Lease or the implied interest component of any Synthetic Lease shall be made by the Borrower in accordance with accepted financial practice and consistent with the terms of such Synthetic Lease. Notwithstanding the foregoing, for purposes of determining compliance with any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81" w:lineRule="exact"/>
        <w:rPr>
          <w:rFonts w:ascii="Arial" w:cs="Arial" w:eastAsia="Arial" w:hAnsi="Arial"/>
          <w:sz w:val="17"/>
          <w:szCs w:val="17"/>
          <w:color w:val="auto"/>
        </w:rPr>
      </w:pPr>
    </w:p>
    <w:p>
      <w:pPr>
        <w:ind w:right="100" w:firstLine="645"/>
        <w:spacing w:after="0" w:line="308" w:lineRule="auto"/>
        <w:tabs>
          <w:tab w:leader="none" w:pos="130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The Borrower will provide a written summary of material changes in GAAP and in the consistent application thereof with each annual and quarterly financial statement delivered in accordance with </w:t>
      </w:r>
      <w:r>
        <w:rPr>
          <w:rFonts w:ascii="Arial" w:cs="Arial" w:eastAsia="Arial" w:hAnsi="Arial"/>
          <w:sz w:val="17"/>
          <w:szCs w:val="17"/>
          <w:u w:val="single" w:color="auto"/>
          <w:color w:val="auto"/>
        </w:rPr>
        <w:t>Section 7.01</w:t>
      </w:r>
      <w:r>
        <w:rPr>
          <w:rFonts w:ascii="Arial" w:cs="Arial" w:eastAsia="Arial" w:hAnsi="Arial"/>
          <w:sz w:val="17"/>
          <w:szCs w:val="17"/>
          <w:color w:val="auto"/>
        </w:rPr>
        <w:t>. If at any time any change in</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GAAP would affect the computation of any financial requirement set forth in any Loan Document, and either the Borrower or the Required Lenders shall so request, the Administrative Agent, the Lenders and the Borrower shall negotiate in good faith to amend such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until so amended, (i) such requirement shall continue to be computed in accordance with GAAP prior to such change therein and (ii) the Borrower shall provide to the Administrative Agent and the Lenders financial statements and other documents required under this Agreement or as requested hereunder setting forth a reconciliation between calculations of such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82" w:lineRule="exact"/>
        <w:rPr>
          <w:sz w:val="20"/>
          <w:szCs w:val="20"/>
          <w:color w:val="auto"/>
        </w:rPr>
      </w:pPr>
    </w:p>
    <w:p>
      <w:pPr>
        <w:ind w:right="60" w:firstLine="645"/>
        <w:spacing w:after="0" w:line="259" w:lineRule="auto"/>
        <w:tabs>
          <w:tab w:leader="none" w:pos="130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Rate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was a Subsidiary as defined herein.</w:t>
      </w:r>
    </w:p>
    <w:p>
      <w:pPr>
        <w:spacing w:after="0" w:line="186" w:lineRule="exact"/>
        <w:rPr>
          <w:rFonts w:ascii="Arial" w:cs="Arial" w:eastAsia="Arial" w:hAnsi="Arial"/>
          <w:sz w:val="18"/>
          <w:szCs w:val="18"/>
          <w:color w:val="auto"/>
        </w:rPr>
      </w:pPr>
    </w:p>
    <w:p>
      <w:pPr>
        <w:ind w:right="140" w:firstLine="645"/>
        <w:spacing w:after="0" w:line="264" w:lineRule="auto"/>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Pro Forma Calculations</w:t>
      </w:r>
      <w:r>
        <w:rPr>
          <w:rFonts w:ascii="Arial" w:cs="Arial" w:eastAsia="Arial" w:hAnsi="Arial"/>
          <w:sz w:val="18"/>
          <w:szCs w:val="18"/>
          <w:color w:val="auto"/>
        </w:rPr>
        <w:t xml:space="preserve">. Notwithstanding anything to the contrary contained herein, all calculations of the financial covenant set forth in </w:t>
      </w:r>
      <w:r>
        <w:rPr>
          <w:rFonts w:ascii="Arial" w:cs="Arial" w:eastAsia="Arial" w:hAnsi="Arial"/>
          <w:sz w:val="18"/>
          <w:szCs w:val="18"/>
          <w:u w:val="single" w:color="auto"/>
          <w:color w:val="auto"/>
        </w:rPr>
        <w:t>Section 8.16(a)</w:t>
      </w:r>
      <w:r>
        <w:rPr>
          <w:rFonts w:ascii="Arial" w:cs="Arial" w:eastAsia="Arial" w:hAnsi="Arial"/>
          <w:sz w:val="18"/>
          <w:szCs w:val="18"/>
          <w:color w:val="auto"/>
        </w:rPr>
        <w:t xml:space="preserve"> shall be made on a Pro Forma Basis with respect to all Specified Transactions occurring during the applicable period to which such calculation relates.</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Times of Day.</w:t>
      </w:r>
    </w:p>
    <w:p>
      <w:pPr>
        <w:spacing w:after="0" w:line="225"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Unless otherwise specified, all references herein to times of day shall be references to Eastern time (daylight or standard, as applicable).</w:t>
      </w:r>
    </w:p>
    <w:p>
      <w:pPr>
        <w:spacing w:after="0" w:line="248"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THE COMMITMENTS</w:t>
      </w:r>
    </w:p>
    <w:p>
      <w:pPr>
        <w:sectPr>
          <w:pgSz w:w="11900" w:h="16838" w:orient="portrait"/>
          <w:cols w:equalWidth="0" w:num="1">
            <w:col w:w="10740"/>
          </w:cols>
          <w:pgMar w:left="900" w:top="125" w:right="259" w:bottom="0" w:gutter="0" w:footer="0" w:header="0"/>
        </w:sectPr>
      </w:pPr>
    </w:p>
    <w:bookmarkStart w:id="57" w:name="page58"/>
    <w:bookmarkEnd w:id="57"/>
    <w:p>
      <w:pPr>
        <w:spacing w:after="0" w:line="1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Commitments.</w:t>
      </w:r>
    </w:p>
    <w:p>
      <w:pPr>
        <w:spacing w:after="0" w:line="225" w:lineRule="exact"/>
        <w:rPr>
          <w:sz w:val="20"/>
          <w:szCs w:val="20"/>
          <w:color w:val="auto"/>
        </w:rPr>
      </w:pPr>
    </w:p>
    <w:p>
      <w:pPr>
        <w:ind w:right="60" w:firstLine="645"/>
        <w:spacing w:after="0" w:line="259" w:lineRule="auto"/>
        <w:tabs>
          <w:tab w:leader="none" w:pos="129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 A Borrowing</w:t>
      </w:r>
      <w:r>
        <w:rPr>
          <w:rFonts w:ascii="Arial" w:cs="Arial" w:eastAsia="Arial" w:hAnsi="Arial"/>
          <w:sz w:val="18"/>
          <w:szCs w:val="18"/>
          <w:color w:val="auto"/>
        </w:rPr>
        <w:t>. Subject to the terms and conditions set forth herein, each Term A Lender severally agrees to make a single loan to the Borrower, in Dollars, on the Funding Date in an aggregate amount not to exceed such Term A Lender’s Term A Commitment. The Term A Borrowing shall consist of Term A Loans made simultaneously by the Term A Lenders in accordance with their respective Term A Commitments. Term A Borrowings repaid or prepaid may not be reborrowed.</w:t>
      </w:r>
    </w:p>
    <w:p>
      <w:pPr>
        <w:spacing w:after="0" w:line="186" w:lineRule="exact"/>
        <w:rPr>
          <w:rFonts w:ascii="Arial" w:cs="Arial" w:eastAsia="Arial" w:hAnsi="Arial"/>
          <w:sz w:val="18"/>
          <w:szCs w:val="18"/>
          <w:color w:val="auto"/>
        </w:rPr>
      </w:pPr>
    </w:p>
    <w:p>
      <w:pPr>
        <w:jc w:val="both"/>
        <w:ind w:right="160" w:firstLine="645"/>
        <w:spacing w:after="0" w:line="279" w:lineRule="auto"/>
        <w:tabs>
          <w:tab w:leader="none" w:pos="1304"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Term B Borrowing</w:t>
      </w:r>
      <w:r>
        <w:rPr>
          <w:rFonts w:ascii="Arial" w:cs="Arial" w:eastAsia="Arial" w:hAnsi="Arial"/>
          <w:sz w:val="17"/>
          <w:szCs w:val="17"/>
          <w:color w:val="auto"/>
        </w:rPr>
        <w:t>. Subject to the terms and conditions set forth herein, each Term B Lender severally agrees to make a single loan to the Borrower, in Dollars, on any Business Day during the Availability Period, in an aggregate amount not to exceed such Term B Lender’s Term B Commitment. The Term B Borrowing shall consist of Term B Loans made simultaneously by the Term B Lenders in accordance with their respective Term B Commitments. Term B Borrowings repaid or prepaid may not be reborrowed.</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u w:val="single" w:color="auto"/>
          <w:color w:val="auto"/>
        </w:rPr>
        <w:t>Borrowings.</w:t>
      </w:r>
    </w:p>
    <w:p>
      <w:pPr>
        <w:spacing w:after="0" w:line="225" w:lineRule="exact"/>
        <w:rPr>
          <w:sz w:val="20"/>
          <w:szCs w:val="20"/>
          <w:color w:val="auto"/>
        </w:rPr>
      </w:pPr>
    </w:p>
    <w:p>
      <w:pPr>
        <w:ind w:right="40" w:firstLine="645"/>
        <w:spacing w:after="0" w:line="276" w:lineRule="auto"/>
        <w:tabs>
          <w:tab w:leader="none" w:pos="1294"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Borrowing shall be made upon the Borrower’s irrevocable notice (in the form of a written Loan Notice, appropriately completed and signed by a Responsible Officer of the Borrower) to the Administrative Agent, which must be given not later than 11:00 a.m. at least fifteen (15) Business Days (or such shorter period as may be agreed to by the Administrative Agent in its sole discretion) in advance of the requested date of any Borrowing. Each Loan Notice shall specify (i) the requested date of the Borrowing (which shall be a Business Day), (ii) the applicable Facility under which the Borrower is requesting a Borrowing and (iii) the principal amount of Loans to be borrowed.</w:t>
      </w:r>
    </w:p>
    <w:p>
      <w:pPr>
        <w:spacing w:after="0" w:line="172" w:lineRule="exact"/>
        <w:rPr>
          <w:rFonts w:ascii="Arial" w:cs="Arial" w:eastAsia="Arial" w:hAnsi="Arial"/>
          <w:sz w:val="17"/>
          <w:szCs w:val="17"/>
          <w:color w:val="auto"/>
        </w:rPr>
      </w:pPr>
    </w:p>
    <w:p>
      <w:pPr>
        <w:ind w:right="180" w:firstLine="645"/>
        <w:spacing w:after="0" w:line="255"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Following receipt of a Loan Notice for a Facility, the Administrative Agent shall promptly notify each Appropriate Lender of the amount of its Applicable Percentage under such Facility of the applicable Loans. Each Appropriate Lender shall make the amount of its Loan available to the Administrative Agent in immediately available funds at the Administrative Agent’s Office not later than 1:00 p.m. on the Business Day specified in the applicable Loan Notice. Upon satisfaction of the conditions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if such Borrowing is the initial Borrowing,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5.02</w:t>
      </w:r>
      <w:r>
        <w:rPr>
          <w:rFonts w:ascii="Arial" w:cs="Arial" w:eastAsia="Arial" w:hAnsi="Arial"/>
          <w:sz w:val="18"/>
          <w:szCs w:val="18"/>
          <w:color w:val="auto"/>
        </w:rPr>
        <w:t>), the Administrative Agent shall make all funds so received available to the Borrower in like funds as received by the Administrative Agent by wire transfer of such funds in accordance with instructions provided to (and acceptable to) the Administrative Agent by the Borrower.</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5"/>
          <w:szCs w:val="15"/>
          <w:u w:val="single" w:color="auto"/>
          <w:color w:val="auto"/>
        </w:rPr>
        <w:t>Prepayments.</w:t>
      </w:r>
    </w:p>
    <w:p>
      <w:pPr>
        <w:spacing w:after="0" w:line="225" w:lineRule="exact"/>
        <w:rPr>
          <w:sz w:val="20"/>
          <w:szCs w:val="20"/>
          <w:color w:val="auto"/>
        </w:rPr>
      </w:pPr>
    </w:p>
    <w:p>
      <w:pPr>
        <w:ind w:right="60" w:firstLine="645"/>
        <w:spacing w:after="0" w:line="286" w:lineRule="auto"/>
        <w:tabs>
          <w:tab w:leader="none" w:pos="1294"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Voluntary Prepayments</w:t>
      </w:r>
      <w:r>
        <w:rPr>
          <w:rFonts w:ascii="Arial" w:cs="Arial" w:eastAsia="Arial" w:hAnsi="Arial"/>
          <w:sz w:val="16"/>
          <w:szCs w:val="16"/>
          <w:color w:val="auto"/>
        </w:rPr>
        <w:t xml:space="preserve">. Subject to the payment of any prepayment premium as required under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and any other fees or amounts payable hereunder at such time, the Borrower may, upon notice from the Borrower to the Administrative Agent, voluntarily prepay the Loans,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 such notice must be received not later than 11:00 a.m. three (3) Business Days prior to the date of prepayment, (ii) any such prepayment shall only be made on an Interest Payment Date (it being understood that the requirement set forth in this sub-clause (ii) shall not be applicable to any voluntary prepayment in full of the aggregate Outstanding Amount of the Loans) and (iii) any such prepayment shall be in a principal amount of $5,000,000 or a whole multiple of $1,000,000 in excess thereof (or, if less,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 Any prepayment pursuant to this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shall be accompanied by (x) all accrued interest on the principal amount of the Loans prepaid, (y) the prepayment premium required under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and (z) all fees, costs, expenses, indemnities and other amounts due and payable hereunder at the time of prepayment.Each such prepayment shall be applied ratably to the Term A Facility and the Term B Facility and to the principal repayment installments thereof in the inverse order of maturity. Each such prepayment shall be applied to the Loans of the Lenders in accordance with their respective Applicable Percentages in respect of each of the relevant Facilities.</w:t>
      </w:r>
    </w:p>
    <w:p>
      <w:pPr>
        <w:spacing w:after="0" w:line="174" w:lineRule="exact"/>
        <w:rPr>
          <w:rFonts w:ascii="Arial" w:cs="Arial" w:eastAsia="Arial" w:hAnsi="Arial"/>
          <w:sz w:val="16"/>
          <w:szCs w:val="16"/>
          <w:color w:val="auto"/>
        </w:rPr>
      </w:pPr>
    </w:p>
    <w:p>
      <w:pPr>
        <w:ind w:left="1300" w:hanging="65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220" w:firstLine="653"/>
        <w:spacing w:after="0" w:line="264" w:lineRule="auto"/>
        <w:tabs>
          <w:tab w:leader="none" w:pos="1958"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Dispositions and Involuntary Dispositions</w:t>
      </w:r>
      <w:r>
        <w:rPr>
          <w:rFonts w:ascii="Arial" w:cs="Arial" w:eastAsia="Arial" w:hAnsi="Arial"/>
          <w:sz w:val="18"/>
          <w:szCs w:val="18"/>
          <w:color w:val="auto"/>
        </w:rPr>
        <w:t>. The Borrower shall promptly (and in any event, within three (3) Business Days) prepay the Loans in an aggregate amount equal to 100% of the Net Cash Proceeds of all Dispositions and Involuntary Dispositions received by any Loan Party or any Subsidiary to the extent such Net Cash</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 xml:space="preserve">Proceeds are not reinvested in Eligible Assets within one hundred and eighty (180) days of the date of such Disposition or Involuntary Disposition. Any prepayment pursuant to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shall be applied as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below.</w:t>
      </w:r>
    </w:p>
    <w:p>
      <w:pPr>
        <w:spacing w:after="0" w:line="170" w:lineRule="exact"/>
        <w:rPr>
          <w:sz w:val="20"/>
          <w:szCs w:val="20"/>
          <w:color w:val="auto"/>
        </w:rPr>
      </w:pPr>
    </w:p>
    <w:p>
      <w:pPr>
        <w:jc w:val="both"/>
        <w:ind w:left="700" w:right="80" w:firstLine="1940"/>
        <w:spacing w:after="0" w:line="312" w:lineRule="auto"/>
        <w:tabs>
          <w:tab w:leader="none" w:pos="3270" w:val="left"/>
        </w:tabs>
        <w:numPr>
          <w:ilvl w:val="2"/>
          <w:numId w:val="45"/>
        </w:numPr>
        <w:rPr>
          <w:rFonts w:ascii="Arial" w:cs="Arial" w:eastAsia="Arial" w:hAnsi="Arial"/>
          <w:sz w:val="16"/>
          <w:szCs w:val="16"/>
          <w:color w:val="auto"/>
        </w:rPr>
      </w:pPr>
      <w:r>
        <w:rPr>
          <w:rFonts w:ascii="Arial" w:cs="Arial" w:eastAsia="Arial" w:hAnsi="Arial"/>
          <w:sz w:val="16"/>
          <w:szCs w:val="16"/>
          <w:u w:val="single" w:color="auto"/>
          <w:color w:val="auto"/>
        </w:rPr>
        <w:t>Debt Issuance</w:t>
      </w:r>
      <w:r>
        <w:rPr>
          <w:rFonts w:ascii="Arial" w:cs="Arial" w:eastAsia="Arial" w:hAnsi="Arial"/>
          <w:sz w:val="16"/>
          <w:szCs w:val="16"/>
          <w:color w:val="auto"/>
        </w:rPr>
        <w:t xml:space="preserve">. The Borrower shall promptly (and, in any event, within three (3) Business Days) upon the receipt by any Loan Party or any Subsidiary of the Net Cash Proceeds of any Debt Issuance, prepay the Loans in an aggregate amount equal to 100% of such Net Cash Proceeds. Any prepayment pursuant to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be applied as set forth in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w:t>
      </w:r>
    </w:p>
    <w:p>
      <w:pPr>
        <w:spacing w:after="0" w:line="146" w:lineRule="exact"/>
        <w:rPr>
          <w:rFonts w:ascii="Arial" w:cs="Arial" w:eastAsia="Arial" w:hAnsi="Arial"/>
          <w:sz w:val="16"/>
          <w:szCs w:val="16"/>
          <w:color w:val="auto"/>
        </w:rPr>
      </w:pPr>
    </w:p>
    <w:p>
      <w:pPr>
        <w:ind w:left="640" w:right="120" w:firstLine="653"/>
        <w:spacing w:after="0" w:line="272" w:lineRule="auto"/>
        <w:tabs>
          <w:tab w:leader="none" w:pos="1977"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Application of Mandatory Prepayments</w:t>
      </w:r>
      <w:r>
        <w:rPr>
          <w:rFonts w:ascii="Arial" w:cs="Arial" w:eastAsia="Arial" w:hAnsi="Arial"/>
          <w:sz w:val="17"/>
          <w:szCs w:val="17"/>
          <w:color w:val="auto"/>
        </w:rPr>
        <w:t xml:space="preserve">. All payments under this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shall be applied first to all fees, costs, expenses, indemnities and other amounts due and payable hereunder, then proportionately (based on the relation of such amounts to the total amount of the relevant payment under this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to the payment or prepayment (as applicable) of the following amounts of the Loans: default interest, if any, prepayment premium required by </w:t>
      </w:r>
      <w:r>
        <w:rPr>
          <w:rFonts w:ascii="Arial" w:cs="Arial" w:eastAsia="Arial" w:hAnsi="Arial"/>
          <w:sz w:val="17"/>
          <w:szCs w:val="17"/>
          <w:u w:val="single" w:color="auto"/>
          <w:color w:val="auto"/>
        </w:rPr>
        <w:t>Section 2.03(e)</w:t>
      </w:r>
      <w:r>
        <w:rPr>
          <w:rFonts w:ascii="Arial" w:cs="Arial" w:eastAsia="Arial" w:hAnsi="Arial"/>
          <w:sz w:val="17"/>
          <w:szCs w:val="17"/>
          <w:color w:val="auto"/>
        </w:rPr>
        <w:t>, accrued interest and principal. Each such prepayment shall be applied ratably to the Term A Facility and the Term B Facility and to the principal repayment installments thereof in the inverse order of maturity. Each such prepayment shall be applied to the Loans of the Lenders in accordance with their respective Applicable Percentages in respect of each of the relevant Facilities.</w:t>
      </w:r>
    </w:p>
    <w:p>
      <w:pPr>
        <w:spacing w:after="0" w:line="177" w:lineRule="exact"/>
        <w:rPr>
          <w:rFonts w:ascii="Arial" w:cs="Arial" w:eastAsia="Arial" w:hAnsi="Arial"/>
          <w:sz w:val="17"/>
          <w:szCs w:val="17"/>
          <w:color w:val="auto"/>
        </w:rPr>
      </w:pPr>
    </w:p>
    <w:p>
      <w:pPr>
        <w:ind w:firstLine="645"/>
        <w:spacing w:after="0" w:line="312" w:lineRule="auto"/>
        <w:tabs>
          <w:tab w:leader="none" w:pos="130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Upon the occurrence of a Change of Control, the Borrower shall, at the direction of the Required Lenders (which such direction under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be made by the Required Lenders within thirty (30) days of the applicable Change of Control), and may, at its option upon three (3) Business Days’ prior written notice from the Borrower to the Administrative Agent, prepay the Outstanding Amount</w:t>
      </w:r>
    </w:p>
    <w:p>
      <w:pPr>
        <w:sectPr>
          <w:pgSz w:w="11900" w:h="16952" w:orient="portrait"/>
          <w:cols w:equalWidth="0" w:num="1">
            <w:col w:w="10760"/>
          </w:cols>
          <w:pgMar w:left="900" w:top="125" w:right="239" w:bottom="0" w:gutter="0" w:footer="0" w:header="0"/>
        </w:sectPr>
      </w:pPr>
    </w:p>
    <w:bookmarkStart w:id="58" w:name="page59"/>
    <w:bookmarkEnd w:id="58"/>
    <w:p>
      <w:pPr>
        <w:ind w:left="4" w:right="40"/>
        <w:spacing w:after="0" w:line="257" w:lineRule="auto"/>
        <w:rPr>
          <w:sz w:val="20"/>
          <w:szCs w:val="20"/>
          <w:color w:val="auto"/>
        </w:rPr>
      </w:pPr>
      <w:r>
        <w:rPr>
          <w:rFonts w:ascii="Arial" w:cs="Arial" w:eastAsia="Arial" w:hAnsi="Arial"/>
          <w:sz w:val="18"/>
          <w:szCs w:val="18"/>
          <w:color w:val="auto"/>
        </w:rPr>
        <w:t xml:space="preserve">of the Loans together with all accrued and unpaid interest thereon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prepayment premium required by </w:t>
      </w:r>
      <w:r>
        <w:rPr>
          <w:rFonts w:ascii="Arial" w:cs="Arial" w:eastAsia="Arial" w:hAnsi="Arial"/>
          <w:sz w:val="18"/>
          <w:szCs w:val="18"/>
          <w:u w:val="single" w:color="auto"/>
          <w:color w:val="auto"/>
        </w:rPr>
        <w:t>Section 2.03(e) plus</w:t>
      </w:r>
      <w:r>
        <w:rPr>
          <w:rFonts w:ascii="Arial" w:cs="Arial" w:eastAsia="Arial" w:hAnsi="Arial"/>
          <w:sz w:val="18"/>
          <w:szCs w:val="18"/>
          <w:color w:val="auto"/>
        </w:rPr>
        <w:t xml:space="preserve"> all other Obligations. Each such direction or notice shall specify the date and amount of such prepayment. If such notice is given by the Borrower, the Borrower shall make such prepayment and the payment amount specified in such notice shall be due and payable on the date specified therein. Each prepayment under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applied to the Loans of the Lenders in accordance with their respective Applicable Percentages in respect of each of the relevant Facilities.</w:t>
      </w:r>
    </w:p>
    <w:p>
      <w:pPr>
        <w:spacing w:after="0" w:line="188" w:lineRule="exact"/>
        <w:rPr>
          <w:sz w:val="20"/>
          <w:szCs w:val="20"/>
          <w:color w:val="auto"/>
        </w:rPr>
      </w:pPr>
    </w:p>
    <w:p>
      <w:pPr>
        <w:ind w:left="4" w:right="20" w:firstLine="645"/>
        <w:spacing w:after="0" w:line="255" w:lineRule="auto"/>
        <w:tabs>
          <w:tab w:leader="none" w:pos="130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Applicable High Yield Discount Obligation Payments</w:t>
      </w:r>
      <w:r>
        <w:rPr>
          <w:rFonts w:ascii="Arial" w:cs="Arial" w:eastAsia="Arial" w:hAnsi="Arial"/>
          <w:sz w:val="17"/>
          <w:szCs w:val="17"/>
          <w:color w:val="auto"/>
        </w:rPr>
        <w:t>. On any Interest Payment Date following the fifth (5</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 Funding Date, if the aggregate amounts which would be includible in gross income of the Lenders with respect to the Loans for all periods ending on or before such Interest Payment Date (within the meaning of section 163(i) of the Internal Revenue Code) (the “</w:t>
      </w:r>
      <w:r>
        <w:rPr>
          <w:rFonts w:ascii="Arial" w:cs="Arial" w:eastAsia="Arial" w:hAnsi="Arial"/>
          <w:sz w:val="17"/>
          <w:szCs w:val="17"/>
          <w:u w:val="single" w:color="auto"/>
          <w:color w:val="auto"/>
        </w:rPr>
        <w:t>Aggregate Accrual</w:t>
      </w:r>
      <w:r>
        <w:rPr>
          <w:rFonts w:ascii="Arial" w:cs="Arial" w:eastAsia="Arial" w:hAnsi="Arial"/>
          <w:sz w:val="17"/>
          <w:szCs w:val="17"/>
          <w:color w:val="auto"/>
        </w:rPr>
        <w:t xml:space="preserve">”) would exceed an amount equal to the sum of (x) the aggregate amount of interest to be paid (within the meaning of section 163(i) of the Internal Revenue Code) on the Loans on or before such Interest Payment Date (determined without regard to the amounts payable on such Interest Payment Date under this </w:t>
      </w:r>
      <w:r>
        <w:rPr>
          <w:rFonts w:ascii="Arial" w:cs="Arial" w:eastAsia="Arial" w:hAnsi="Arial"/>
          <w:sz w:val="17"/>
          <w:szCs w:val="17"/>
          <w:u w:val="single" w:color="auto"/>
          <w:color w:val="auto"/>
        </w:rPr>
        <w:t>Section 2.03(d)</w:t>
      </w:r>
      <w:r>
        <w:rPr>
          <w:rFonts w:ascii="Arial" w:cs="Arial" w:eastAsia="Arial" w:hAnsi="Arial"/>
          <w:sz w:val="17"/>
          <w:szCs w:val="17"/>
          <w:color w:val="auto"/>
        </w:rPr>
        <w:t>) and (y) the product of (A) the issue price (as defined in sections 1273(b) and 1274(a) of the Internal Revenue Code) of the Loans and (B) the yield to maturity (interpreted in accordance with section 163(i) of the Internal Revenue Code) of the Loans (such sum, the “</w:t>
      </w:r>
      <w:r>
        <w:rPr>
          <w:rFonts w:ascii="Arial" w:cs="Arial" w:eastAsia="Arial" w:hAnsi="Arial"/>
          <w:sz w:val="17"/>
          <w:szCs w:val="17"/>
          <w:u w:val="single" w:color="auto"/>
          <w:color w:val="auto"/>
        </w:rPr>
        <w:t>Maximum</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Accrual</w:t>
      </w:r>
      <w:r>
        <w:rPr>
          <w:rFonts w:ascii="Arial" w:cs="Arial" w:eastAsia="Arial" w:hAnsi="Arial"/>
          <w:sz w:val="17"/>
          <w:szCs w:val="17"/>
          <w:color w:val="auto"/>
        </w:rPr>
        <w:t>”), then the Borrower shall mandatorily pay to the Lenders ratably in cash, on each Interest Payment Date following the fifth (5</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 Funding Date, an amount equal to the excess, if any, of the Aggregate Accrual over the Maximum Accrual and the amount of such payment shall be treated for purposes of section 163(i) of the Internal Revenue Code as interest paid under the Loans. Notwithstanding anything to the contrary contained herein, all such payments shall be made to the Lenders on an equal and ratable basis. Each such prepayment shall be applied to the</w:t>
      </w:r>
    </w:p>
    <w:p>
      <w:pPr>
        <w:spacing w:after="0" w:line="19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Loans of the Lenders in accordance with the respective Applicable Percentages </w:t>
      </w:r>
      <w:r>
        <w:rPr>
          <w:rFonts w:ascii="Arial" w:cs="Arial" w:eastAsia="Arial" w:hAnsi="Arial"/>
          <w:sz w:val="17"/>
          <w:szCs w:val="17"/>
          <w:color w:val="auto"/>
        </w:rPr>
        <w:t>in respect of each of the relevant Facilities.</w:t>
      </w:r>
    </w:p>
    <w:p>
      <w:pPr>
        <w:spacing w:after="0" w:line="225" w:lineRule="exact"/>
        <w:rPr>
          <w:sz w:val="20"/>
          <w:szCs w:val="20"/>
          <w:color w:val="auto"/>
        </w:rPr>
      </w:pPr>
    </w:p>
    <w:p>
      <w:pPr>
        <w:jc w:val="both"/>
        <w:ind w:left="4" w:right="140" w:firstLine="645"/>
        <w:spacing w:after="0" w:line="288" w:lineRule="auto"/>
        <w:tabs>
          <w:tab w:leader="none" w:pos="1311"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Prepayment Premiums</w:t>
      </w:r>
      <w:r>
        <w:rPr>
          <w:rFonts w:ascii="Arial" w:cs="Arial" w:eastAsia="Arial" w:hAnsi="Arial"/>
          <w:sz w:val="16"/>
          <w:szCs w:val="16"/>
          <w:color w:val="auto"/>
        </w:rPr>
        <w:t xml:space="preserve">. If all or any portion of the Loans are prepaid, or required to be prepaid,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otherwise, then, in all cases, the Borrower shall pay to the Lenders, for their respective ratable accounts, on the date on which such prepayment is paid or required to be paid, in addition to the other Obligations so prepaid or required to be prepaid, a prepayment premium equal to:</w:t>
      </w:r>
    </w:p>
    <w:p>
      <w:pPr>
        <w:ind w:left="4" w:right="360" w:hanging="4"/>
        <w:spacing w:after="0" w:line="281" w:lineRule="auto"/>
        <w:tabs>
          <w:tab w:leader="none" w:pos="219" w:val="left"/>
        </w:tabs>
        <w:numPr>
          <w:ilvl w:val="0"/>
          <w:numId w:val="50"/>
        </w:numPr>
        <w:rPr>
          <w:rFonts w:ascii="Arial" w:cs="Arial" w:eastAsia="Arial" w:hAnsi="Arial"/>
          <w:sz w:val="16"/>
          <w:szCs w:val="16"/>
          <w:color w:val="auto"/>
        </w:rPr>
      </w:pPr>
      <w:r>
        <w:rPr>
          <w:rFonts w:ascii="Arial" w:cs="Arial" w:eastAsia="Arial" w:hAnsi="Arial"/>
          <w:sz w:val="16"/>
          <w:szCs w:val="16"/>
          <w:color w:val="auto"/>
        </w:rPr>
        <w:t>with respect to any prepayment paid or required to be paid on or prior to March 31, 2018, the Make-Whole Amount with respect to such prepayment, (ii) with respect to any prepayment paid or required to be paid after March 31, 2018 but on or prior to March 31, 2019, four percent</w:t>
      </w:r>
    </w:p>
    <w:p>
      <w:pPr>
        <w:spacing w:after="0" w:line="1" w:lineRule="exact"/>
        <w:rPr>
          <w:rFonts w:ascii="Arial" w:cs="Arial" w:eastAsia="Arial" w:hAnsi="Arial"/>
          <w:sz w:val="16"/>
          <w:szCs w:val="16"/>
          <w:color w:val="auto"/>
        </w:rPr>
      </w:pPr>
    </w:p>
    <w:p>
      <w:pPr>
        <w:ind w:left="4" w:right="200"/>
        <w:spacing w:after="0" w:line="281" w:lineRule="auto"/>
        <w:rPr>
          <w:rFonts w:ascii="Arial" w:cs="Arial" w:eastAsia="Arial" w:hAnsi="Arial"/>
          <w:sz w:val="16"/>
          <w:szCs w:val="16"/>
          <w:color w:val="auto"/>
        </w:rPr>
      </w:pPr>
      <w:r>
        <w:rPr>
          <w:rFonts w:ascii="Arial" w:cs="Arial" w:eastAsia="Arial" w:hAnsi="Arial"/>
          <w:sz w:val="16"/>
          <w:szCs w:val="16"/>
          <w:color w:val="auto"/>
        </w:rPr>
        <w:t>(4.0%) of the principal amount of the Loans prepaid or required to be prepaid, (iii) with respect to any prepayment paid or required to be paid after March 31, 2019 but on or prior to March 31, 2020, two percent (2.0%) of the principal amount of the Loans prepaid or required to be prepaid,</w:t>
      </w:r>
    </w:p>
    <w:p>
      <w:pPr>
        <w:spacing w:after="0" w:line="1" w:lineRule="exact"/>
        <w:rPr>
          <w:rFonts w:ascii="Arial" w:cs="Arial" w:eastAsia="Arial" w:hAnsi="Arial"/>
          <w:sz w:val="16"/>
          <w:szCs w:val="16"/>
          <w:color w:val="auto"/>
        </w:rPr>
      </w:pPr>
    </w:p>
    <w:p>
      <w:pPr>
        <w:ind w:left="4" w:right="80" w:hanging="4"/>
        <w:spacing w:after="0" w:line="281" w:lineRule="auto"/>
        <w:tabs>
          <w:tab w:leader="none" w:pos="30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with respect to any prepayment paid or required to be paid after March 31, 2020 but on or prior to March 31, 2021, one percent (1.0%) of the principal amount of the Loans prepaid or required to be prepaid and (v) with respect to any prepayment thereafter, zero percent (0.0%) of the principal amount of the Loans prepaid or required to be prepaid. Notwithstanding the foregoing, or anything to the contrary set forth in this Agreement, to the extent that all or any portion of the Loans outstanding on any date are refinanced (whether through an amendment to this Agreement or otherwise) by new credit extensions advanced by one or more of the Lenders to the Borrower on such date, no prepayment premium shall be payable pursuant to this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with respect to the portion of the Loans so refinanced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 no Default or Event of Default shall have occurred and be continuing as of such date, (y) the Loan Parties shall have been in compliance with</w:t>
      </w:r>
    </w:p>
    <w:p>
      <w:pPr>
        <w:spacing w:after="0" w:line="4" w:lineRule="exact"/>
        <w:rPr>
          <w:rFonts w:ascii="Arial" w:cs="Arial" w:eastAsia="Arial" w:hAnsi="Arial"/>
          <w:sz w:val="16"/>
          <w:szCs w:val="16"/>
          <w:color w:val="auto"/>
        </w:rPr>
      </w:pPr>
    </w:p>
    <w:p>
      <w:pPr>
        <w:ind w:left="4" w:right="8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8.16(a)</w:t>
      </w:r>
      <w:r>
        <w:rPr>
          <w:rFonts w:ascii="Arial" w:cs="Arial" w:eastAsia="Arial" w:hAnsi="Arial"/>
          <w:sz w:val="18"/>
          <w:szCs w:val="18"/>
          <w:color w:val="auto"/>
        </w:rPr>
        <w:t xml:space="preserve"> (without giving effect to any exercise of a Cure Right pursuant to </w:t>
      </w:r>
      <w:r>
        <w:rPr>
          <w:rFonts w:ascii="Arial" w:cs="Arial" w:eastAsia="Arial" w:hAnsi="Arial"/>
          <w:sz w:val="18"/>
          <w:szCs w:val="18"/>
          <w:u w:val="single" w:color="auto"/>
          <w:color w:val="auto"/>
        </w:rPr>
        <w:t>Section 8.16(b)</w:t>
      </w:r>
      <w:r>
        <w:rPr>
          <w:rFonts w:ascii="Arial" w:cs="Arial" w:eastAsia="Arial" w:hAnsi="Arial"/>
          <w:sz w:val="18"/>
          <w:szCs w:val="18"/>
          <w:color w:val="auto"/>
        </w:rPr>
        <w:t>) for each four (4) consecutive fiscal quarter period ending after the Funding Date but on or prior to such date of refinancing and (z) the aggregate principal amount of such refinancing is at least $40,000,000.</w:t>
      </w:r>
    </w:p>
    <w:p>
      <w:pPr>
        <w:spacing w:after="0" w:line="190" w:lineRule="exact"/>
        <w:rPr>
          <w:sz w:val="20"/>
          <w:szCs w:val="20"/>
          <w:color w:val="auto"/>
        </w:rPr>
      </w:pPr>
    </w:p>
    <w:p>
      <w:pPr>
        <w:ind w:left="4"/>
        <w:spacing w:after="0"/>
        <w:tabs>
          <w:tab w:leader="none" w:pos="623"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Termination or Reduction of Commitments.</w:t>
      </w:r>
    </w:p>
    <w:p>
      <w:pPr>
        <w:spacing w:after="0" w:line="225" w:lineRule="exact"/>
        <w:rPr>
          <w:sz w:val="20"/>
          <w:szCs w:val="20"/>
          <w:color w:val="auto"/>
        </w:rPr>
      </w:pPr>
    </w:p>
    <w:p>
      <w:pPr>
        <w:ind w:left="4" w:right="80" w:firstLine="645"/>
        <w:spacing w:after="0" w:line="291" w:lineRule="auto"/>
        <w:tabs>
          <w:tab w:leader="none" w:pos="1297"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Voluntary</w:t>
      </w:r>
      <w:r>
        <w:rPr>
          <w:rFonts w:ascii="Arial" w:cs="Arial" w:eastAsia="Arial" w:hAnsi="Arial"/>
          <w:sz w:val="16"/>
          <w:szCs w:val="16"/>
          <w:color w:val="auto"/>
        </w:rPr>
        <w:t xml:space="preserve">. The Borrower may, upon notice to the Administrative Agent during the Availability Period applicable thereto, terminate in full the Commitments under any Facility, or from time to time permanently reduce the Commitments under any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w:t>
      </w:r>
    </w:p>
    <w:p>
      <w:pPr>
        <w:ind w:left="4" w:right="140" w:hanging="4"/>
        <w:spacing w:after="0" w:line="254" w:lineRule="auto"/>
        <w:tabs>
          <w:tab w:leader="none" w:pos="2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such notice shall be received by the Administrative Agent not later than 11:00 a.m. five (5) Business Days prior to the date of termination or reduction and (ii) any such partial reduction shall be in an aggregate amount of $5,000,000 or any whole multiple of $1,000,000 in excess thereof. Upon any termination or reduction of the Commitments under a Facility, the Commitments of each Appropriate Lender shall be reduced by such Lender’s Applicable Percentage of such reduction amount.</w:t>
      </w:r>
    </w:p>
    <w:p>
      <w:pPr>
        <w:spacing w:after="0" w:line="189" w:lineRule="exact"/>
        <w:rPr>
          <w:rFonts w:ascii="Arial" w:cs="Arial" w:eastAsia="Arial" w:hAnsi="Arial"/>
          <w:sz w:val="18"/>
          <w:szCs w:val="18"/>
          <w:color w:val="auto"/>
        </w:rPr>
      </w:pPr>
    </w:p>
    <w:p>
      <w:pPr>
        <w:ind w:left="4" w:right="620" w:firstLine="645"/>
        <w:spacing w:after="0" w:line="286" w:lineRule="auto"/>
        <w:tabs>
          <w:tab w:leader="none" w:pos="1308"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Mandatory</w:t>
      </w:r>
      <w:r>
        <w:rPr>
          <w:rFonts w:ascii="Arial" w:cs="Arial" w:eastAsia="Arial" w:hAnsi="Arial"/>
          <w:sz w:val="17"/>
          <w:szCs w:val="17"/>
          <w:color w:val="auto"/>
        </w:rPr>
        <w:t xml:space="preserve">. The Commitments under a Facility shall be automatically and permanently reduced to zero on the date of the Borrowing under such Facility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Upon any reduction of the Commitments under a Facility, the Commitments of each Appropriate Lender shall be reduced by such Lender’s Applicable Percentage of such reduction amount.</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tabs>
          <w:tab w:leader="none" w:pos="623"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u w:val="single" w:color="auto"/>
          <w:color w:val="auto"/>
        </w:rPr>
        <w:t>Repayment of Loans.</w:t>
      </w:r>
    </w:p>
    <w:p>
      <w:pPr>
        <w:spacing w:after="0" w:line="225" w:lineRule="exact"/>
        <w:rPr>
          <w:sz w:val="20"/>
          <w:szCs w:val="20"/>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 A Facility</w:t>
      </w:r>
      <w:r>
        <w:rPr>
          <w:rFonts w:ascii="Arial" w:cs="Arial" w:eastAsia="Arial" w:hAnsi="Arial"/>
          <w:sz w:val="18"/>
          <w:szCs w:val="18"/>
          <w:color w:val="auto"/>
        </w:rPr>
        <w:t>.</w:t>
      </w:r>
    </w:p>
    <w:p>
      <w:pPr>
        <w:spacing w:after="0" w:line="225" w:lineRule="exact"/>
        <w:rPr>
          <w:sz w:val="20"/>
          <w:szCs w:val="20"/>
          <w:color w:val="auto"/>
        </w:rPr>
      </w:pPr>
    </w:p>
    <w:p>
      <w:pPr>
        <w:ind w:left="4" w:firstLine="648"/>
        <w:spacing w:after="0" w:line="264" w:lineRule="auto"/>
        <w:rPr>
          <w:sz w:val="20"/>
          <w:szCs w:val="20"/>
          <w:color w:val="auto"/>
        </w:rPr>
      </w:pPr>
      <w:r>
        <w:rPr>
          <w:rFonts w:ascii="Arial" w:cs="Arial" w:eastAsia="Arial" w:hAnsi="Arial"/>
          <w:sz w:val="18"/>
          <w:szCs w:val="18"/>
          <w:color w:val="auto"/>
        </w:rPr>
        <w:t xml:space="preserve">The Borrower shall repay the outstanding principal amount of the Term A Loans in installments on the dates set forth below, in each case, in the respective amounts set forth in the table below (which amounts shall be reduced as a result of the application of prepayments in accordance with the order of priority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unless accelerated sooner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60" w:lineRule="exact"/>
        <w:rPr>
          <w:sz w:val="20"/>
          <w:szCs w:val="20"/>
          <w:color w:val="auto"/>
        </w:rPr>
      </w:pPr>
    </w:p>
    <w:tbl>
      <w:tblPr>
        <w:tblLayout w:type="fixed"/>
        <w:tblInd w:w="964"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Amortization Payment (% of</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Dates</w:t>
            </w:r>
          </w:p>
        </w:tc>
        <w:tc>
          <w:tcPr>
            <w:tcW w:w="4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 Term A Facility</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on March 31, 2020)</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30, 2020</w:t>
            </w:r>
          </w:p>
        </w:tc>
        <w:tc>
          <w:tcPr>
            <w:tcW w:w="2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 2020</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31, 2020</w:t>
            </w:r>
          </w:p>
        </w:tc>
        <w:tc>
          <w:tcPr>
            <w:tcW w:w="4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March 31, 2021</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June 30, 2021</w:t>
            </w:r>
          </w:p>
        </w:tc>
        <w:tc>
          <w:tcPr>
            <w:tcW w:w="4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bl>
    <w:p>
      <w:pPr>
        <w:sectPr>
          <w:pgSz w:w="11900" w:h="16838" w:orient="portrait"/>
          <w:cols w:equalWidth="0" w:num="1">
            <w:col w:w="10764"/>
          </w:cols>
          <w:pgMar w:left="896" w:top="125" w:right="239" w:bottom="0" w:gutter="0" w:footer="0" w:header="0"/>
        </w:sectPr>
      </w:pPr>
    </w:p>
    <w:bookmarkStart w:id="59" w:name="page60"/>
    <w:bookmarkEnd w:id="59"/>
    <w:p>
      <w:pPr>
        <w:spacing w:after="0" w:line="1" w:lineRule="exact"/>
        <w:rPr>
          <w:sz w:val="20"/>
          <w:szCs w:val="20"/>
          <w:color w:val="auto"/>
        </w:rPr>
      </w:pPr>
    </w:p>
    <w:tbl>
      <w:tblPr>
        <w:tblLayout w:type="fixed"/>
        <w:tblInd w:w="964" w:type="dxa"/>
        <w:tblCellMar>
          <w:top w:w="0" w:type="dxa"/>
          <w:left w:w="0" w:type="dxa"/>
          <w:bottom w:w="0" w:type="dxa"/>
          <w:right w:w="0" w:type="dxa"/>
        </w:tblCellMar>
      </w:tblPr>
      <w:tr>
        <w:trPr>
          <w:trHeight w:val="230"/>
        </w:trPr>
        <w:tc>
          <w:tcPr>
            <w:tcW w:w="2960" w:type="dxa"/>
            <w:vAlign w:val="bottom"/>
          </w:tcPr>
          <w:p>
            <w:pPr>
              <w:jc w:val="center"/>
              <w:ind w:right="430"/>
              <w:spacing w:after="0"/>
              <w:rPr>
                <w:sz w:val="20"/>
                <w:szCs w:val="20"/>
                <w:color w:val="auto"/>
              </w:rPr>
            </w:pPr>
            <w:r>
              <w:rPr>
                <w:rFonts w:ascii="Arial" w:cs="Arial" w:eastAsia="Arial" w:hAnsi="Arial"/>
                <w:sz w:val="18"/>
                <w:szCs w:val="18"/>
                <w:color w:val="auto"/>
                <w:w w:val="88"/>
              </w:rPr>
              <w:t>September 30, 2021</w:t>
            </w:r>
          </w:p>
        </w:tc>
        <w:tc>
          <w:tcPr>
            <w:tcW w:w="4580" w:type="dxa"/>
            <w:vAlign w:val="bottom"/>
          </w:tcPr>
          <w:p>
            <w:pPr>
              <w:jc w:val="center"/>
              <w:ind w:right="250"/>
              <w:spacing w:after="0"/>
              <w:rPr>
                <w:sz w:val="20"/>
                <w:szCs w:val="20"/>
                <w:color w:val="auto"/>
              </w:rPr>
            </w:pPr>
            <w:r>
              <w:rPr>
                <w:rFonts w:ascii="Arial" w:cs="Arial" w:eastAsia="Arial" w:hAnsi="Arial"/>
                <w:sz w:val="18"/>
                <w:szCs w:val="18"/>
                <w:color w:val="auto"/>
                <w:w w:val="91"/>
              </w:rPr>
              <w:t>12.50%</w:t>
            </w:r>
          </w:p>
        </w:tc>
      </w:tr>
      <w:tr>
        <w:trPr>
          <w:trHeight w:val="216"/>
        </w:trPr>
        <w:tc>
          <w:tcPr>
            <w:tcW w:w="2960" w:type="dxa"/>
            <w:vAlign w:val="bottom"/>
            <w:shd w:val="clear" w:color="auto" w:fill="CCEEFF"/>
          </w:tcPr>
          <w:p>
            <w:pPr>
              <w:jc w:val="center"/>
              <w:ind w:right="430"/>
              <w:spacing w:after="0"/>
              <w:rPr>
                <w:sz w:val="20"/>
                <w:szCs w:val="20"/>
                <w:color w:val="auto"/>
              </w:rPr>
            </w:pPr>
            <w:r>
              <w:rPr>
                <w:rFonts w:ascii="Arial" w:cs="Arial" w:eastAsia="Arial" w:hAnsi="Arial"/>
                <w:sz w:val="18"/>
                <w:szCs w:val="18"/>
                <w:color w:val="auto"/>
                <w:w w:val="88"/>
              </w:rPr>
              <w:t>December 31, 2021</w:t>
            </w:r>
          </w:p>
        </w:tc>
        <w:tc>
          <w:tcPr>
            <w:tcW w:w="458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1"/>
              </w:rPr>
              <w:t>12.50%</w:t>
            </w:r>
          </w:p>
        </w:tc>
      </w:tr>
      <w:tr>
        <w:trPr>
          <w:trHeight w:val="202"/>
        </w:trPr>
        <w:tc>
          <w:tcPr>
            <w:tcW w:w="2960" w:type="dxa"/>
            <w:vAlign w:val="bottom"/>
          </w:tcPr>
          <w:p>
            <w:pPr>
              <w:jc w:val="center"/>
              <w:ind w:right="430"/>
              <w:spacing w:after="0" w:line="201" w:lineRule="exact"/>
              <w:rPr>
                <w:sz w:val="20"/>
                <w:szCs w:val="20"/>
                <w:color w:val="auto"/>
              </w:rPr>
            </w:pPr>
            <w:r>
              <w:rPr>
                <w:rFonts w:ascii="Arial" w:cs="Arial" w:eastAsia="Arial" w:hAnsi="Arial"/>
                <w:sz w:val="18"/>
                <w:szCs w:val="18"/>
                <w:color w:val="auto"/>
                <w:w w:val="93"/>
              </w:rPr>
              <w:t>Maturity Date</w:t>
            </w:r>
          </w:p>
        </w:tc>
        <w:tc>
          <w:tcPr>
            <w:tcW w:w="4580" w:type="dxa"/>
            <w:vAlign w:val="bottom"/>
          </w:tcPr>
          <w:p>
            <w:pPr>
              <w:jc w:val="center"/>
              <w:ind w:right="250"/>
              <w:spacing w:after="0" w:line="201" w:lineRule="exact"/>
              <w:rPr>
                <w:sz w:val="20"/>
                <w:szCs w:val="20"/>
                <w:color w:val="auto"/>
              </w:rPr>
            </w:pPr>
            <w:r>
              <w:rPr>
                <w:rFonts w:ascii="Arial" w:cs="Arial" w:eastAsia="Arial" w:hAnsi="Arial"/>
                <w:sz w:val="18"/>
                <w:szCs w:val="18"/>
                <w:color w:val="auto"/>
                <w:w w:val="91"/>
              </w:rPr>
              <w:t>Outstanding Principal Balance</w:t>
            </w:r>
          </w:p>
        </w:tc>
      </w:tr>
      <w:tr>
        <w:trPr>
          <w:trHeight w:val="230"/>
        </w:trPr>
        <w:tc>
          <w:tcPr>
            <w:tcW w:w="2960" w:type="dxa"/>
            <w:vAlign w:val="bottom"/>
          </w:tcPr>
          <w:p>
            <w:pPr>
              <w:spacing w:after="0"/>
              <w:rPr>
                <w:sz w:val="20"/>
                <w:szCs w:val="20"/>
                <w:color w:val="auto"/>
              </w:rPr>
            </w:pPr>
          </w:p>
        </w:tc>
        <w:tc>
          <w:tcPr>
            <w:tcW w:w="4580" w:type="dxa"/>
            <w:vAlign w:val="bottom"/>
          </w:tcPr>
          <w:p>
            <w:pPr>
              <w:jc w:val="center"/>
              <w:ind w:right="230"/>
              <w:spacing w:after="0"/>
              <w:rPr>
                <w:sz w:val="20"/>
                <w:szCs w:val="20"/>
                <w:color w:val="auto"/>
              </w:rPr>
            </w:pPr>
            <w:r>
              <w:rPr>
                <w:rFonts w:ascii="Arial" w:cs="Arial" w:eastAsia="Arial" w:hAnsi="Arial"/>
                <w:sz w:val="18"/>
                <w:szCs w:val="18"/>
                <w:color w:val="auto"/>
                <w:w w:val="91"/>
              </w:rPr>
              <w:t>of Term A Loans</w:t>
            </w:r>
          </w:p>
        </w:tc>
      </w:tr>
    </w:tbl>
    <w:p>
      <w:pPr>
        <w:spacing w:after="0" w:line="202"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 the final principal repayment installment of the Term A Loans shall be repaid on the Maturity Date and in any event shall be in an amount equal to the aggregate principal amount of all Term A Loans outstanding on such date and (y) if any principal repayment installment to be made by the Borrower shall come due on a day other than a Business Day, such principal repayment installment shall be due on the first immediately preceding Business Day.</w:t>
      </w:r>
    </w:p>
    <w:p>
      <w:pPr>
        <w:spacing w:after="0" w:line="187" w:lineRule="exact"/>
        <w:rPr>
          <w:sz w:val="20"/>
          <w:szCs w:val="20"/>
          <w:color w:val="auto"/>
        </w:rPr>
      </w:pPr>
    </w:p>
    <w:p>
      <w:pPr>
        <w:ind w:left="664" w:hanging="664"/>
        <w:spacing w:after="0"/>
        <w:tabs>
          <w:tab w:leader="none" w:pos="66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 B Facility</w:t>
      </w:r>
      <w:r>
        <w:rPr>
          <w:rFonts w:ascii="Arial" w:cs="Arial" w:eastAsia="Arial" w:hAnsi="Arial"/>
          <w:sz w:val="18"/>
          <w:szCs w:val="18"/>
          <w:color w:val="auto"/>
        </w:rPr>
        <w:t>.</w:t>
      </w:r>
    </w:p>
    <w:p>
      <w:pPr>
        <w:spacing w:after="0" w:line="225" w:lineRule="exact"/>
        <w:rPr>
          <w:sz w:val="20"/>
          <w:szCs w:val="20"/>
          <w:color w:val="auto"/>
        </w:rPr>
      </w:pPr>
    </w:p>
    <w:p>
      <w:pPr>
        <w:jc w:val="both"/>
        <w:ind w:left="4" w:firstLine="648"/>
        <w:spacing w:after="0" w:line="264" w:lineRule="auto"/>
        <w:rPr>
          <w:sz w:val="20"/>
          <w:szCs w:val="20"/>
          <w:color w:val="auto"/>
        </w:rPr>
      </w:pPr>
      <w:r>
        <w:rPr>
          <w:rFonts w:ascii="Arial" w:cs="Arial" w:eastAsia="Arial" w:hAnsi="Arial"/>
          <w:sz w:val="18"/>
          <w:szCs w:val="18"/>
          <w:color w:val="auto"/>
        </w:rPr>
        <w:t xml:space="preserve">The Borrower shall repay the outstanding principal amount of the Term B Loans in installments on the dates set forth below, in each case, in the respective amounts set forth in the table below (which amounts shall be reduced as a result of the application of prepayments in accordance with the order of priority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unless accelerated sooner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60" w:lineRule="exact"/>
        <w:rPr>
          <w:sz w:val="20"/>
          <w:szCs w:val="20"/>
          <w:color w:val="auto"/>
        </w:rPr>
      </w:pPr>
    </w:p>
    <w:tbl>
      <w:tblPr>
        <w:tblLayout w:type="fixed"/>
        <w:tblInd w:w="964"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Amortization Payment (% of</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Dates</w:t>
            </w:r>
          </w:p>
        </w:tc>
        <w:tc>
          <w:tcPr>
            <w:tcW w:w="4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Principal Amount of Term B Facility</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on March 31, 2020)</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30, 2020</w:t>
            </w:r>
          </w:p>
        </w:tc>
        <w:tc>
          <w:tcPr>
            <w:tcW w:w="2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 2020</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31, 2020</w:t>
            </w:r>
          </w:p>
        </w:tc>
        <w:tc>
          <w:tcPr>
            <w:tcW w:w="4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March 31, 2021</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June 30, 2021</w:t>
            </w:r>
          </w:p>
        </w:tc>
        <w:tc>
          <w:tcPr>
            <w:tcW w:w="4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 2021</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31, 2021</w:t>
            </w:r>
          </w:p>
        </w:tc>
        <w:tc>
          <w:tcPr>
            <w:tcW w:w="4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02"/>
        </w:trPr>
        <w:tc>
          <w:tcPr>
            <w:tcW w:w="26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3"/>
              </w:rPr>
              <w:t>Maturity Date</w:t>
            </w:r>
          </w:p>
        </w:tc>
        <w:tc>
          <w:tcPr>
            <w:tcW w:w="4900" w:type="dxa"/>
            <w:vAlign w:val="bottom"/>
          </w:tcPr>
          <w:p>
            <w:pPr>
              <w:jc w:val="center"/>
              <w:spacing w:after="0" w:line="201" w:lineRule="exact"/>
              <w:rPr>
                <w:sz w:val="20"/>
                <w:szCs w:val="20"/>
                <w:color w:val="auto"/>
              </w:rPr>
            </w:pPr>
            <w:r>
              <w:rPr>
                <w:rFonts w:ascii="Arial" w:cs="Arial" w:eastAsia="Arial" w:hAnsi="Arial"/>
                <w:sz w:val="18"/>
                <w:szCs w:val="18"/>
                <w:color w:val="auto"/>
                <w:w w:val="91"/>
              </w:rPr>
              <w:t>Outstanding Principal Balance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of Term B Loans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 the final principal repayment installment of the Term B Loans shall be repaid on the Maturity Date and in any event shall be in an amount equal to the aggregate</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40"/>
        <w:spacing w:after="0" w:line="342" w:lineRule="auto"/>
        <w:rPr>
          <w:sz w:val="20"/>
          <w:szCs w:val="20"/>
          <w:color w:val="auto"/>
        </w:rPr>
      </w:pPr>
      <w:r>
        <w:rPr>
          <w:rFonts w:ascii="Arial" w:cs="Arial" w:eastAsia="Arial" w:hAnsi="Arial"/>
          <w:sz w:val="16"/>
          <w:szCs w:val="16"/>
          <w:color w:val="auto"/>
        </w:rPr>
        <w:t>principal amount of all Term B Loans outstanding on such date and (y) if any principal repayment installment to be made by the Borrower shall come due on a day other than a Business Day, such principal repayment installment shall be due on the first immediately preceding Business Day.</w:t>
      </w:r>
    </w:p>
    <w:p>
      <w:pPr>
        <w:spacing w:after="0" w:line="124" w:lineRule="exact"/>
        <w:rPr>
          <w:sz w:val="20"/>
          <w:szCs w:val="20"/>
          <w:color w:val="auto"/>
        </w:rPr>
      </w:pPr>
    </w:p>
    <w:p>
      <w:pPr>
        <w:ind w:left="4"/>
        <w:spacing w:after="0"/>
        <w:tabs>
          <w:tab w:leader="none" w:pos="623"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u w:val="single" w:color="auto"/>
          <w:color w:val="auto"/>
        </w:rPr>
        <w:t>Interest.</w:t>
      </w:r>
    </w:p>
    <w:p>
      <w:pPr>
        <w:spacing w:after="0" w:line="225" w:lineRule="exact"/>
        <w:rPr>
          <w:sz w:val="20"/>
          <w:szCs w:val="20"/>
          <w:color w:val="auto"/>
        </w:rPr>
      </w:pPr>
    </w:p>
    <w:p>
      <w:pPr>
        <w:ind w:left="4" w:right="240" w:firstLine="645"/>
        <w:spacing w:after="0" w:line="342" w:lineRule="auto"/>
        <w:tabs>
          <w:tab w:leader="none" w:pos="1297"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Pre-Default Rate</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each Loan shall bear interest on the outstanding principal amount thereof from the applicable borrowing date thereof, at a rate per annum equal to twelve percent (12.00%) per annum (the “</w:t>
      </w:r>
      <w:r>
        <w:rPr>
          <w:rFonts w:ascii="Arial" w:cs="Arial" w:eastAsia="Arial" w:hAnsi="Arial"/>
          <w:sz w:val="16"/>
          <w:szCs w:val="16"/>
          <w:u w:val="single" w:color="auto"/>
          <w:color w:val="auto"/>
        </w:rPr>
        <w:t>Interest Rate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4" w:firstLine="645"/>
        <w:spacing w:after="0" w:line="259" w:lineRule="auto"/>
        <w:tabs>
          <w:tab w:leader="none" w:pos="130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(i) Upon the occurrence and during the existence of any Event of Default, all outstanding Obligations shall thereafter bear interest at an interest rate per annum at all times equal to the Interest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four percent (4.0%) per annum (the “</w:t>
      </w:r>
      <w:r>
        <w:rPr>
          <w:rFonts w:ascii="Arial" w:cs="Arial" w:eastAsia="Arial" w:hAnsi="Arial"/>
          <w:sz w:val="18"/>
          <w:szCs w:val="18"/>
          <w:u w:val="single" w:color="auto"/>
          <w:color w:val="auto"/>
        </w:rPr>
        <w:t>Default Rate</w:t>
      </w:r>
      <w:r>
        <w:rPr>
          <w:rFonts w:ascii="Arial" w:cs="Arial" w:eastAsia="Arial" w:hAnsi="Arial"/>
          <w:sz w:val="18"/>
          <w:szCs w:val="18"/>
          <w:color w:val="auto"/>
        </w:rPr>
        <w:t>”), to the fullest extent permitted by applicable Laws and (ii) accrued and unpaid interest on past due amounts (including interest on past due interest) shall be due and payable in cash on demand.</w:t>
      </w:r>
    </w:p>
    <w:p>
      <w:pPr>
        <w:spacing w:after="0" w:line="186" w:lineRule="exact"/>
        <w:rPr>
          <w:rFonts w:ascii="Arial" w:cs="Arial" w:eastAsia="Arial" w:hAnsi="Arial"/>
          <w:sz w:val="18"/>
          <w:szCs w:val="18"/>
          <w:color w:val="auto"/>
        </w:rPr>
      </w:pPr>
    </w:p>
    <w:p>
      <w:pPr>
        <w:ind w:left="1304" w:hanging="655"/>
        <w:spacing w:after="0"/>
        <w:tabs>
          <w:tab w:leader="none" w:pos="130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Paid-In-Kind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4" w:firstLine="652"/>
        <w:spacing w:after="0" w:line="274" w:lineRule="auto"/>
        <w:tabs>
          <w:tab w:leader="none" w:pos="1963" w:val="left"/>
        </w:tabs>
        <w:numPr>
          <w:ilvl w:val="1"/>
          <w:numId w:val="56"/>
        </w:numPr>
        <w:rPr>
          <w:rFonts w:ascii="Arial" w:cs="Arial" w:eastAsia="Arial" w:hAnsi="Arial"/>
          <w:sz w:val="16"/>
          <w:szCs w:val="16"/>
          <w:color w:val="auto"/>
        </w:rPr>
      </w:pPr>
      <w:r>
        <w:rPr>
          <w:rFonts w:ascii="Arial" w:cs="Arial" w:eastAsia="Arial" w:hAnsi="Arial"/>
          <w:sz w:val="16"/>
          <w:szCs w:val="16"/>
          <w:color w:val="auto"/>
        </w:rPr>
        <w:t>Beginning with the first (1</w:t>
      </w:r>
      <w:r>
        <w:rPr>
          <w:rFonts w:ascii="Arial" w:cs="Arial" w:eastAsia="Arial" w:hAnsi="Arial"/>
          <w:sz w:val="20"/>
          <w:szCs w:val="20"/>
          <w:color w:val="auto"/>
          <w:vertAlign w:val="superscript"/>
        </w:rPr>
        <w:t>st</w:t>
      </w:r>
      <w:r>
        <w:rPr>
          <w:rFonts w:ascii="Arial" w:cs="Arial" w:eastAsia="Arial" w:hAnsi="Arial"/>
          <w:sz w:val="16"/>
          <w:szCs w:val="16"/>
          <w:color w:val="auto"/>
        </w:rPr>
        <w:t>) Interest Payment Date to occur after the Funding Date and continuing through and including the sixteenth (16</w:t>
      </w:r>
      <w:r>
        <w:rPr>
          <w:rFonts w:ascii="Arial" w:cs="Arial" w:eastAsia="Arial" w:hAnsi="Arial"/>
          <w:sz w:val="20"/>
          <w:szCs w:val="20"/>
          <w:color w:val="auto"/>
          <w:vertAlign w:val="superscript"/>
        </w:rPr>
        <w:t>th</w:t>
      </w:r>
      <w:r>
        <w:rPr>
          <w:rFonts w:ascii="Arial" w:cs="Arial" w:eastAsia="Arial" w:hAnsi="Arial"/>
          <w:sz w:val="16"/>
          <w:szCs w:val="16"/>
          <w:color w:val="auto"/>
        </w:rPr>
        <w:t>) Interest Payment Date to occur after the Funding Date (the “</w:t>
      </w:r>
      <w:r>
        <w:rPr>
          <w:rFonts w:ascii="Arial" w:cs="Arial" w:eastAsia="Arial" w:hAnsi="Arial"/>
          <w:sz w:val="16"/>
          <w:szCs w:val="16"/>
          <w:u w:val="single" w:color="auto"/>
          <w:color w:val="auto"/>
        </w:rPr>
        <w:t>PIK Period</w:t>
      </w:r>
      <w:r>
        <w:rPr>
          <w:rFonts w:ascii="Arial" w:cs="Arial" w:eastAsia="Arial" w:hAnsi="Arial"/>
          <w:sz w:val="16"/>
          <w:szCs w:val="16"/>
          <w:color w:val="auto"/>
        </w:rPr>
        <w:t>”), so long as (x) no Event of Default has occurred and is continuing as of any such Interest Payment Date and (y) the Borrower has not notified the Administrative Agent in writing prior to such Interest Payment Date that it intends to pay all interest due on such Interest Payment Date in cash, (A) a portion of the interest accruing on the Loans at the rate of nine percent (9.00%) per annum (the “</w:t>
      </w:r>
      <w:r>
        <w:rPr>
          <w:rFonts w:ascii="Arial" w:cs="Arial" w:eastAsia="Arial" w:hAnsi="Arial"/>
          <w:sz w:val="16"/>
          <w:szCs w:val="16"/>
          <w:u w:val="single" w:color="auto"/>
          <w:color w:val="auto"/>
        </w:rPr>
        <w:t>Cash Pay Interest</w:t>
      </w:r>
      <w:r>
        <w:rPr>
          <w:rFonts w:ascii="Arial" w:cs="Arial" w:eastAsia="Arial" w:hAnsi="Arial"/>
          <w:sz w:val="16"/>
          <w:szCs w:val="16"/>
          <w:color w:val="auto"/>
        </w:rPr>
        <w:t>”) shall be due and payable in cash in arrears on each such Interest Payment Date and (B) the portion of the interest accruing on the Loans in excess of the Cash Pay Interest (such portion, the “</w:t>
      </w:r>
      <w:r>
        <w:rPr>
          <w:rFonts w:ascii="Arial" w:cs="Arial" w:eastAsia="Arial" w:hAnsi="Arial"/>
          <w:sz w:val="16"/>
          <w:szCs w:val="16"/>
          <w:u w:val="single" w:color="auto"/>
          <w:color w:val="auto"/>
        </w:rPr>
        <w:t>Paid-in-Kind Interest</w:t>
      </w:r>
      <w:r>
        <w:rPr>
          <w:rFonts w:ascii="Arial" w:cs="Arial" w:eastAsia="Arial" w:hAnsi="Arial"/>
          <w:sz w:val="16"/>
          <w:szCs w:val="16"/>
          <w:color w:val="auto"/>
        </w:rPr>
        <w:t>”) shall be due and payable on each such Interest Payment Date by adding such Paid-in-Kind Interest to the outstanding principal amount of the applicable Loans on such Interest Payment Date. For the avoidance of doubt, if prior to any Interest Payment Date occurring during the PIK Period the Borrower has notified the Administrative Agent in writing prior to such Interest Payment Date that it intends to pay all interest due on such Interest Payment Date in cash or, if any Event of Default has occurred and is continuing as of any such Interest Payment Date, all interest accruing on the Loans shall be due and payable in cash in arrears on such Interest Payment Date.</w:t>
      </w:r>
    </w:p>
    <w:p>
      <w:pPr>
        <w:spacing w:after="0" w:line="177" w:lineRule="exact"/>
        <w:rPr>
          <w:rFonts w:ascii="Arial" w:cs="Arial" w:eastAsia="Arial" w:hAnsi="Arial"/>
          <w:sz w:val="16"/>
          <w:szCs w:val="16"/>
          <w:color w:val="auto"/>
        </w:rPr>
      </w:pPr>
    </w:p>
    <w:p>
      <w:pPr>
        <w:ind w:left="564" w:right="40" w:firstLine="652"/>
        <w:spacing w:after="0" w:line="257" w:lineRule="auto"/>
        <w:tabs>
          <w:tab w:leader="none" w:pos="1972"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Any and all such Paid-in-Kind Interest so added to the principal amount of the Loans shall constitute and increase the principal amount of the Loans for all purposes under this Agreement, including without limitation, for purposes of calculating any prepayment premium under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and shall bear interest in accordance with this </w:t>
      </w:r>
      <w:r>
        <w:rPr>
          <w:rFonts w:ascii="Arial" w:cs="Arial" w:eastAsia="Arial" w:hAnsi="Arial"/>
          <w:sz w:val="18"/>
          <w:szCs w:val="18"/>
          <w:u w:val="single" w:color="auto"/>
          <w:color w:val="auto"/>
        </w:rPr>
        <w:t>Section 2.06</w:t>
      </w:r>
      <w:r>
        <w:rPr>
          <w:rFonts w:ascii="Arial" w:cs="Arial" w:eastAsia="Arial" w:hAnsi="Arial"/>
          <w:sz w:val="18"/>
          <w:szCs w:val="18"/>
          <w:color w:val="auto"/>
        </w:rPr>
        <w:t>. Upon the occurrence and during the continuation of any Event of Default during the PIK Period, all interest accruing on the Loans shall be due and payable in cash in arrears on each Interest Payment Date and at such other times as may be specified herein.</w:t>
      </w:r>
    </w:p>
    <w:p>
      <w:pPr>
        <w:spacing w:after="0" w:line="188" w:lineRule="exact"/>
        <w:rPr>
          <w:rFonts w:ascii="Arial" w:cs="Arial" w:eastAsia="Arial" w:hAnsi="Arial"/>
          <w:sz w:val="18"/>
          <w:szCs w:val="18"/>
          <w:color w:val="auto"/>
        </w:rPr>
      </w:pPr>
    </w:p>
    <w:p>
      <w:pPr>
        <w:ind w:left="4" w:right="260" w:firstLine="645"/>
        <w:spacing w:after="0" w:line="264" w:lineRule="auto"/>
        <w:tabs>
          <w:tab w:leader="none" w:pos="130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Interest Generally</w:t>
      </w:r>
      <w:r>
        <w:rPr>
          <w:rFonts w:ascii="Arial" w:cs="Arial" w:eastAsia="Arial" w:hAnsi="Arial"/>
          <w:sz w:val="18"/>
          <w:szCs w:val="18"/>
          <w:color w:val="auto"/>
        </w:rPr>
        <w:t>. Interest on each Loan shall be due and payable in arrears on each Interest Payment Date and at such other times as may be specified herein. Interest hereunder shall be due and payable in accordance with the terms hereof before and after judgment, and before and after the commencement of any proceeding under any Debtor Relief Law.</w:t>
      </w:r>
    </w:p>
    <w:p>
      <w:pPr>
        <w:sectPr>
          <w:pgSz w:w="11900" w:h="16838" w:orient="portrait"/>
          <w:cols w:equalWidth="0" w:num="1">
            <w:col w:w="10744"/>
          </w:cols>
          <w:pgMar w:left="896" w:top="125" w:right="259" w:bottom="312" w:gutter="0" w:footer="0" w:header="0"/>
        </w:sectPr>
      </w:pP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95885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125" w:right="259" w:bottom="312" w:gutter="0" w:footer="0" w:header="0"/>
          <w:type w:val="continuous"/>
        </w:sectPr>
      </w:pPr>
    </w:p>
    <w:bookmarkStart w:id="60" w:name="page61"/>
    <w:bookmarkEnd w:id="60"/>
    <w:p>
      <w:pPr>
        <w:ind w:left="660"/>
        <w:spacing w:after="0"/>
        <w:tabs>
          <w:tab w:leader="none" w:pos="128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5"/>
          <w:szCs w:val="15"/>
          <w:u w:val="single" w:color="auto"/>
          <w:color w:val="auto"/>
        </w:rPr>
        <w:t>Fees.</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Borrower shall pay to the Administrative Agent and the Lenders, for their own respective accounts, fees in the amounts and at the times specified in the Fee Letter. Such fees shall be fully earned when paid and shall not be refundable for any reason whatsoever.</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Computation of Interest.</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All computations of interest shall be made on the basis of a 360-day year and actual days elapsed. Interest shall accrue on each Loan for the day on which such Loan is made, and shall not accrue on a Loan, or any portion thereof, for the day on which such Loan or such portion is paid.</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u w:val="single" w:color="auto"/>
          <w:color w:val="auto"/>
        </w:rPr>
        <w:t>Evidence of Debt.</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The Loans made by each Lender shall be evidenced by one or more accounts or records maintained by such Lender in the ordinary course of business. The accounts or records maintained by each Lender shall be conclusive absent manifest error of the amount of Loans made by the Lenders to the Borrower and the interest and payments thereon. Any failure to so record or any error in doing so shall not, however, limit or otherwise affect the obligation of the Borrower hereunder to pay any amount owing with respect to the Obligations. Upon the request of any Lender made through the Administrative Agent, the Borrower shall execute and deliver to such Lender a promissory note, which shall evidence such Lender’s Loans in addition to such accounts or records. Each such promissory note shall (i) in the case of the Term A Loans, be in the form of </w:t>
      </w:r>
      <w:r>
        <w:rPr>
          <w:rFonts w:ascii="Arial" w:cs="Arial" w:eastAsia="Arial" w:hAnsi="Arial"/>
          <w:sz w:val="17"/>
          <w:szCs w:val="17"/>
          <w:u w:val="single" w:color="auto"/>
          <w:color w:val="auto"/>
        </w:rPr>
        <w:t>Exhibit B</w:t>
      </w:r>
      <w:r>
        <w:rPr>
          <w:rFonts w:ascii="Arial" w:cs="Arial" w:eastAsia="Arial" w:hAnsi="Arial"/>
          <w:sz w:val="17"/>
          <w:szCs w:val="17"/>
          <w:b w:val="1"/>
          <w:bCs w:val="1"/>
          <w:u w:val="single" w:color="auto"/>
          <w:color w:val="auto"/>
        </w:rPr>
        <w:t>-</w:t>
      </w:r>
      <w:r>
        <w:rPr>
          <w:rFonts w:ascii="Arial" w:cs="Arial" w:eastAsia="Arial" w:hAnsi="Arial"/>
          <w:sz w:val="17"/>
          <w:szCs w:val="17"/>
          <w:u w:val="single" w:color="auto"/>
          <w:color w:val="auto"/>
        </w:rPr>
        <w:t>1</w:t>
      </w:r>
      <w:r>
        <w:rPr>
          <w:rFonts w:ascii="Arial" w:cs="Arial" w:eastAsia="Arial" w:hAnsi="Arial"/>
          <w:sz w:val="17"/>
          <w:szCs w:val="17"/>
          <w:color w:val="auto"/>
        </w:rPr>
        <w:t xml:space="preserve"> (a “</w:t>
      </w:r>
      <w:r>
        <w:rPr>
          <w:rFonts w:ascii="Arial" w:cs="Arial" w:eastAsia="Arial" w:hAnsi="Arial"/>
          <w:sz w:val="17"/>
          <w:szCs w:val="17"/>
          <w:u w:val="single" w:color="auto"/>
          <w:color w:val="auto"/>
        </w:rPr>
        <w:t>Term A Note</w:t>
      </w:r>
      <w:r>
        <w:rPr>
          <w:rFonts w:ascii="Arial" w:cs="Arial" w:eastAsia="Arial" w:hAnsi="Arial"/>
          <w:sz w:val="17"/>
          <w:szCs w:val="17"/>
          <w:color w:val="auto"/>
        </w:rPr>
        <w:t xml:space="preserve">”) and (ii) in the case of the Term B Loans, be in the form of </w:t>
      </w:r>
      <w:r>
        <w:rPr>
          <w:rFonts w:ascii="Arial" w:cs="Arial" w:eastAsia="Arial" w:hAnsi="Arial"/>
          <w:sz w:val="17"/>
          <w:szCs w:val="17"/>
          <w:u w:val="single" w:color="auto"/>
          <w:color w:val="auto"/>
        </w:rPr>
        <w:t>Exhibit B</w:t>
      </w:r>
      <w:r>
        <w:rPr>
          <w:rFonts w:ascii="Arial" w:cs="Arial" w:eastAsia="Arial" w:hAnsi="Arial"/>
          <w:sz w:val="17"/>
          <w:szCs w:val="17"/>
          <w:b w:val="1"/>
          <w:bCs w:val="1"/>
          <w:u w:val="single" w:color="auto"/>
          <w:color w:val="auto"/>
        </w:rPr>
        <w:t>-</w:t>
      </w:r>
      <w:r>
        <w:rPr>
          <w:rFonts w:ascii="Arial" w:cs="Arial" w:eastAsia="Arial" w:hAnsi="Arial"/>
          <w:sz w:val="17"/>
          <w:szCs w:val="17"/>
          <w:u w:val="single" w:color="auto"/>
          <w:color w:val="auto"/>
        </w:rPr>
        <w:t>2</w:t>
      </w:r>
      <w:r>
        <w:rPr>
          <w:rFonts w:ascii="Arial" w:cs="Arial" w:eastAsia="Arial" w:hAnsi="Arial"/>
          <w:sz w:val="17"/>
          <w:szCs w:val="17"/>
          <w:color w:val="auto"/>
        </w:rPr>
        <w:t xml:space="preserve"> (a “</w:t>
      </w:r>
      <w:r>
        <w:rPr>
          <w:rFonts w:ascii="Arial" w:cs="Arial" w:eastAsia="Arial" w:hAnsi="Arial"/>
          <w:sz w:val="17"/>
          <w:szCs w:val="17"/>
          <w:u w:val="single" w:color="auto"/>
          <w:color w:val="auto"/>
        </w:rPr>
        <w:t>Term B Note</w:t>
      </w:r>
      <w:r>
        <w:rPr>
          <w:rFonts w:ascii="Arial" w:cs="Arial" w:eastAsia="Arial" w:hAnsi="Arial"/>
          <w:sz w:val="17"/>
          <w:szCs w:val="17"/>
          <w:color w:val="auto"/>
        </w:rPr>
        <w:t>”). Each Lender may attach schedules to its Notes and endorse thereon the date, amount and maturity of its Loans and payments with respect thereto.</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u w:val="single" w:color="auto"/>
          <w:color w:val="auto"/>
        </w:rPr>
        <w:t>Payments Generally.</w:t>
      </w:r>
    </w:p>
    <w:p>
      <w:pPr>
        <w:spacing w:after="0" w:line="225" w:lineRule="exact"/>
        <w:rPr>
          <w:sz w:val="20"/>
          <w:szCs w:val="20"/>
          <w:color w:val="auto"/>
        </w:rPr>
      </w:pPr>
    </w:p>
    <w:p>
      <w:pPr>
        <w:ind w:left="660" w:right="100" w:firstLine="645"/>
        <w:spacing w:after="0" w:line="270" w:lineRule="auto"/>
        <w:tabs>
          <w:tab w:leader="none" w:pos="195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All payments to be made by the Borrower shall be made free and clear of and without condition or deduction for any counterclaim, defense, recoupment or setoff. Subject to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all payments of principal, interest, prepayment premiums and fees on the Loans and all other Obligations payable by any Loan Party under the Loan Documents shall be due, without any presentment thereof, directly to the Lenders, at the respective Lending Offices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if at the time of any such payment a Lender is a Defaulting Lender, such Defaulting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such payment shall be made directly to the Administrative Agent. The Loan Parties will make such payments in Dollars, in immediately available funds not later than 2:00 p.m. on the date due, marked for attention as indicated, or in such other manner or to such other account in any United States bank as the Lenders may from time to time direct in writing. All payments received by the Lenders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w:t>
      </w:r>
    </w:p>
    <w:p>
      <w:pPr>
        <w:spacing w:after="0" w:line="177" w:lineRule="exact"/>
        <w:rPr>
          <w:rFonts w:ascii="Arial" w:cs="Arial" w:eastAsia="Arial" w:hAnsi="Arial"/>
          <w:sz w:val="17"/>
          <w:szCs w:val="17"/>
          <w:color w:val="auto"/>
        </w:rPr>
      </w:pPr>
    </w:p>
    <w:p>
      <w:pPr>
        <w:ind w:left="660" w:right="140" w:firstLine="645"/>
        <w:spacing w:after="0" w:line="279" w:lineRule="auto"/>
        <w:tabs>
          <w:tab w:leader="none" w:pos="196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Obligations of Lenders Several</w:t>
      </w:r>
      <w:r>
        <w:rPr>
          <w:rFonts w:ascii="Arial" w:cs="Arial" w:eastAsia="Arial" w:hAnsi="Arial"/>
          <w:sz w:val="17"/>
          <w:szCs w:val="17"/>
          <w:color w:val="auto"/>
        </w:rPr>
        <w:t xml:space="preserve">. The obligations of the Lenders hereunder to make Loans and to make payments pursuant to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are several and not joint. The failure of any Lender to make any Loan or to make any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342" w:lineRule="auto"/>
        <w:tabs>
          <w:tab w:leader="none" w:pos="196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2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Sharing of Payments by Lenders.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If any Lender shall, by exercising any right of setoff or otherwise, obtain payment in respect of any principal of or interest on its portion of any of the Loans or prepayment premium in connection therewith resulting in such Lender’s receiving payment of a proportion of the aggregate amount of the Loans and accrued interest thereon and prepayment premium in connection therewith greater than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thereof as provided herein, then the Lender shall</w:t>
      </w:r>
    </w:p>
    <w:p>
      <w:pPr>
        <w:ind w:right="220" w:firstLine="8"/>
        <w:spacing w:after="0" w:line="254" w:lineRule="auto"/>
        <w:tabs>
          <w:tab w:leader="none" w:pos="2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notify the Administrative Agent of such fact and (b) purchase (for cash at face value) participations in the portions of the Loans of the other Lenders, or make such other adjustments as shall be equitable, so that the benefit of all such payments shall be shared by the Lenders ratably in accordance with the aggregate amount of principal of, accrued interest on and prepayment premium in connection with their respective portions of the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80" w:right="500" w:firstLine="675"/>
        <w:spacing w:after="0" w:line="308" w:lineRule="auto"/>
        <w:tabs>
          <w:tab w:leader="none" w:pos="2644"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46" w:lineRule="exact"/>
        <w:rPr>
          <w:rFonts w:ascii="Arial" w:cs="Arial" w:eastAsia="Arial" w:hAnsi="Arial"/>
          <w:sz w:val="17"/>
          <w:szCs w:val="17"/>
          <w:color w:val="auto"/>
        </w:rPr>
      </w:pPr>
    </w:p>
    <w:p>
      <w:pPr>
        <w:ind w:left="680" w:right="80" w:firstLine="675"/>
        <w:spacing w:after="0" w:line="257" w:lineRule="auto"/>
        <w:tabs>
          <w:tab w:leader="none" w:pos="2654"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portion of the Loans to any assignee or participant, other than an assignment to the Borrower or any Subsidiary (as to which the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apply).</w:t>
      </w:r>
    </w:p>
    <w:p>
      <w:pPr>
        <w:spacing w:after="0" w:line="188" w:lineRule="exact"/>
        <w:rPr>
          <w:sz w:val="20"/>
          <w:szCs w:val="20"/>
          <w:color w:val="auto"/>
        </w:rPr>
      </w:pPr>
    </w:p>
    <w:p>
      <w:pPr>
        <w:ind w:right="40" w:firstLine="673"/>
        <w:spacing w:after="0" w:line="264"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1"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Defaulting Lenders.</w:t>
      </w:r>
    </w:p>
    <w:p>
      <w:pPr>
        <w:spacing w:after="0" w:line="225" w:lineRule="exact"/>
        <w:rPr>
          <w:sz w:val="20"/>
          <w:szCs w:val="20"/>
          <w:color w:val="auto"/>
        </w:rPr>
      </w:pPr>
    </w:p>
    <w:p>
      <w:pPr>
        <w:ind w:left="660" w:right="100" w:firstLine="645"/>
        <w:spacing w:after="0" w:line="277" w:lineRule="auto"/>
        <w:tabs>
          <w:tab w:leader="none" w:pos="195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ectPr>
          <w:pgSz w:w="11900" w:h="16838" w:orient="portrait"/>
          <w:cols w:equalWidth="0" w:num="1">
            <w:col w:w="11420"/>
          </w:cols>
          <w:pgMar w:left="240" w:top="341" w:right="239" w:bottom="45" w:gutter="0" w:footer="0" w:header="0"/>
        </w:sectPr>
      </w:pPr>
    </w:p>
    <w:bookmarkStart w:id="61" w:name="page62"/>
    <w:bookmarkEnd w:id="61"/>
    <w:p>
      <w:pPr>
        <w:spacing w:after="0" w:line="94" w:lineRule="exact"/>
        <w:rPr>
          <w:sz w:val="20"/>
          <w:szCs w:val="20"/>
          <w:color w:val="auto"/>
        </w:rPr>
      </w:pPr>
    </w:p>
    <w:p>
      <w:pPr>
        <w:ind w:left="640" w:right="260" w:firstLine="653"/>
        <w:spacing w:after="0" w:line="308" w:lineRule="auto"/>
        <w:tabs>
          <w:tab w:leader="none" w:pos="1958"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Waivers and Amendment</w:t>
      </w:r>
      <w:r>
        <w:rPr>
          <w:rFonts w:ascii="Arial" w:cs="Arial" w:eastAsia="Arial" w:hAnsi="Arial"/>
          <w:sz w:val="17"/>
          <w:szCs w:val="17"/>
          <w:color w:val="auto"/>
        </w:rPr>
        <w:t xml:space="preserve">. The Defaulting Lender’s right to approve or disapprove any amendment, waiver or consent with respect to this Agreement shall be restricted as set forth in the definition of “Required Lenders” and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40" w:right="20" w:firstLine="653"/>
        <w:spacing w:after="0" w:line="302" w:lineRule="auto"/>
        <w:tabs>
          <w:tab w:leader="none" w:pos="1967"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any other amount received by the Administrative Agent for the account of that Defaulting Lender (whether voluntary or mandatory, at maturity,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otherwise, and including any amounts made available to the Administrative Agent by that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to the payment of any</w:t>
      </w:r>
    </w:p>
    <w:p>
      <w:pPr>
        <w:spacing w:after="0" w:line="15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80"/>
        <w:spacing w:after="0" w:line="286" w:lineRule="auto"/>
        <w:rPr>
          <w:sz w:val="20"/>
          <w:szCs w:val="20"/>
          <w:color w:val="auto"/>
        </w:rPr>
      </w:pPr>
      <w:r>
        <w:rPr>
          <w:rFonts w:ascii="Arial" w:cs="Arial" w:eastAsia="Arial" w:hAnsi="Arial"/>
          <w:sz w:val="16"/>
          <w:szCs w:val="16"/>
          <w:color w:val="auto"/>
        </w:rPr>
        <w:t xml:space="preserve">amounts owing by that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(x) such payment is a payment of the principal amount of any Loans in respect of which that Defaulting Lender has not fully funded its appropriate share and (y) such Loans were made at a time when the conditions set forth in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were satisfied or waived, such payment shall be applied solely to pay the Loans of all non-Defaulting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Loans of that Defaulting Lender. Any payments, prepayments or other amounts paid or payable to a Defaulting Lender that are applied (or held) to pay amounts owed by a Defaulting Lender pursuant to this </w:t>
      </w:r>
      <w:r>
        <w:rPr>
          <w:rFonts w:ascii="Arial" w:cs="Arial" w:eastAsia="Arial" w:hAnsi="Arial"/>
          <w:sz w:val="16"/>
          <w:szCs w:val="16"/>
          <w:u w:val="single" w:color="auto"/>
          <w:color w:val="auto"/>
        </w:rPr>
        <w:t>Section 2.12(a)(ii)</w:t>
      </w:r>
      <w:r>
        <w:rPr>
          <w:rFonts w:ascii="Arial" w:cs="Arial" w:eastAsia="Arial" w:hAnsi="Arial"/>
          <w:sz w:val="16"/>
          <w:szCs w:val="16"/>
          <w:color w:val="auto"/>
        </w:rPr>
        <w:t xml:space="preserve"> shall be deemed paid to and redirected by that Defaulting Lender, and each Lender irrevocably consents hereto.</w:t>
      </w:r>
    </w:p>
    <w:p>
      <w:pPr>
        <w:spacing w:after="0" w:line="169" w:lineRule="exact"/>
        <w:rPr>
          <w:sz w:val="20"/>
          <w:szCs w:val="20"/>
          <w:color w:val="auto"/>
        </w:rPr>
      </w:pPr>
    </w:p>
    <w:p>
      <w:pPr>
        <w:ind w:firstLine="645"/>
        <w:spacing w:after="0" w:line="255" w:lineRule="auto"/>
        <w:tabs>
          <w:tab w:leader="none" w:pos="130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 adjustments will be made retroactively with respect to fees accrued or payments made by or on behalf of the Borrower while that Lender was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u w:val="single" w:color="auto"/>
          <w:color w:val="auto"/>
        </w:rPr>
        <w:t>Right of First Offer.</w:t>
      </w:r>
    </w:p>
    <w:p>
      <w:pPr>
        <w:spacing w:after="0" w:line="225" w:lineRule="exact"/>
        <w:rPr>
          <w:sz w:val="20"/>
          <w:szCs w:val="20"/>
          <w:color w:val="auto"/>
        </w:rPr>
      </w:pPr>
    </w:p>
    <w:p>
      <w:pPr>
        <w:ind w:right="20" w:firstLine="645"/>
        <w:spacing w:after="0" w:line="276" w:lineRule="auto"/>
        <w:tabs>
          <w:tab w:leader="none" w:pos="1294"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the Borrower or any Subsidiary contemplates undertaking a Debt Issuance and/or issuing Qualified Subordinated Debt, then, not fewer than twelve (12) Business Days (in the case of a Debt Issuance) or twenty (20) Business Days (in the case of an issuance of Qualified Subordinated Debt) prior to the proposed date of such Debt Issuance or such issuance of Qualified Subordinated Debt, the Borrower shall provide written notice (a “</w:t>
      </w:r>
      <w:r>
        <w:rPr>
          <w:rFonts w:ascii="Arial" w:cs="Arial" w:eastAsia="Arial" w:hAnsi="Arial"/>
          <w:sz w:val="17"/>
          <w:szCs w:val="17"/>
          <w:u w:val="single" w:color="auto"/>
          <w:color w:val="auto"/>
        </w:rPr>
        <w:t>Debt Issuance Notice</w:t>
      </w:r>
      <w:r>
        <w:rPr>
          <w:rFonts w:ascii="Arial" w:cs="Arial" w:eastAsia="Arial" w:hAnsi="Arial"/>
          <w:sz w:val="17"/>
          <w:szCs w:val="17"/>
          <w:color w:val="auto"/>
        </w:rPr>
        <w:t>”) thereof to the Lenders, and shall deliver promptly to the Lenders such information concerning the Debt Issuance or the issuance of Qualified Subordinated Debt, as the case may be, as the Lenders may reasonably request.</w:t>
      </w:r>
    </w:p>
    <w:p>
      <w:pPr>
        <w:spacing w:after="0" w:line="172" w:lineRule="exact"/>
        <w:rPr>
          <w:rFonts w:ascii="Arial" w:cs="Arial" w:eastAsia="Arial" w:hAnsi="Arial"/>
          <w:sz w:val="17"/>
          <w:szCs w:val="17"/>
          <w:color w:val="auto"/>
        </w:rPr>
      </w:pPr>
    </w:p>
    <w:p>
      <w:pPr>
        <w:ind w:right="120" w:firstLine="645"/>
        <w:spacing w:after="0" w:line="264" w:lineRule="auto"/>
        <w:tabs>
          <w:tab w:leader="none" w:pos="13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a period of ten (10) consecutive Business Days (the “</w:t>
      </w:r>
      <w:r>
        <w:rPr>
          <w:rFonts w:ascii="Arial" w:cs="Arial" w:eastAsia="Arial" w:hAnsi="Arial"/>
          <w:sz w:val="18"/>
          <w:szCs w:val="18"/>
          <w:u w:val="single" w:color="auto"/>
          <w:color w:val="auto"/>
        </w:rPr>
        <w:t>Exclusivity and Proposal Period</w:t>
      </w:r>
      <w:r>
        <w:rPr>
          <w:rFonts w:ascii="Arial" w:cs="Arial" w:eastAsia="Arial" w:hAnsi="Arial"/>
          <w:sz w:val="18"/>
          <w:szCs w:val="18"/>
          <w:color w:val="auto"/>
        </w:rPr>
        <w:t>”) after receipt by the Lenders of a Debt Issuance Notice, the Lenders shall have the exclusive option (or in the case of Qualified Subordinated Debt, a non-exclusive option), but not the obligation, to propose the material terms and conditions (the “</w:t>
      </w:r>
      <w:r>
        <w:rPr>
          <w:rFonts w:ascii="Arial" w:cs="Arial" w:eastAsia="Arial" w:hAnsi="Arial"/>
          <w:sz w:val="18"/>
          <w:szCs w:val="18"/>
          <w:u w:val="single" w:color="auto"/>
          <w:color w:val="auto"/>
        </w:rPr>
        <w:t>Proposed Terms</w:t>
      </w:r>
      <w:r>
        <w:rPr>
          <w:rFonts w:ascii="Arial" w:cs="Arial" w:eastAsia="Arial" w:hAnsi="Arial"/>
          <w:sz w:val="18"/>
          <w:szCs w:val="18"/>
          <w:color w:val="auto"/>
        </w:rPr>
        <w:t>”) under</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which they would be willing to provide such Debt Issuance or such Qualified Subordinated Debt by delivering written notice (a “</w:t>
      </w:r>
      <w:r>
        <w:rPr>
          <w:rFonts w:ascii="Arial" w:cs="Arial" w:eastAsia="Arial" w:hAnsi="Arial"/>
          <w:sz w:val="16"/>
          <w:szCs w:val="16"/>
          <w:u w:val="single" w:color="auto"/>
          <w:color w:val="auto"/>
        </w:rPr>
        <w:t>Proposed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Sheet</w:t>
      </w:r>
      <w:r>
        <w:rPr>
          <w:rFonts w:ascii="Arial" w:cs="Arial" w:eastAsia="Arial" w:hAnsi="Arial"/>
          <w:sz w:val="16"/>
          <w:szCs w:val="16"/>
          <w:color w:val="auto"/>
        </w:rPr>
        <w:t xml:space="preserve">”) thereof to the Borrower, setting forth such Proposed Terms. Failure by the Lenders to deliver a Proposed Term Sheet within the applicable Exclusivity and Proposal Period shall be deemed an election by the Lenders not to provide the Debt Issuance or the Qualified Subordinated Debt, as applicable. If the Lenders deliver a Proposed Term Sheet to the Borrower, neither the Borrower nor any Subsidiary may then undertake any such Debt Issuance or any such issuance of Qualified Subordinated Debt, as the case may be, with any other Person except on economic terms that are more favorable (taken as a whole) to the Borrower or such Subsidiary than the Proposed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prior to undertaking any such Debt Issuance or any such issuance of Qualified Subordinated Debt with any other Person, the Borrower or such Subsidiary shall provide the Lenders with at least five (5) Business Days’ notice thereof (and such information with respect thereto as the Lenders shall reasonably request) and afford the Lenders a period of three (3) Business Days thereafter to propose a Term Sheet containing economic terms at least as favorable to the Borrower or such Subsidiary as the economic terms of such Debt Issuance or such issuance of Qualified Subordinated Debt, as the case may be.</w:t>
      </w:r>
    </w:p>
    <w:p>
      <w:pPr>
        <w:spacing w:after="0" w:line="169"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TAXES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ind w:right="20" w:firstLine="645"/>
        <w:spacing w:after="0" w:line="291" w:lineRule="auto"/>
        <w:tabs>
          <w:tab w:leader="none" w:pos="1294"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payments of principal and interest on the Loans and all other amounts payable hereunder shall be made free and clear of and without deduction for any present or future income, excise, stamp, documentary, property or franchise taxes and other taxes, fees, duties, levies, assessments, withholdings or other charges of any nature whatsoever (including interest and penalties thereon) imposed by any taxing authority, excluding (x) taxes imposed on or measured by net income imposed by the jurisdiction under which a Recipient is organized or conducts business (other than solely as the result of entering into any of the Loan Documents or taking any action thereunder), (y) U.S. federal withholding taxes imposed on amounts payable to or for the account of a Recipient with respect to an applicable interest in a Loan or Commitment pursuant to a law in effect on the date on which (i) such Recipient acquires such interest in the Loan or Commitment (other than pursuant to an assignment request by the</w:t>
      </w:r>
    </w:p>
    <w:p>
      <w:pPr>
        <w:sectPr>
          <w:pgSz w:w="11900" w:h="16932" w:orient="portrait"/>
          <w:cols w:equalWidth="0" w:num="1">
            <w:col w:w="10740"/>
          </w:cols>
          <w:pgMar w:left="900" w:top="125" w:right="259" w:bottom="0" w:gutter="0" w:footer="0" w:header="0"/>
        </w:sectPr>
      </w:pPr>
    </w:p>
    <w:bookmarkStart w:id="62" w:name="page63"/>
    <w:bookmarkEnd w:id="62"/>
    <w:p>
      <w:pPr>
        <w:ind w:left="660" w:right="40"/>
        <w:spacing w:after="0" w:line="288" w:lineRule="auto"/>
        <w:rPr>
          <w:sz w:val="20"/>
          <w:szCs w:val="20"/>
          <w:color w:val="auto"/>
        </w:rPr>
      </w:pPr>
      <w:r>
        <w:rPr>
          <w:rFonts w:ascii="Arial" w:cs="Arial" w:eastAsia="Arial" w:hAnsi="Arial"/>
          <w:sz w:val="16"/>
          <w:szCs w:val="16"/>
          <w:color w:val="auto"/>
        </w:rPr>
        <w:t xml:space="preserve">Borrower pursuant to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or (ii) such Recipient changes its Lending Office, except in each case to the extent that,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amounts with respect to such taxes were payable either to such Recipient’s assignor immediately before such Recipient became a party hereto or to such Recipient immediately before it changed its Lending Office and (z) U.S. federal withholding tax imposed under FATCA (all non-excluded items being called “</w:t>
      </w:r>
      <w:r>
        <w:rPr>
          <w:rFonts w:ascii="Arial" w:cs="Arial" w:eastAsia="Arial" w:hAnsi="Arial"/>
          <w:sz w:val="16"/>
          <w:szCs w:val="16"/>
          <w:u w:val="single" w:color="auto"/>
          <w:color w:val="auto"/>
        </w:rPr>
        <w:t>Taxes</w:t>
      </w:r>
      <w:r>
        <w:rPr>
          <w:rFonts w:ascii="Arial" w:cs="Arial" w:eastAsia="Arial" w:hAnsi="Arial"/>
          <w:sz w:val="16"/>
          <w:szCs w:val="16"/>
          <w:color w:val="auto"/>
        </w:rPr>
        <w:t>”). If any withholding or deduction of any Taxes from any payment by or on account of any obligation of any Loan Party hereunder is required in respect of any Taxes pursuant to any applicable Law, then (i) the applicable Withholding Agent shall be entitled to make such withholding or deduction and shall pay directly to the relevant Governmental Authority the full amount required to be so withheld or deducted, (ii) the applicable Withholding Agent shall promptly forward to the Administrative Agent an official receipt or other documentation satisfactory to the Administrative Agent evidencing such payment to such Governmental Authority and (iii) the sum payable by the applicable Loan Party shall be increased by such additional amount or amounts as is necessary to ensure that the net amount actually received by the applicable Recipient will equal the full amount such Recipient would have received had no such withholding or deduction been required.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firstLine="645"/>
        <w:spacing w:after="0" w:line="259" w:lineRule="auto"/>
        <w:tabs>
          <w:tab w:leader="none" w:pos="196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Borrower shall indemnify each Recipient, within ten (10) days after demand therefor, for the full amount of any Taxes (including Taxes imposed on or attributable to amounts payable under this Section) payable or paid by such Recipient or required to be withheld or deducted from a payment by such Recipient and any reasonable expenses arising therefrom or with respect thereto, whether or not such Taxes were correctly or legally imposed or asserted by the relevant Governmental Authority.</w:t>
      </w:r>
    </w:p>
    <w:p>
      <w:pPr>
        <w:spacing w:after="0" w:line="186" w:lineRule="exact"/>
        <w:rPr>
          <w:rFonts w:ascii="Arial" w:cs="Arial" w:eastAsia="Arial" w:hAnsi="Arial"/>
          <w:sz w:val="18"/>
          <w:szCs w:val="18"/>
          <w:color w:val="auto"/>
        </w:rPr>
      </w:pPr>
    </w:p>
    <w:p>
      <w:pPr>
        <w:ind w:left="660" w:firstLine="645"/>
        <w:spacing w:after="0" w:line="286" w:lineRule="auto"/>
        <w:tabs>
          <w:tab w:leader="none" w:pos="1967"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Each Lender that is not a “United States person” as defined in Section 7701(a)(30) of the Internal Revenue Code that purports to become an assignee of an interest pursuant to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after the Effective Date (each such Lender a “</w:t>
      </w:r>
      <w:r>
        <w:rPr>
          <w:rFonts w:ascii="Arial" w:cs="Arial" w:eastAsia="Arial" w:hAnsi="Arial"/>
          <w:sz w:val="16"/>
          <w:szCs w:val="16"/>
          <w:u w:val="single" w:color="auto"/>
          <w:color w:val="auto"/>
        </w:rPr>
        <w:t>Foreign Lender</w:t>
      </w:r>
      <w:r>
        <w:rPr>
          <w:rFonts w:ascii="Arial" w:cs="Arial" w:eastAsia="Arial" w:hAnsi="Arial"/>
          <w:sz w:val="16"/>
          <w:szCs w:val="16"/>
          <w:color w:val="auto"/>
        </w:rPr>
        <w:t xml:space="preserve">”) shall execute and deliver to each of the Borrower and the Administrative Agent on or prior to the date that such Lender becomes a party hereto (and from time to time thereafter upon the reasonable request of the Borrower or the Administrative Agent), one or more (as the Borrower or the Administrative Agent may reasonably request) duly completed and executed copies of United States Internal Revenue Service Forms W-8ECI, W-8BEN, W-8BEN-E, W-8IMY (as applicable) and other applicable forms, certificates or documents prescribed by the United States Internal Revenue Service or reasonably requested by the Borrower or the Administrative Agent certifying as to such Lender’s entitlement to any available exemption from or reduction of withholding or deduction of taxes. Each Lender that is a “United States person” as defined in Section 7701(a)(30) of the Internal Revenue Code shall execute and deliver to the Borrower and the Administrative Agent on or prior to the date such Lender becomes a party hereto (and from time to time thereafter upon the reasonable request of the Borrower or the Administrative Agent), one or more (as the Borrower or the Administrative Agent may reasonably request) duly completed and executed copies of United States Internal Revenue Service Form W-9 certifying that such Lender is not subject to United States backup withholding. The Borrower shall not be required to pay additional amounts to any Lender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taxes attributable to the failure of such Foreign Lender to comply with this paragraph.</w:t>
      </w:r>
    </w:p>
    <w:p>
      <w:pPr>
        <w:spacing w:after="0" w:line="174" w:lineRule="exact"/>
        <w:rPr>
          <w:rFonts w:ascii="Arial" w:cs="Arial" w:eastAsia="Arial" w:hAnsi="Arial"/>
          <w:sz w:val="16"/>
          <w:szCs w:val="16"/>
          <w:color w:val="auto"/>
        </w:rPr>
      </w:pPr>
    </w:p>
    <w:p>
      <w:pPr>
        <w:ind w:left="660" w:right="540" w:firstLine="645"/>
        <w:spacing w:after="0" w:line="264" w:lineRule="auto"/>
        <w:tabs>
          <w:tab w:leader="none" w:pos="196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promptly update such form or certification or promptly notify the Administrative Agent and the Borrower of its inability to do so.</w:t>
      </w:r>
    </w:p>
    <w:p>
      <w:pPr>
        <w:spacing w:after="0" w:line="181" w:lineRule="exact"/>
        <w:rPr>
          <w:rFonts w:ascii="Arial" w:cs="Arial" w:eastAsia="Arial" w:hAnsi="Arial"/>
          <w:sz w:val="18"/>
          <w:szCs w:val="18"/>
          <w:color w:val="auto"/>
        </w:rPr>
      </w:pPr>
    </w:p>
    <w:p>
      <w:pPr>
        <w:ind w:left="660" w:firstLine="645"/>
        <w:spacing w:after="0" w:line="287" w:lineRule="auto"/>
        <w:tabs>
          <w:tab w:leader="none" w:pos="1967"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If any Lender determines, in its sole discretion exercised in good faith, that it has received a refund of any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giving rise to such refund), net of all out-of-pocket expenses (including taxes) incurred by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such Lender, agrees to repay the amount paid over to the Borrower (plus any penalties, interest or other charges imposed by the relevant Governmental Authority) to such Lender in the event such Lender is required to repay such refund to such Governmental Authority. Notwithstanding anything to the contrary in this subsection, in no event will the applicable Lender be required to pay any amount to the Borrower pursuant to this subsection the payment of which would place such Lender in a less favorable net after-tax position than such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any Lender to make available its tax returns (or any other information relating to its taxes that it deems confidential) to the Borrower or any other Person.</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7"/>
          <w:szCs w:val="17"/>
          <w:u w:val="single" w:color="auto"/>
          <w:color w:val="auto"/>
        </w:rPr>
        <w:t>Survival.</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Commitments, repayment of all Obligations hereunder and resignation of the Administrative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5"/>
          <w:szCs w:val="15"/>
          <w:u w:val="single" w:color="auto"/>
          <w:color w:val="auto"/>
        </w:rPr>
        <w:t>The Guaranty.</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Each of the Guarantors hereby jointly and severally guarantees to each Secured Party and the Administrative Agent as hereinafter provided, as primary obligor and not as surety, the prompt payment of the Obligations in full when due (whether at stated maturity, as a mandatory prepayment, by acceleration or otherwise) strictly in accordance with the terms thereof. The Guarantors hereby further agree that if any of the Obligations are not paid in full when due (whether at stated maturity, as a mandatory prepayment, by acceleration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or otherwise) in accordance with the terms of such extension or renewal.</w:t>
      </w:r>
    </w:p>
    <w:p>
      <w:pPr>
        <w:sectPr>
          <w:pgSz w:w="11900" w:h="16838" w:orient="portrait"/>
          <w:cols w:equalWidth="0" w:num="1">
            <w:col w:w="11400"/>
          </w:cols>
          <w:pgMar w:left="240" w:top="125" w:right="259" w:bottom="0" w:gutter="0" w:footer="0" w:header="0"/>
        </w:sectPr>
      </w:pPr>
    </w:p>
    <w:bookmarkStart w:id="63" w:name="page64"/>
    <w:bookmarkEnd w:id="63"/>
    <w:p>
      <w:pPr>
        <w:jc w:val="both"/>
        <w:ind w:right="100" w:firstLine="648"/>
        <w:spacing w:after="0" w:line="264" w:lineRule="auto"/>
        <w:rPr>
          <w:sz w:val="20"/>
          <w:szCs w:val="20"/>
          <w:color w:val="auto"/>
        </w:rPr>
      </w:pPr>
      <w:r>
        <w:rPr>
          <w:rFonts w:ascii="Arial" w:cs="Arial" w:eastAsia="Arial" w:hAnsi="Arial"/>
          <w:sz w:val="18"/>
          <w:szCs w:val="18"/>
          <w:color w:val="auto"/>
        </w:rPr>
        <w:t>Notwithstanding any provision to the contrary contained herein or in any other of the Loan Documents, the obligations of each Guarantor under this Agreement and the other Loan Documents shall be limited to an aggregate amount equal to the largest amount that would not render such obligations subject to avoidance under Debtor Relief Laws or any comparable provisions of any applicable state law.</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u w:val="single" w:color="auto"/>
          <w:color w:val="auto"/>
        </w:rPr>
        <w:t>Obligations Unconditional.</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The obligations of the Guarantors under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joint and several, absolute and unconditional, irrespective of the value, genuineness, validity, regularity or enforceability of any of the Loan Documents, or any other agreement or instrument referred to therein, or any substitution, release, impairment or exchange of any other guarantee of or security for any of the Obligations, and, to the fullest extent permitted by applicable law, irrespective of any law or regulation or other circumstance whatsoever which might otherwise constitute a legal or equitable discharge or defense of a surety or guarantor, it being the intent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until such time as the Obligations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67" w:lineRule="exact"/>
        <w:rPr>
          <w:sz w:val="20"/>
          <w:szCs w:val="20"/>
          <w:color w:val="auto"/>
        </w:rPr>
      </w:pPr>
    </w:p>
    <w:p>
      <w:pPr>
        <w:ind w:left="660" w:right="200" w:firstLine="645"/>
        <w:spacing w:after="0" w:line="277" w:lineRule="auto"/>
        <w:tabs>
          <w:tab w:leader="none" w:pos="195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any Guarantor, the time for any performance of or compliance with any of the Obligations shall be extended, or such performance or compliance shall be waived;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firstLine="645"/>
        <w:spacing w:after="0" w:line="277" w:lineRule="auto"/>
        <w:tabs>
          <w:tab w:leader="none" w:pos="19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any of the Loan Documents, or any other agreement or instrument referred to in the Loan Documents shall be done or omitted;</w:t>
      </w:r>
    </w:p>
    <w:p>
      <w:pPr>
        <w:spacing w:after="0" w:line="170" w:lineRule="exact"/>
        <w:rPr>
          <w:rFonts w:ascii="Arial" w:cs="Arial" w:eastAsia="Arial" w:hAnsi="Arial"/>
          <w:sz w:val="18"/>
          <w:szCs w:val="18"/>
          <w:color w:val="auto"/>
        </w:rPr>
      </w:pPr>
    </w:p>
    <w:p>
      <w:pPr>
        <w:ind w:left="660" w:right="120" w:firstLine="645"/>
        <w:spacing w:after="0" w:line="259" w:lineRule="auto"/>
        <w:tabs>
          <w:tab w:leader="none" w:pos="19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maturity of any of the Obligations shall be accelerated, or any of the Obligations shall be modified, supplemented or amended in any respect, or any right under any of the Loan Documents, or any other agreement or instrument referred to in the Loan Documents shall be waived or any other guarantee of any of the Obligations or any security therefor shall be released, impaired or exchanged in whole or in part or otherwise dealt with;</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Lien granted to, or in favor of, any Secured Party as security for any of the Obligations shall fail to attach or be perfected; or</w:t>
      </w:r>
    </w:p>
    <w:p>
      <w:pPr>
        <w:spacing w:after="0" w:line="248" w:lineRule="exact"/>
        <w:rPr>
          <w:rFonts w:ascii="Arial" w:cs="Arial" w:eastAsia="Arial" w:hAnsi="Arial"/>
          <w:sz w:val="16"/>
          <w:szCs w:val="16"/>
          <w:color w:val="auto"/>
        </w:rPr>
      </w:pPr>
    </w:p>
    <w:p>
      <w:pPr>
        <w:ind w:left="660" w:right="200" w:firstLine="645"/>
        <w:spacing w:after="0" w:line="308" w:lineRule="auto"/>
        <w:tabs>
          <w:tab w:leader="none" w:pos="1967"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4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With respect to its obligations hereunder, each Guarantor hereby expressly waives diligence, presentment, demand of payment, protest and all notices whatsoever, and any requirement that the Secured Parties exhaust any right, power or remedy or proceed against any Person under any of the Loan Documents, or any other agreement or instrument referred to in the Loan Documents, or against any other Person under any other guarantee of, or security for, any of the Obligations.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6"/>
          <w:szCs w:val="16"/>
          <w:u w:val="single" w:color="auto"/>
          <w:color w:val="auto"/>
        </w:rPr>
        <w:t>Reinstatement.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The obligations of the Guarantors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automatically reinstated if and to the extent that for any reason any payment by or on behalf of any Person in respect of the Obligations is rescinded or must be otherwise restored by any Secured Party, whether as a result of any proceedings in bankruptcy or reorganization or otherwise, and each Guarantor agrees that it will indemnify the Secured Parties on demand for all reasonable costs and expenses (including, without limitation, the fees, charges and disbursements of counsel) incurred by the Secured Parties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6"/>
          <w:szCs w:val="16"/>
          <w:u w:val="single" w:color="auto"/>
          <w:color w:val="auto"/>
        </w:rPr>
        <w:t>Certain Additional Waivers.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Each Guarantor agrees that such Guarantor shall have no right of recourse to security for the Obligations, except through the exercise of rights of subrogation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through the exercise of rights of contribution pursuant to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5"/>
          <w:szCs w:val="15"/>
          <w:u w:val="single" w:color="auto"/>
          <w:color w:val="auto"/>
        </w:rPr>
        <w:t>Remedies.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The Guarantors agree that, to the fullest extent permitted by law, as between the Guarantors, on the one hand, and the Secured Parties, on the other hand, the Obligations may be declared to be forthwith due and payable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shall be deemed to have become automatically due and payable in the circumstances provided in said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for purposes of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Arial" w:cs="Arial" w:eastAsia="Arial" w:hAnsi="Arial"/>
          <w:sz w:val="16"/>
          <w:szCs w:val="16"/>
          <w:u w:val="single" w:color="auto"/>
          <w:color w:val="auto"/>
        </w:rPr>
        <w:t>Section 4.01</w:t>
      </w:r>
      <w:r>
        <w:rPr>
          <w:rFonts w:ascii="Arial" w:cs="Arial" w:eastAsia="Arial" w:hAnsi="Arial"/>
          <w:sz w:val="16"/>
          <w:szCs w:val="16"/>
          <w:color w:val="auto"/>
        </w:rPr>
        <w:t>. The Guarantors acknowledge and agree that their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obligations hereunder are secured in accordance with the terms of the Collateral Documents and that the Secured Parties may exercise their remedies thereunder in accordance with the terms thereof.</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6"/>
          <w:szCs w:val="16"/>
          <w:u w:val="single" w:color="auto"/>
          <w:color w:val="auto"/>
        </w:rPr>
        <w:t>Rights of Contribution.</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w:t>
      </w:r>
    </w:p>
    <w:p>
      <w:pPr>
        <w:sectPr>
          <w:pgSz w:w="11900" w:h="16838" w:orient="portrait"/>
          <w:cols w:equalWidth="0" w:num="1">
            <w:col w:w="11420"/>
          </w:cols>
          <w:pgMar w:left="240" w:top="125" w:right="239" w:bottom="0" w:gutter="0" w:footer="0" w:header="0"/>
        </w:sectPr>
      </w:pPr>
    </w:p>
    <w:bookmarkStart w:id="64" w:name="page65"/>
    <w:bookmarkEnd w:id="64"/>
    <w:p>
      <w:pPr>
        <w:ind w:right="300"/>
        <w:spacing w:after="0" w:line="277" w:lineRule="auto"/>
        <w:rPr>
          <w:sz w:val="20"/>
          <w:szCs w:val="20"/>
          <w:color w:val="auto"/>
        </w:rPr>
      </w:pPr>
      <w:r>
        <w:rPr>
          <w:rFonts w:ascii="Arial" w:cs="Arial" w:eastAsia="Arial" w:hAnsi="Arial"/>
          <w:sz w:val="18"/>
          <w:szCs w:val="18"/>
          <w:color w:val="auto"/>
        </w:rPr>
        <w:t>such Guarantors under the Loan Documents and no Guarantor shall exercise such rights of contribution until all Obligations have been paid in full and the Commitments have terminated.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4.07</w:t>
      </w:r>
      <w:r>
        <w:rPr>
          <w:sz w:val="20"/>
          <w:szCs w:val="20"/>
          <w:color w:val="auto"/>
        </w:rPr>
        <w:tab/>
      </w:r>
      <w:r>
        <w:rPr>
          <w:rFonts w:ascii="Arial" w:cs="Arial" w:eastAsia="Arial" w:hAnsi="Arial"/>
          <w:sz w:val="16"/>
          <w:szCs w:val="16"/>
          <w:u w:val="single" w:color="auto"/>
          <w:color w:val="auto"/>
        </w:rPr>
        <w:t>Guarantee of Payment; Continuing Guarantee.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guarantee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a guaranty of payment and not of collection, is a continuing guarantee, and shall apply to all Obligations whenever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arising.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BORROWINGS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Condition to Effectiveness.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shall become effective upon receipt by the Administrative Agent of executed counterparts of this Agreement, properly executed by a Responsible Officer of each Loan Party and by each Lender, together with all exhibits and schedules hereto.</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6"/>
          <w:szCs w:val="16"/>
          <w:u w:val="single" w:color="auto"/>
          <w:color w:val="auto"/>
        </w:rPr>
        <w:t>Conditions to Initial Extensions of Credit.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 of each Lender to make its initial Loans hereunder is subject to satisfaction of the following conditions precedent:</w:t>
      </w:r>
    </w:p>
    <w:p>
      <w:pPr>
        <w:spacing w:after="0" w:line="225" w:lineRule="exact"/>
        <w:rPr>
          <w:sz w:val="20"/>
          <w:szCs w:val="20"/>
          <w:color w:val="auto"/>
        </w:rPr>
      </w:pPr>
    </w:p>
    <w:p>
      <w:pPr>
        <w:ind w:left="660" w:right="140" w:firstLine="645"/>
        <w:spacing w:after="0" w:line="264" w:lineRule="auto"/>
        <w:tabs>
          <w:tab w:leader="none" w:pos="195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Receipt by the Administrative Agent of executed counterparts of the Loan Documents and the ROFR Side Letter, each properly executed by a Responsible Officer of the signing Loan Party and each other party to such documents, in each case in form and substance satisfactory to the Administrative Agent and the Lenders.</w:t>
      </w:r>
    </w:p>
    <w:p>
      <w:pPr>
        <w:spacing w:after="0" w:line="181" w:lineRule="exact"/>
        <w:rPr>
          <w:rFonts w:ascii="Arial" w:cs="Arial" w:eastAsia="Arial" w:hAnsi="Arial"/>
          <w:sz w:val="18"/>
          <w:szCs w:val="18"/>
          <w:color w:val="auto"/>
        </w:rPr>
      </w:pPr>
    </w:p>
    <w:p>
      <w:pPr>
        <w:ind w:left="660" w:right="80" w:firstLine="645"/>
        <w:spacing w:after="0" w:line="342" w:lineRule="auto"/>
        <w:tabs>
          <w:tab w:leader="none" w:pos="1964"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Opinions of Counsel</w:t>
      </w:r>
      <w:r>
        <w:rPr>
          <w:rFonts w:ascii="Arial" w:cs="Arial" w:eastAsia="Arial" w:hAnsi="Arial"/>
          <w:sz w:val="16"/>
          <w:szCs w:val="16"/>
          <w:color w:val="auto"/>
        </w:rPr>
        <w:t>. Receipt by the Administrative Agent of favorable opinions of legal counsel to the Loan Parties, addressed to the Administrative Agent and each Lender, dated as of the Funding Date, and in form and substance satisfactory to the Administrative Agent.</w:t>
      </w:r>
    </w:p>
    <w:p>
      <w:pPr>
        <w:spacing w:after="0" w:line="123" w:lineRule="exact"/>
        <w:rPr>
          <w:rFonts w:ascii="Arial" w:cs="Arial" w:eastAsia="Arial" w:hAnsi="Arial"/>
          <w:sz w:val="16"/>
          <w:szCs w:val="16"/>
          <w:color w:val="auto"/>
        </w:rPr>
      </w:pPr>
    </w:p>
    <w:p>
      <w:pPr>
        <w:ind w:left="660" w:right="240" w:firstLine="645"/>
        <w:spacing w:after="0" w:line="277" w:lineRule="auto"/>
        <w:tabs>
          <w:tab w:leader="none" w:pos="196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Financial Statements; Due Diligence</w:t>
      </w:r>
      <w:r>
        <w:rPr>
          <w:rFonts w:ascii="Arial" w:cs="Arial" w:eastAsia="Arial" w:hAnsi="Arial"/>
          <w:sz w:val="18"/>
          <w:szCs w:val="18"/>
          <w:color w:val="auto"/>
        </w:rPr>
        <w:t>. The Administrative Agent shall have received the Audited Financial Statements and such other reports, statements and due diligence items as the Administrative Agent or any Lender shall request.</w:t>
      </w:r>
    </w:p>
    <w:p>
      <w:pPr>
        <w:spacing w:after="0" w:line="170" w:lineRule="exact"/>
        <w:rPr>
          <w:rFonts w:ascii="Arial" w:cs="Arial" w:eastAsia="Arial" w:hAnsi="Arial"/>
          <w:sz w:val="18"/>
          <w:szCs w:val="18"/>
          <w:color w:val="auto"/>
        </w:rPr>
      </w:pPr>
    </w:p>
    <w:p>
      <w:pPr>
        <w:ind w:left="660" w:right="300" w:firstLine="645"/>
        <w:spacing w:after="0" w:line="264" w:lineRule="auto"/>
        <w:tabs>
          <w:tab w:leader="none" w:pos="196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There shall not have occurred a material adverse change since December 31, 2015 in the operations, business, assets, properties, liabilities (actual or contingent) or condition (financial or otherwise) of the Borrower and its Subsidiaries, taken as a whole.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firstLine="645"/>
        <w:spacing w:after="0" w:line="342" w:lineRule="auto"/>
        <w:tabs>
          <w:tab w:leader="none" w:pos="1967"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shall not exist any action, suit, investigation or proceeding pending or threatened in any court or before an arbitrator or Governmental Authority that could reasonably be expected, either individually or in the aggregate, to have a Material Adverse Effect.</w:t>
      </w:r>
    </w:p>
    <w:p>
      <w:pPr>
        <w:spacing w:after="0" w:line="123" w:lineRule="exact"/>
        <w:rPr>
          <w:rFonts w:ascii="Arial" w:cs="Arial" w:eastAsia="Arial" w:hAnsi="Arial"/>
          <w:sz w:val="16"/>
          <w:szCs w:val="16"/>
          <w:color w:val="auto"/>
        </w:rPr>
      </w:pPr>
    </w:p>
    <w:p>
      <w:pPr>
        <w:ind w:left="660" w:right="20" w:firstLine="645"/>
        <w:spacing w:after="0" w:line="308" w:lineRule="auto"/>
        <w:tabs>
          <w:tab w:leader="none" w:pos="1961"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Organization Documents, Resolutions, Etc.</w:t>
      </w:r>
      <w:r>
        <w:rPr>
          <w:rFonts w:ascii="Arial" w:cs="Arial" w:eastAsia="Arial" w:hAnsi="Arial"/>
          <w:sz w:val="17"/>
          <w:szCs w:val="17"/>
          <w:color w:val="auto"/>
        </w:rPr>
        <w:t xml:space="preserve"> Receipt by the Administrative Agent of the following, each of which shall be originals or facsimiles (followed promptly by originals), in form and substance satisfactory to the Administrative Agent and its legal counsel:</w:t>
      </w:r>
    </w:p>
    <w:p>
      <w:pPr>
        <w:spacing w:after="0" w:line="146" w:lineRule="exact"/>
        <w:rPr>
          <w:rFonts w:ascii="Arial" w:cs="Arial" w:eastAsia="Arial" w:hAnsi="Arial"/>
          <w:sz w:val="17"/>
          <w:szCs w:val="17"/>
          <w:color w:val="auto"/>
        </w:rPr>
      </w:pPr>
    </w:p>
    <w:p>
      <w:pPr>
        <w:ind w:left="1300" w:right="80" w:firstLine="653"/>
        <w:spacing w:after="0" w:line="286" w:lineRule="auto"/>
        <w:tabs>
          <w:tab w:leader="none" w:pos="2618" w:val="left"/>
        </w:tabs>
        <w:numPr>
          <w:ilvl w:val="2"/>
          <w:numId w:val="69"/>
        </w:numPr>
        <w:rPr>
          <w:rFonts w:ascii="Arial" w:cs="Arial" w:eastAsia="Arial" w:hAnsi="Arial"/>
          <w:sz w:val="17"/>
          <w:szCs w:val="17"/>
          <w:color w:val="auto"/>
        </w:rPr>
      </w:pPr>
      <w:r>
        <w:rPr>
          <w:rFonts w:ascii="Arial" w:cs="Arial" w:eastAsia="Arial" w:hAnsi="Arial"/>
          <w:sz w:val="17"/>
          <w:szCs w:val="17"/>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Funding Date;</w:t>
      </w:r>
    </w:p>
    <w:p>
      <w:pPr>
        <w:spacing w:after="0" w:line="165" w:lineRule="exact"/>
        <w:rPr>
          <w:rFonts w:ascii="Arial" w:cs="Arial" w:eastAsia="Arial" w:hAnsi="Arial"/>
          <w:sz w:val="17"/>
          <w:szCs w:val="17"/>
          <w:color w:val="auto"/>
        </w:rPr>
      </w:pPr>
    </w:p>
    <w:p>
      <w:pPr>
        <w:ind w:left="1300" w:right="180" w:firstLine="653"/>
        <w:spacing w:after="0" w:line="259" w:lineRule="auto"/>
        <w:tabs>
          <w:tab w:leader="none" w:pos="2627" w:val="left"/>
        </w:tabs>
        <w:numPr>
          <w:ilvl w:val="2"/>
          <w:numId w:val="69"/>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spacing w:after="0" w:line="186" w:lineRule="exact"/>
        <w:rPr>
          <w:rFonts w:ascii="Arial" w:cs="Arial" w:eastAsia="Arial" w:hAnsi="Arial"/>
          <w:sz w:val="18"/>
          <w:szCs w:val="18"/>
          <w:color w:val="auto"/>
        </w:rPr>
      </w:pPr>
    </w:p>
    <w:p>
      <w:pPr>
        <w:ind w:left="1300" w:right="200" w:firstLine="653"/>
        <w:spacing w:after="0" w:line="342" w:lineRule="auto"/>
        <w:tabs>
          <w:tab w:leader="none" w:pos="2637" w:val="left"/>
        </w:tabs>
        <w:numPr>
          <w:ilvl w:val="2"/>
          <w:numId w:val="69"/>
        </w:numPr>
        <w:rPr>
          <w:rFonts w:ascii="Arial" w:cs="Arial" w:eastAsia="Arial" w:hAnsi="Arial"/>
          <w:sz w:val="16"/>
          <w:szCs w:val="16"/>
          <w:color w:val="auto"/>
        </w:rPr>
      </w:pPr>
      <w:r>
        <w:rPr>
          <w:rFonts w:ascii="Arial" w:cs="Arial" w:eastAsia="Arial" w:hAnsi="Arial"/>
          <w:sz w:val="16"/>
          <w:szCs w:val="16"/>
          <w:color w:val="auto"/>
        </w:rPr>
        <w:t>such documents and certifications as the Administrative Agent may require to evidence that each Loan Party is duly organized or formed, and is validly existing, in good standing and qualified to engage in business in its state of organization or formation.</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Perfection and Priority of Liens</w:t>
      </w:r>
      <w:r>
        <w:rPr>
          <w:rFonts w:ascii="Arial" w:cs="Arial" w:eastAsia="Arial" w:hAnsi="Arial"/>
          <w:sz w:val="18"/>
          <w:szCs w:val="18"/>
          <w:color w:val="auto"/>
        </w:rPr>
        <w:t>. Receipt by the Administrative Agent of the following:</w:t>
      </w:r>
    </w:p>
    <w:p>
      <w:pPr>
        <w:spacing w:after="0" w:line="225" w:lineRule="exact"/>
        <w:rPr>
          <w:rFonts w:ascii="Arial" w:cs="Arial" w:eastAsia="Arial" w:hAnsi="Arial"/>
          <w:sz w:val="18"/>
          <w:szCs w:val="18"/>
          <w:color w:val="auto"/>
        </w:rPr>
      </w:pPr>
    </w:p>
    <w:p>
      <w:pPr>
        <w:jc w:val="both"/>
        <w:ind w:left="1220" w:right="60" w:firstLine="652"/>
        <w:spacing w:after="0" w:line="264" w:lineRule="auto"/>
        <w:tabs>
          <w:tab w:leader="none" w:pos="2619" w:val="left"/>
        </w:tabs>
        <w:numPr>
          <w:ilvl w:val="1"/>
          <w:numId w:val="69"/>
        </w:numPr>
        <w:rPr>
          <w:rFonts w:ascii="Arial" w:cs="Arial" w:eastAsia="Arial" w:hAnsi="Arial"/>
          <w:sz w:val="18"/>
          <w:szCs w:val="18"/>
          <w:color w:val="auto"/>
        </w:rPr>
      </w:pPr>
      <w:r>
        <w:rPr>
          <w:rFonts w:ascii="Arial" w:cs="Arial" w:eastAsia="Arial" w:hAnsi="Arial"/>
          <w:sz w:val="18"/>
          <w:szCs w:val="18"/>
          <w:color w:val="auto"/>
        </w:rPr>
        <w:t>searches of Uniform Commercial Code filings in the jurisdiction of formation of each Loan Party or where a filing would need to be made in order to perfect the Administrative Agent’s security interest in the Collateral, copies of the financing statements on file in such jurisdictions and evidence that no Liens exist other than Permitted Liens;</w:t>
      </w:r>
    </w:p>
    <w:p>
      <w:pPr>
        <w:spacing w:after="0" w:line="181" w:lineRule="exact"/>
        <w:rPr>
          <w:rFonts w:ascii="Arial" w:cs="Arial" w:eastAsia="Arial" w:hAnsi="Arial"/>
          <w:sz w:val="18"/>
          <w:szCs w:val="18"/>
          <w:color w:val="auto"/>
        </w:rPr>
      </w:pPr>
    </w:p>
    <w:p>
      <w:pPr>
        <w:ind w:left="1220" w:right="80" w:firstLine="652"/>
        <w:spacing w:after="0" w:line="277" w:lineRule="auto"/>
        <w:tabs>
          <w:tab w:leader="none" w:pos="2628" w:val="left"/>
        </w:tabs>
        <w:numPr>
          <w:ilvl w:val="1"/>
          <w:numId w:val="69"/>
        </w:numPr>
        <w:rPr>
          <w:rFonts w:ascii="Arial" w:cs="Arial" w:eastAsia="Arial" w:hAnsi="Arial"/>
          <w:sz w:val="18"/>
          <w:szCs w:val="18"/>
          <w:color w:val="auto"/>
        </w:rPr>
      </w:pPr>
      <w:r>
        <w:rPr>
          <w:rFonts w:ascii="Arial" w:cs="Arial" w:eastAsia="Arial" w:hAnsi="Arial"/>
          <w:sz w:val="18"/>
          <w:szCs w:val="18"/>
          <w:color w:val="auto"/>
        </w:rPr>
        <w:t>UCC financing statements for each appropriate jurisdiction as is necessary, in the Administrative Agent’s sole discretion, to perfect the Administrative Agent’s security interest in the Collateral;</w:t>
      </w:r>
    </w:p>
    <w:p>
      <w:pPr>
        <w:spacing w:after="0" w:line="170" w:lineRule="exact"/>
        <w:rPr>
          <w:rFonts w:ascii="Arial" w:cs="Arial" w:eastAsia="Arial" w:hAnsi="Arial"/>
          <w:sz w:val="18"/>
          <w:szCs w:val="18"/>
          <w:color w:val="auto"/>
        </w:rPr>
      </w:pPr>
    </w:p>
    <w:p>
      <w:pPr>
        <w:ind w:left="1220" w:right="260" w:firstLine="652"/>
        <w:spacing w:after="0" w:line="277" w:lineRule="auto"/>
        <w:tabs>
          <w:tab w:leader="none" w:pos="263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certificates evidencing any certificated Equity Interests pledged to the Administrative Agent pursuant to the Pledge Agreement, together with duly executed in blank and undated stock powers attached thereto;</w:t>
      </w:r>
    </w:p>
    <w:p>
      <w:pPr>
        <w:spacing w:after="0" w:line="170" w:lineRule="exact"/>
        <w:rPr>
          <w:rFonts w:ascii="Arial" w:cs="Arial" w:eastAsia="Arial" w:hAnsi="Arial"/>
          <w:sz w:val="18"/>
          <w:szCs w:val="18"/>
          <w:color w:val="auto"/>
        </w:rPr>
      </w:pPr>
    </w:p>
    <w:p>
      <w:pPr>
        <w:ind w:left="2620" w:hanging="748"/>
        <w:spacing w:after="0"/>
        <w:tabs>
          <w:tab w:leader="none" w:pos="26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searches of ownership of, and Liens on, the IP Rights of each Loan Party in the appropriate governmental offices;</w:t>
      </w:r>
    </w:p>
    <w:p>
      <w:pPr>
        <w:spacing w:after="0" w:line="236" w:lineRule="exact"/>
        <w:rPr>
          <w:rFonts w:ascii="Arial" w:cs="Arial" w:eastAsia="Arial" w:hAnsi="Arial"/>
          <w:sz w:val="17"/>
          <w:szCs w:val="17"/>
          <w:color w:val="auto"/>
        </w:rPr>
      </w:pPr>
    </w:p>
    <w:p>
      <w:pPr>
        <w:ind w:left="1220" w:right="100" w:firstLine="652"/>
        <w:spacing w:after="0" w:line="308" w:lineRule="auto"/>
        <w:tabs>
          <w:tab w:leader="none" w:pos="2605" w:val="left"/>
        </w:tabs>
        <w:numPr>
          <w:ilvl w:val="1"/>
          <w:numId w:val="69"/>
        </w:numPr>
        <w:rPr>
          <w:rFonts w:ascii="Arial" w:cs="Arial" w:eastAsia="Arial" w:hAnsi="Arial"/>
          <w:sz w:val="17"/>
          <w:szCs w:val="17"/>
          <w:color w:val="auto"/>
        </w:rPr>
      </w:pPr>
      <w:r>
        <w:rPr>
          <w:rFonts w:ascii="Arial" w:cs="Arial" w:eastAsia="Arial" w:hAnsi="Arial"/>
          <w:sz w:val="17"/>
          <w:szCs w:val="17"/>
          <w:color w:val="auto"/>
        </w:rPr>
        <w:t>duly executed notices of grant of security interest in the form required by the Security Agreement as are necessary, in the Administrative Agent’s sole discretion, to perfect the Administrative Agent’s security interest in the IP Rights of the Loan Parties;</w:t>
      </w:r>
    </w:p>
    <w:p>
      <w:pPr>
        <w:spacing w:after="0" w:line="146" w:lineRule="exact"/>
        <w:rPr>
          <w:rFonts w:ascii="Arial" w:cs="Arial" w:eastAsia="Arial" w:hAnsi="Arial"/>
          <w:sz w:val="17"/>
          <w:szCs w:val="17"/>
          <w:color w:val="auto"/>
        </w:rPr>
      </w:pPr>
    </w:p>
    <w:p>
      <w:pPr>
        <w:ind w:left="2620" w:hanging="748"/>
        <w:spacing w:after="0"/>
        <w:tabs>
          <w:tab w:leader="none" w:pos="26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such Qualifying Account Control Agreements as shall be necessary to cause the Loan Parties to be in compliance with</w:t>
      </w:r>
    </w:p>
    <w:p>
      <w:pPr>
        <w:spacing w:after="0" w:line="46"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65" w:name="page66"/>
    <w:bookmarkEnd w:id="65"/>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20" w:right="160" w:firstLine="652"/>
        <w:spacing w:after="0" w:line="264" w:lineRule="auto"/>
        <w:tabs>
          <w:tab w:leader="none" w:pos="262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the extent required to be delivered pursuant to the terms of the Collateral Documents, all instruments, documents and chattel paper in the possession of any of the Loan Parties, together with allonges or assignments as may be necessary or appropriate to perfect the Administrative Agent’s security interest in the Collateral; and</w:t>
      </w:r>
    </w:p>
    <w:p>
      <w:pPr>
        <w:spacing w:after="0" w:line="181" w:lineRule="exact"/>
        <w:rPr>
          <w:rFonts w:ascii="Arial" w:cs="Arial" w:eastAsia="Arial" w:hAnsi="Arial"/>
          <w:sz w:val="18"/>
          <w:szCs w:val="18"/>
          <w:color w:val="auto"/>
        </w:rPr>
      </w:pPr>
    </w:p>
    <w:p>
      <w:pPr>
        <w:ind w:left="1220" w:right="480" w:firstLine="652"/>
        <w:spacing w:after="0" w:line="277" w:lineRule="auto"/>
        <w:tabs>
          <w:tab w:leader="none" w:pos="2633"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case of any personal property Collateral located at a premises leased by a Loan Party, such Collateral Access Agreements as may be required by the Administrative Agent.</w:t>
      </w:r>
    </w:p>
    <w:p>
      <w:pPr>
        <w:spacing w:after="0" w:line="170" w:lineRule="exact"/>
        <w:rPr>
          <w:rFonts w:ascii="Arial" w:cs="Arial" w:eastAsia="Arial" w:hAnsi="Arial"/>
          <w:sz w:val="18"/>
          <w:szCs w:val="18"/>
          <w:color w:val="auto"/>
        </w:rPr>
      </w:pPr>
    </w:p>
    <w:p>
      <w:pPr>
        <w:ind w:left="660" w:right="180" w:firstLine="645"/>
        <w:spacing w:after="0" w:line="264" w:lineRule="auto"/>
        <w:tabs>
          <w:tab w:leader="none" w:pos="196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Real Property Collateral</w:t>
      </w:r>
      <w:r>
        <w:rPr>
          <w:rFonts w:ascii="Arial" w:cs="Arial" w:eastAsia="Arial" w:hAnsi="Arial"/>
          <w:sz w:val="18"/>
          <w:szCs w:val="18"/>
          <w:color w:val="auto"/>
        </w:rPr>
        <w:t xml:space="preserve">. Receipt by the Administrative Agent of Mortgages and other Real Property Security Documents with respect to the fee interest and/or leasehold interest of any Loan Party in each real property identified on </w:t>
      </w:r>
      <w:r>
        <w:rPr>
          <w:rFonts w:ascii="Arial" w:cs="Arial" w:eastAsia="Arial" w:hAnsi="Arial"/>
          <w:sz w:val="18"/>
          <w:szCs w:val="18"/>
          <w:u w:val="single" w:color="auto"/>
          <w:color w:val="auto"/>
        </w:rPr>
        <w:t>Schedule 6.20(a)</w:t>
      </w:r>
      <w:r>
        <w:rPr>
          <w:rFonts w:ascii="Arial" w:cs="Arial" w:eastAsia="Arial" w:hAnsi="Arial"/>
          <w:sz w:val="18"/>
          <w:szCs w:val="18"/>
          <w:color w:val="auto"/>
        </w:rPr>
        <w:t xml:space="preserve"> (other than any Excluded Property).</w:t>
      </w:r>
    </w:p>
    <w:p>
      <w:pPr>
        <w:spacing w:after="0" w:line="181" w:lineRule="exact"/>
        <w:rPr>
          <w:rFonts w:ascii="Arial" w:cs="Arial" w:eastAsia="Arial" w:hAnsi="Arial"/>
          <w:sz w:val="18"/>
          <w:szCs w:val="18"/>
          <w:color w:val="auto"/>
        </w:rPr>
      </w:pPr>
    </w:p>
    <w:p>
      <w:pPr>
        <w:jc w:val="both"/>
        <w:ind w:left="660" w:right="60" w:firstLine="645"/>
        <w:spacing w:after="0" w:line="259" w:lineRule="auto"/>
        <w:tabs>
          <w:tab w:leader="none" w:pos="197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Receipt by the Administrative Agent of copies of insurance policies or certificates of insurance of the Loan Parties evidencing liability and casualty insurance meeting the requirements set forth in the Loan Documents, including, but not limited to, naming the Administrative Agent as additional insured (in the case of liability insurance) or Lender’s loss payee (in the case of hazard insurance) on behalf of the Secured Parties.</w:t>
      </w:r>
    </w:p>
    <w:p>
      <w:pPr>
        <w:spacing w:after="0" w:line="186" w:lineRule="exact"/>
        <w:rPr>
          <w:rFonts w:ascii="Arial" w:cs="Arial" w:eastAsia="Arial" w:hAnsi="Arial"/>
          <w:sz w:val="18"/>
          <w:szCs w:val="18"/>
          <w:color w:val="auto"/>
        </w:rPr>
      </w:pPr>
    </w:p>
    <w:p>
      <w:pPr>
        <w:ind w:left="660" w:right="120" w:firstLine="645"/>
        <w:spacing w:after="0" w:line="302" w:lineRule="auto"/>
        <w:tabs>
          <w:tab w:leader="none" w:pos="1964"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Funding Certificate</w:t>
      </w:r>
      <w:r>
        <w:rPr>
          <w:rFonts w:ascii="Arial" w:cs="Arial" w:eastAsia="Arial" w:hAnsi="Arial"/>
          <w:sz w:val="16"/>
          <w:szCs w:val="16"/>
          <w:color w:val="auto"/>
        </w:rPr>
        <w:t xml:space="preserve">. Receipt by the Administrative Agent of a certificate signed by a Responsible Officer of the Borrower certifying (i) that the conditions specified in </w:t>
      </w:r>
      <w:r>
        <w:rPr>
          <w:rFonts w:ascii="Arial" w:cs="Arial" w:eastAsia="Arial" w:hAnsi="Arial"/>
          <w:sz w:val="16"/>
          <w:szCs w:val="16"/>
          <w:u w:val="single" w:color="auto"/>
          <w:color w:val="auto"/>
        </w:rPr>
        <w:t>Sections 5.02(d)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5.03(a)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have been satisfied, (ii) that the Borrower and its Subsidiaries (after giving effect to the transactions contemplated hereby and the incurrence of Indebtedness related thereto) are Solvent on a consolidated basis and (iii) that neither the Borrower nor any Subsidiary as of the Funding Date has outstanding any Disqualified Capital Stock.</w:t>
      </w:r>
    </w:p>
    <w:p>
      <w:pPr>
        <w:spacing w:after="0" w:line="154" w:lineRule="exact"/>
        <w:rPr>
          <w:rFonts w:ascii="Arial" w:cs="Arial" w:eastAsia="Arial" w:hAnsi="Arial"/>
          <w:sz w:val="16"/>
          <w:szCs w:val="16"/>
          <w:color w:val="auto"/>
        </w:rPr>
      </w:pPr>
    </w:p>
    <w:p>
      <w:pPr>
        <w:jc w:val="both"/>
        <w:ind w:left="660" w:right="80" w:firstLine="645"/>
        <w:spacing w:after="0" w:line="259" w:lineRule="auto"/>
        <w:tabs>
          <w:tab w:leader="none" w:pos="196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All of the existing Indebtedness for borrowed money of the Loan Parties and their respective Subsidiaries (including all Indebtedness under the Existing Credit Agreement but, for the avoidance of doubt, excluding Indebtedness permitted to exist pursuant to </w:t>
      </w:r>
      <w:r>
        <w:rPr>
          <w:rFonts w:ascii="Arial" w:cs="Arial" w:eastAsia="Arial" w:hAnsi="Arial"/>
          <w:sz w:val="18"/>
          <w:szCs w:val="18"/>
          <w:u w:val="single" w:color="auto"/>
          <w:color w:val="auto"/>
        </w:rPr>
        <w:t>Section 8.03</w:t>
      </w:r>
      <w:r>
        <w:rPr>
          <w:rFonts w:ascii="Arial" w:cs="Arial" w:eastAsia="Arial" w:hAnsi="Arial"/>
          <w:sz w:val="18"/>
          <w:szCs w:val="18"/>
          <w:color w:val="auto"/>
        </w:rPr>
        <w:t>), shall be repaid in full and all security interests related thereto shall be terminated on the Funding Date contemporaneously with the Term A Borrowing.</w:t>
      </w:r>
    </w:p>
    <w:p>
      <w:pPr>
        <w:spacing w:after="0" w:line="186" w:lineRule="exact"/>
        <w:rPr>
          <w:rFonts w:ascii="Arial" w:cs="Arial" w:eastAsia="Arial" w:hAnsi="Arial"/>
          <w:sz w:val="18"/>
          <w:szCs w:val="18"/>
          <w:color w:val="auto"/>
        </w:rPr>
      </w:pPr>
    </w:p>
    <w:p>
      <w:pPr>
        <w:ind w:left="660" w:right="20" w:firstLine="645"/>
        <w:spacing w:after="0" w:line="255" w:lineRule="auto"/>
        <w:tabs>
          <w:tab w:leader="none" w:pos="197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Governmental and Third Party Approvals</w:t>
      </w:r>
      <w:r>
        <w:rPr>
          <w:rFonts w:ascii="Arial" w:cs="Arial" w:eastAsia="Arial" w:hAnsi="Arial"/>
          <w:sz w:val="18"/>
          <w:szCs w:val="18"/>
          <w:color w:val="auto"/>
        </w:rPr>
        <w:t>. The Borrower and its Subsidiaries shall have received all governmental, stockholder and third party consents and approvals necessary in connection with the transactions contemplated by this Agreement and the other Loan Documents and the other transactions contemplated hereby and all applicable waiting periods shall have expired without any action being taken by any Person that could reasonably be expected to restrain, prevent or impose any material adverse conditions on the Borrower or any of its Subsidiaries or such other transactions or that could seek to threaten any of the foregoing, and no law or regulation shall be applicable which could reasonably be expected to have such effect.</w:t>
      </w:r>
    </w:p>
    <w:p>
      <w:pPr>
        <w:spacing w:after="0" w:line="193" w:lineRule="exact"/>
        <w:rPr>
          <w:rFonts w:ascii="Arial" w:cs="Arial" w:eastAsia="Arial" w:hAnsi="Arial"/>
          <w:sz w:val="18"/>
          <w:szCs w:val="18"/>
          <w:color w:val="auto"/>
        </w:rPr>
      </w:pPr>
    </w:p>
    <w:p>
      <w:pPr>
        <w:jc w:val="both"/>
        <w:ind w:left="660" w:right="160" w:firstLine="645"/>
        <w:spacing w:after="0" w:line="264" w:lineRule="auto"/>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Corporate Structure and Capitalization</w:t>
      </w:r>
      <w:r>
        <w:rPr>
          <w:rFonts w:ascii="Arial" w:cs="Arial" w:eastAsia="Arial" w:hAnsi="Arial"/>
          <w:sz w:val="18"/>
          <w:szCs w:val="18"/>
          <w:color w:val="auto"/>
        </w:rPr>
        <w:t xml:space="preserve">. The capital and ownership structure and the equity holder arrangements of the Borrower and its Subsidiaries on the Funding Date,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after giving effect to the transactions contemplated by the Loan Documents shall be reasonably satisfactory to the Lenders.</w:t>
      </w:r>
    </w:p>
    <w:p>
      <w:pPr>
        <w:spacing w:after="0" w:line="181"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Letter of Direction</w:t>
      </w:r>
      <w:r>
        <w:rPr>
          <w:rFonts w:ascii="Arial" w:cs="Arial" w:eastAsia="Arial" w:hAnsi="Arial"/>
          <w:sz w:val="18"/>
          <w:szCs w:val="18"/>
          <w:color w:val="auto"/>
        </w:rPr>
        <w:t>. Receipt by the Administrative Agent of a satisfactory letter of direction containing funds flow information with respect to the proceeds of the Loans to be made on the Funding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Fees</w:t>
      </w:r>
      <w:r>
        <w:rPr>
          <w:rFonts w:ascii="Arial" w:cs="Arial" w:eastAsia="Arial" w:hAnsi="Arial"/>
          <w:sz w:val="17"/>
          <w:szCs w:val="17"/>
          <w:color w:val="auto"/>
        </w:rPr>
        <w:t>. Receipt by the Administrative Agent and the Lenders of any fees required to be paid on or before the Funding Date.</w:t>
      </w:r>
    </w:p>
    <w:p>
      <w:pPr>
        <w:spacing w:after="0" w:line="236" w:lineRule="exact"/>
        <w:rPr>
          <w:rFonts w:ascii="Arial" w:cs="Arial" w:eastAsia="Arial" w:hAnsi="Arial"/>
          <w:sz w:val="17"/>
          <w:szCs w:val="17"/>
          <w:color w:val="auto"/>
        </w:rPr>
      </w:pPr>
    </w:p>
    <w:p>
      <w:pPr>
        <w:ind w:left="660" w:right="120" w:firstLine="645"/>
        <w:spacing w:after="0" w:line="276" w:lineRule="auto"/>
        <w:tabs>
          <w:tab w:leader="none" w:pos="1964"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Attorney Costs; Due Diligence Expenses</w:t>
      </w:r>
      <w:r>
        <w:rPr>
          <w:rFonts w:ascii="Arial" w:cs="Arial" w:eastAsia="Arial" w:hAnsi="Arial"/>
          <w:sz w:val="17"/>
          <w:szCs w:val="17"/>
          <w:color w:val="auto"/>
        </w:rPr>
        <w:t xml:space="preserve">. The Borrower shall have paid all fees, charges and disbursements of counsel to the Administrative Agent incurred to the Funding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such estimate shall not thereafter preclude a final settling of accounts between the Borrower and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Borrower shall not be required to pay the first $150,000 of such fees and expenses of counsel to the Administrative Agent.</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Condition to Effectiveness</w:t>
      </w:r>
      <w:r>
        <w:rPr>
          <w:rFonts w:ascii="Arial" w:cs="Arial" w:eastAsia="Arial" w:hAnsi="Arial"/>
          <w:sz w:val="18"/>
          <w:szCs w:val="18"/>
          <w:color w:val="auto"/>
        </w:rPr>
        <w:t xml:space="preserve">. The condition to effectiveness specified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have been satisfied.</w:t>
      </w:r>
    </w:p>
    <w:p>
      <w:pPr>
        <w:spacing w:after="0" w:line="225" w:lineRule="exact"/>
        <w:rPr>
          <w:rFonts w:ascii="Arial" w:cs="Arial" w:eastAsia="Arial" w:hAnsi="Arial"/>
          <w:sz w:val="18"/>
          <w:szCs w:val="18"/>
          <w:color w:val="auto"/>
        </w:rPr>
      </w:pPr>
    </w:p>
    <w:p>
      <w:pPr>
        <w:ind w:left="660" w:firstLine="645"/>
        <w:spacing w:after="0" w:line="297" w:lineRule="auto"/>
        <w:tabs>
          <w:tab w:leader="none" w:pos="1974"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Receipt by the Administrative Agent and the Lenders of such other documents, instruments, agreements and information as requested by the Administrative Agent or any Lender, including, but not limited to, information regarding litigation, tax, accounting, labor, insurance, pension liabilities (actual or contingent), real estate leases, material contracts, debt agreements, property ownership, environmental matters, contingent liabilities and management of the Borrower and its Subsidiaries; such information may include, if requested by the Administrative Agent, asset appraisal reports and written audits of accounts receivable, inventory, payables, controls and systems.</w:t>
      </w:r>
    </w:p>
    <w:p>
      <w:pPr>
        <w:spacing w:after="0" w:line="158"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5.02</w:t>
      </w:r>
      <w:r>
        <w:rPr>
          <w:rFonts w:ascii="Arial" w:cs="Arial" w:eastAsia="Arial" w:hAnsi="Arial"/>
          <w:sz w:val="16"/>
          <w:szCs w:val="16"/>
          <w:color w:val="auto"/>
        </w:rPr>
        <w:t>, each Lender that has funded its Term A Loan on the Funding Date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Funding Date specifying its objection thereto.</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u w:val="single" w:color="auto"/>
          <w:color w:val="auto"/>
        </w:rPr>
        <w:t>5.03</w:t>
      </w:r>
      <w:r>
        <w:rPr>
          <w:sz w:val="20"/>
          <w:szCs w:val="20"/>
          <w:color w:val="auto"/>
        </w:rPr>
        <w:tab/>
      </w:r>
      <w:r>
        <w:rPr>
          <w:rFonts w:ascii="Arial" w:cs="Arial" w:eastAsia="Arial" w:hAnsi="Arial"/>
          <w:sz w:val="16"/>
          <w:szCs w:val="16"/>
          <w:u w:val="single" w:color="auto"/>
          <w:color w:val="auto"/>
        </w:rPr>
        <w:t>Conditions to all 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 of each Lender to honor any Loan Notice is subject to the following conditions precedent:</w:t>
      </w:r>
    </w:p>
    <w:p>
      <w:pPr>
        <w:spacing w:after="0" w:line="225" w:lineRule="exact"/>
        <w:rPr>
          <w:sz w:val="20"/>
          <w:szCs w:val="20"/>
          <w:color w:val="auto"/>
        </w:rPr>
      </w:pPr>
    </w:p>
    <w:p>
      <w:pPr>
        <w:ind w:left="660" w:right="140" w:firstLine="645"/>
        <w:spacing w:after="0" w:line="342" w:lineRule="auto"/>
        <w:tabs>
          <w:tab w:leader="none" w:pos="1954"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and each other Loan Party contained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any other Loan Document, or which are contained in any document furnished at any time under or in connection herewith or therewith, shall be true and correct on</w:t>
      </w:r>
    </w:p>
    <w:p>
      <w:pPr>
        <w:sectPr>
          <w:pgSz w:w="11900" w:h="16975" w:orient="portrait"/>
          <w:cols w:equalWidth="0" w:num="1">
            <w:col w:w="11400"/>
          </w:cols>
          <w:pgMar w:left="240" w:top="341" w:right="259" w:bottom="0" w:gutter="0" w:footer="0" w:header="0"/>
        </w:sectPr>
      </w:pPr>
    </w:p>
    <w:bookmarkStart w:id="66" w:name="page67"/>
    <w:bookmarkEnd w:id="66"/>
    <w:p>
      <w:pPr>
        <w:ind w:left="660"/>
        <w:spacing w:after="0" w:line="259" w:lineRule="auto"/>
        <w:rPr>
          <w:sz w:val="20"/>
          <w:szCs w:val="20"/>
          <w:color w:val="auto"/>
        </w:rPr>
      </w:pPr>
      <w:r>
        <w:rPr>
          <w:rFonts w:ascii="Arial" w:cs="Arial" w:eastAsia="Arial" w:hAnsi="Arial"/>
          <w:sz w:val="18"/>
          <w:szCs w:val="18"/>
          <w:color w:val="auto"/>
        </w:rPr>
        <w:t xml:space="preserve">and as of the date of such Borrowing,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87" w:lineRule="exact"/>
        <w:rPr>
          <w:sz w:val="20"/>
          <w:szCs w:val="20"/>
          <w:color w:val="auto"/>
        </w:rPr>
      </w:pPr>
    </w:p>
    <w:p>
      <w:pPr>
        <w:ind w:left="1960" w:hanging="655"/>
        <w:spacing w:after="0"/>
        <w:tabs>
          <w:tab w:leader="none" w:pos="19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 Default or Event of Default shall exist, or would result from such proposed Borrowing or from the application of the proceeds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right="600" w:firstLine="645"/>
        <w:spacing w:after="0" w:line="277" w:lineRule="auto"/>
        <w:tabs>
          <w:tab w:leader="none" w:pos="1967"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respect to any Loan Notice requesting a Borrowing of Term B Loans, the requested Borrowing shall occur during the Availability Period.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Administrative Agent shall have received a Loan Notice in accordance with the requirements hereof.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requested Borrowing shall not occur during any Standstill Period.</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Each Loan Notice submitted by the Borrower shall be deemed to be a representation and warranty that the conditions specified in </w:t>
      </w:r>
      <w:r>
        <w:rPr>
          <w:rFonts w:ascii="Arial" w:cs="Arial" w:eastAsia="Arial" w:hAnsi="Arial"/>
          <w:sz w:val="18"/>
          <w:szCs w:val="18"/>
          <w:u w:val="single" w:color="auto"/>
          <w:color w:val="auto"/>
        </w:rPr>
        <w:t>Sections 5.03(a)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have been satisfied on and as of the date of the applicable Borrowing.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the Funding Date, and on each date thereafter on which the representations and warranties set forth herein are required to be made under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Loan Document (or deemed to be made under any Loan Document), the Loan Parties represent and warrant to the Administrative Agent and the Lenders that:</w:t>
      </w:r>
    </w:p>
    <w:p>
      <w:pPr>
        <w:spacing w:after="0" w:line="2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Existence, Qualification and Power.</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Each Loan Party (a) is duly organized or formed, validly existing and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to the extent that failure to do so could not reasonably be expected to have a Material Adverse Effect.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Authorization; No Contravention.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execution, delivery and performance by each Loan Party of each Loan Document to which such Person is party have been duly authorized by all necessary corporate or other organizational action, and do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in any material respect, any Law (including, without limitation, Regulation U or Regulation X issued by the FRB).</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u w:val="single" w:color="auto"/>
          <w:color w:val="auto"/>
        </w:rPr>
        <w:t>Governmental Authorization; Other Consents.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(a) those that have already been obtained and are in full force and effect and (b) filings to perfect the Liens created by the Collateral Documents.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7"/>
          <w:szCs w:val="17"/>
          <w:u w:val="single" w:color="auto"/>
          <w:color w:val="auto"/>
        </w:rPr>
        <w:t>Binding Effect.</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Each Loan Document has been duly executed and delivered by each Loan Party that is party thereto. Each Loan Document constitutes a legal, valid and binding obligation of each Loan Party that is party thereto, enforceable against each such Loan Party in accordance with its terms, subject to bankruptcy, insolvency and similar laws affecting the enforceability of creditors’ rights generally and to general principles of equity.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6"/>
          <w:szCs w:val="16"/>
          <w:u w:val="single" w:color="auto"/>
          <w:color w:val="auto"/>
        </w:rPr>
        <w:t>Financial Statements; No Material Adverse Effect.</w:t>
      </w:r>
    </w:p>
    <w:p>
      <w:pPr>
        <w:spacing w:after="0" w:line="225" w:lineRule="exact"/>
        <w:rPr>
          <w:sz w:val="20"/>
          <w:szCs w:val="20"/>
          <w:color w:val="auto"/>
        </w:rPr>
      </w:pPr>
    </w:p>
    <w:p>
      <w:pPr>
        <w:ind w:left="660" w:right="80" w:firstLine="645"/>
        <w:spacing w:after="0" w:line="259" w:lineRule="auto"/>
        <w:tabs>
          <w:tab w:leader="none" w:pos="195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w:t>
      </w:r>
    </w:p>
    <w:p>
      <w:pPr>
        <w:spacing w:after="0" w:line="186" w:lineRule="exact"/>
        <w:rPr>
          <w:rFonts w:ascii="Arial" w:cs="Arial" w:eastAsia="Arial" w:hAnsi="Arial"/>
          <w:sz w:val="18"/>
          <w:szCs w:val="18"/>
          <w:color w:val="auto"/>
        </w:rPr>
      </w:pPr>
    </w:p>
    <w:p>
      <w:pPr>
        <w:ind w:left="660" w:right="120" w:firstLine="645"/>
        <w:spacing w:after="0" w:line="259" w:lineRule="auto"/>
        <w:tabs>
          <w:tab w:leader="none" w:pos="1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Interim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for the period covered thereby, subject,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to the absence of footnotes and to normal year-end audit adjustments.</w:t>
      </w:r>
    </w:p>
    <w:p>
      <w:pPr>
        <w:sectPr>
          <w:pgSz w:w="11900" w:h="16838" w:orient="portrait"/>
          <w:cols w:equalWidth="0" w:num="1">
            <w:col w:w="11400"/>
          </w:cols>
          <w:pgMar w:left="240" w:top="125" w:right="259" w:bottom="0" w:gutter="0" w:footer="0" w:header="0"/>
        </w:sectPr>
      </w:pPr>
    </w:p>
    <w:bookmarkStart w:id="67" w:name="page68"/>
    <w:bookmarkEnd w:id="67"/>
    <w:p>
      <w:pPr>
        <w:jc w:val="both"/>
        <w:ind w:left="660" w:firstLine="645"/>
        <w:spacing w:after="0" w:line="257" w:lineRule="auto"/>
        <w:tabs>
          <w:tab w:leader="none" w:pos="1967" w:val="left"/>
        </w:tabs>
        <w:numPr>
          <w:ilvl w:val="0"/>
          <w:numId w:val="78"/>
        </w:numPr>
        <w:rPr>
          <w:rFonts w:ascii="Arial" w:cs="Arial" w:eastAsia="Arial" w:hAnsi="Arial"/>
          <w:sz w:val="18"/>
          <w:szCs w:val="18"/>
          <w:color w:val="auto"/>
        </w:rPr>
      </w:pPr>
      <w:r>
        <w:rPr>
          <w:rFonts w:ascii="Arial" w:cs="Arial" w:eastAsia="Arial" w:hAnsi="Arial"/>
          <w:sz w:val="18"/>
          <w:szCs w:val="18"/>
          <w:color w:val="auto"/>
        </w:rPr>
        <w:t>From the date of the Audited Financial Statements to and including the Funding Date, there has been no Disposition by any Loan Party or any Subsidiary, or any Involuntary Disposition, of any material part of the business or property of any Loan Party or any Subsidiary, and no purchase or other acquisition by any of them of any business or property (including any Equity Interests of any other Person) material to any Loan Party or any Subsidiary, in each case, which is not reflected in the foregoing financial statements or in the notes thereto and has not otherwise been disclosed in writing to the Lenders on or prior to the Funding Date.</w:t>
      </w:r>
    </w:p>
    <w:p>
      <w:pPr>
        <w:spacing w:after="0" w:line="188" w:lineRule="exact"/>
        <w:rPr>
          <w:rFonts w:ascii="Arial" w:cs="Arial" w:eastAsia="Arial" w:hAnsi="Arial"/>
          <w:sz w:val="18"/>
          <w:szCs w:val="18"/>
          <w:color w:val="auto"/>
        </w:rPr>
      </w:pPr>
    </w:p>
    <w:p>
      <w:pPr>
        <w:ind w:left="660" w:right="100" w:firstLine="645"/>
        <w:spacing w:after="0" w:line="259" w:lineRule="auto"/>
        <w:tabs>
          <w:tab w:leader="none" w:pos="19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financial statements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prepared in accordance with GAAP (except as may otherwise be permitted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and present fairly in all material respects (on the basis disclosed in the footnotes to such financial statements) the consolidated financial condition, results of operations and cash flows of the Borrower and its Subsidiaries as of the dates thereof and for the periods covered thereby.</w:t>
      </w:r>
    </w:p>
    <w:p>
      <w:pPr>
        <w:spacing w:after="0" w:line="186" w:lineRule="exact"/>
        <w:rPr>
          <w:rFonts w:ascii="Arial" w:cs="Arial" w:eastAsia="Arial" w:hAnsi="Arial"/>
          <w:sz w:val="18"/>
          <w:szCs w:val="18"/>
          <w:color w:val="auto"/>
        </w:rPr>
      </w:pPr>
    </w:p>
    <w:p>
      <w:pPr>
        <w:ind w:left="660" w:right="700" w:firstLine="645"/>
        <w:spacing w:after="0" w:line="277" w:lineRule="auto"/>
        <w:tabs>
          <w:tab w:leader="none" w:pos="1967"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7"/>
          <w:szCs w:val="17"/>
          <w:u w:val="single" w:color="auto"/>
          <w:color w:val="auto"/>
        </w:rPr>
        <w:t>Litigation.</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There are no actions, suits, proceedings, claims or disputes pending or, to the knowledge of the Loan Parties, threatened or contemplated, at law, in equity, in arbitration or before any Governmental Authority, by or against any Loan Party or any of its Subsidiaries or against any of their properties or revenues that (a) purport to affect or pertain to this Agreement or any other Loan Document, or any of the transactions contemplated hereby or (b) could reasonably be expected, either individually or in the aggregate, to have a Material Adverse Effect.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6.07</w:t>
      </w:r>
      <w:r>
        <w:rPr>
          <w:sz w:val="20"/>
          <w:szCs w:val="20"/>
          <w:color w:val="auto"/>
        </w:rPr>
        <w:tab/>
      </w:r>
      <w:r>
        <w:rPr>
          <w:rFonts w:ascii="Arial" w:cs="Arial" w:eastAsia="Arial" w:hAnsi="Arial"/>
          <w:sz w:val="16"/>
          <w:szCs w:val="16"/>
          <w:u w:val="single" w:color="auto"/>
          <w:color w:val="auto"/>
        </w:rPr>
        <w:t>No Default.</w:t>
      </w:r>
    </w:p>
    <w:p>
      <w:pPr>
        <w:spacing w:after="0" w:line="225" w:lineRule="exact"/>
        <w:rPr>
          <w:sz w:val="20"/>
          <w:szCs w:val="20"/>
          <w:color w:val="auto"/>
        </w:rPr>
      </w:pPr>
    </w:p>
    <w:p>
      <w:pPr>
        <w:ind w:left="660" w:right="60" w:firstLine="645"/>
        <w:spacing w:after="0" w:line="277" w:lineRule="auto"/>
        <w:tabs>
          <w:tab w:leader="none" w:pos="1954"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Neither any Loan Party nor any Subsidiary is in default under or with respect to any Contractual Obligation that could reasonably be expected to have a Material Adverse Effect.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6"/>
          <w:szCs w:val="16"/>
          <w:u w:val="single" w:color="auto"/>
          <w:color w:val="auto"/>
        </w:rPr>
        <w:t>Ownership of Property; Liens.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Each Loan Party and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each Loan Party and its Subsidiaries is subject to no Liens, other than Permitted Liens.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6.09</w:t>
      </w:r>
      <w:r>
        <w:rPr>
          <w:sz w:val="20"/>
          <w:szCs w:val="20"/>
          <w:color w:val="auto"/>
        </w:rPr>
        <w:tab/>
      </w:r>
      <w:r>
        <w:rPr>
          <w:rFonts w:ascii="Arial" w:cs="Arial" w:eastAsia="Arial" w:hAnsi="Arial"/>
          <w:sz w:val="16"/>
          <w:szCs w:val="16"/>
          <w:u w:val="single" w:color="auto"/>
          <w:color w:val="auto"/>
        </w:rPr>
        <w:t>Environmental Compliance.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could not reasonably be expected to have a Material Adverse Effect:</w:t>
      </w:r>
    </w:p>
    <w:p>
      <w:pPr>
        <w:spacing w:after="0" w:line="225" w:lineRule="exact"/>
        <w:rPr>
          <w:sz w:val="20"/>
          <w:szCs w:val="20"/>
          <w:color w:val="auto"/>
        </w:rPr>
      </w:pPr>
    </w:p>
    <w:p>
      <w:pPr>
        <w:ind w:left="660" w:right="220" w:firstLine="645"/>
        <w:spacing w:after="0" w:line="312" w:lineRule="auto"/>
        <w:tabs>
          <w:tab w:leader="none" w:pos="1954"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of the Business Facilities and all operations at the Business Facilities are in compliance with all applicable Environmental Laws, and there is no violation of any Environmental Law with respect to the Business Facilities or the Businesses, and there are no conditions relating to the Business Facilities or the Businesses that could give rise to liability under any applicable Environmental Laws.</w:t>
      </w:r>
    </w:p>
    <w:p>
      <w:pPr>
        <w:spacing w:after="0" w:line="146" w:lineRule="exact"/>
        <w:rPr>
          <w:rFonts w:ascii="Arial" w:cs="Arial" w:eastAsia="Arial" w:hAnsi="Arial"/>
          <w:sz w:val="16"/>
          <w:szCs w:val="16"/>
          <w:color w:val="auto"/>
        </w:rPr>
      </w:pPr>
    </w:p>
    <w:p>
      <w:pPr>
        <w:ind w:left="660" w:right="480" w:firstLine="645"/>
        <w:spacing w:after="0" w:line="342" w:lineRule="auto"/>
        <w:tabs>
          <w:tab w:leader="none" w:pos="19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None of the Business Facilities contains, or has previously contained, any Hazardous Materials at, on or under the Business Facilities in amounts or concentrations that constitute or constituted a violation of, or could give rise to liability under, Environmental Laws.</w:t>
      </w:r>
    </w:p>
    <w:p>
      <w:pPr>
        <w:spacing w:after="0" w:line="123" w:lineRule="exact"/>
        <w:rPr>
          <w:rFonts w:ascii="Arial" w:cs="Arial" w:eastAsia="Arial" w:hAnsi="Arial"/>
          <w:sz w:val="16"/>
          <w:szCs w:val="16"/>
          <w:color w:val="auto"/>
        </w:rPr>
      </w:pPr>
    </w:p>
    <w:p>
      <w:pPr>
        <w:ind w:left="660" w:right="80" w:firstLine="645"/>
        <w:spacing w:after="0" w:line="279" w:lineRule="auto"/>
        <w:tabs>
          <w:tab w:leader="none" w:pos="1967" w:val="left"/>
        </w:tabs>
        <w:numPr>
          <w:ilvl w:val="0"/>
          <w:numId w:val="80"/>
        </w:numPr>
        <w:rPr>
          <w:rFonts w:ascii="Arial" w:cs="Arial" w:eastAsia="Arial" w:hAnsi="Arial"/>
          <w:sz w:val="17"/>
          <w:szCs w:val="17"/>
          <w:color w:val="auto"/>
        </w:rPr>
      </w:pPr>
      <w:r>
        <w:rPr>
          <w:rFonts w:ascii="Arial" w:cs="Arial" w:eastAsia="Arial" w:hAnsi="Arial"/>
          <w:sz w:val="17"/>
          <w:szCs w:val="17"/>
          <w:color w:val="auto"/>
        </w:rPr>
        <w:t>Neither any Loan Party nor any Subsidiary has received any written or verbal notice of, or inquiry from any Governmental Authority regarding, any violation, alleged violation, non-compliance, liability or potential liability regarding environmental matters or compliance with Environmental Laws with regard to any of the Business Facilities or the Businesses, nor does any Responsible Officer of any Loan Party have knowledge or reason to believe that any such notice will be received or is being threatened.</w:t>
      </w:r>
    </w:p>
    <w:p>
      <w:pPr>
        <w:spacing w:after="0" w:line="171" w:lineRule="exact"/>
        <w:rPr>
          <w:rFonts w:ascii="Arial" w:cs="Arial" w:eastAsia="Arial" w:hAnsi="Arial"/>
          <w:sz w:val="17"/>
          <w:szCs w:val="17"/>
          <w:color w:val="auto"/>
        </w:rPr>
      </w:pPr>
    </w:p>
    <w:p>
      <w:pPr>
        <w:ind w:left="660" w:right="140" w:firstLine="645"/>
        <w:spacing w:after="0" w:line="286" w:lineRule="auto"/>
        <w:tabs>
          <w:tab w:leader="none" w:pos="1964" w:val="left"/>
        </w:tabs>
        <w:numPr>
          <w:ilvl w:val="0"/>
          <w:numId w:val="80"/>
        </w:numPr>
        <w:rPr>
          <w:rFonts w:ascii="Arial" w:cs="Arial" w:eastAsia="Arial" w:hAnsi="Arial"/>
          <w:sz w:val="17"/>
          <w:szCs w:val="17"/>
          <w:color w:val="auto"/>
        </w:rPr>
      </w:pPr>
      <w:r>
        <w:rPr>
          <w:rFonts w:ascii="Arial" w:cs="Arial" w:eastAsia="Arial" w:hAnsi="Arial"/>
          <w:sz w:val="17"/>
          <w:szCs w:val="17"/>
          <w:color w:val="auto"/>
        </w:rPr>
        <w:t>Hazardous Materials have not been transported or disposed of from the Business Facilities, or generated, treated, stored or disposed of at, on or under any of the Business Facilities or any other location, in each case by or on behalf of any Loan Party or any Subsidiary in violation of, or in a manner that would be reasonably likely to give rise to liability under, any applicable Environmental Law.</w:t>
      </w:r>
    </w:p>
    <w:p>
      <w:pPr>
        <w:spacing w:after="0" w:line="165" w:lineRule="exact"/>
        <w:rPr>
          <w:rFonts w:ascii="Arial" w:cs="Arial" w:eastAsia="Arial" w:hAnsi="Arial"/>
          <w:sz w:val="17"/>
          <w:szCs w:val="17"/>
          <w:color w:val="auto"/>
        </w:rPr>
      </w:pPr>
    </w:p>
    <w:p>
      <w:pPr>
        <w:jc w:val="both"/>
        <w:ind w:left="660" w:right="40" w:firstLine="645"/>
        <w:spacing w:after="0" w:line="279" w:lineRule="auto"/>
        <w:tabs>
          <w:tab w:leader="none" w:pos="1967"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 judicial proceeding or governmental or administrative action is pending or, to the knowledge of the Loan Parties, threatened, under any Environmental Law to which any Loan Party or any Subsidiary is or will be named as a party, nor are there any consent decrees or other decrees, consent orders, administrative orders or other orders, or other administrative or judicial requirements outstanding under any Environmental Law with respect to any Loan Party, any Subsidiary, the Business Facilities or the Businesses.</w:t>
      </w:r>
    </w:p>
    <w:p>
      <w:pPr>
        <w:spacing w:after="0" w:line="171" w:lineRule="exact"/>
        <w:rPr>
          <w:rFonts w:ascii="Arial" w:cs="Arial" w:eastAsia="Arial" w:hAnsi="Arial"/>
          <w:sz w:val="17"/>
          <w:szCs w:val="17"/>
          <w:color w:val="auto"/>
        </w:rPr>
      </w:pPr>
    </w:p>
    <w:p>
      <w:pPr>
        <w:ind w:left="660" w:right="80" w:firstLine="645"/>
        <w:spacing w:after="0" w:line="277" w:lineRule="auto"/>
        <w:tabs>
          <w:tab w:leader="none" w:pos="196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Hazardous Materials at or from the Business Facilities, or arising from or related to the operations (including, without limitation,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disposal) of any Loan Party or any Subsidiary in connection with the Business Facilities or otherwise in connection with the Businesses, in violation of or in amounts or in a manner that could give rise to liability under Environmental Laws.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5"/>
          <w:szCs w:val="15"/>
          <w:u w:val="single" w:color="auto"/>
          <w:color w:val="auto"/>
        </w:rPr>
        <w:t>Insurance.</w:t>
      </w:r>
    </w:p>
    <w:p>
      <w:pPr>
        <w:sectPr>
          <w:pgSz w:w="11900" w:h="16838" w:orient="portrait"/>
          <w:cols w:equalWidth="0" w:num="1">
            <w:col w:w="11340"/>
          </w:cols>
          <w:pgMar w:left="240" w:top="125" w:right="319" w:bottom="32" w:gutter="0" w:footer="0" w:header="0"/>
        </w:sectPr>
      </w:pPr>
    </w:p>
    <w:bookmarkStart w:id="68" w:name="page69"/>
    <w:bookmarkEnd w:id="68"/>
    <w:p>
      <w:pPr>
        <w:spacing w:after="0" w:line="6" w:lineRule="exact"/>
        <w:rPr>
          <w:sz w:val="20"/>
          <w:szCs w:val="20"/>
          <w:color w:val="auto"/>
        </w:rPr>
      </w:pPr>
    </w:p>
    <w:p>
      <w:pPr>
        <w:ind w:left="660" w:right="20" w:firstLine="645"/>
        <w:spacing w:after="0" w:line="257" w:lineRule="auto"/>
        <w:tabs>
          <w:tab w:leader="none" w:pos="1954"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properties of the Loan Parties and their Subsidiaries are insured with financially sound and reputable insurance companies that are not Affiliates of the Borrower or any Subsidiary, in such amounts, with such deductibles and covering such risks as are customarily carried by companies engaged in similar businesses and owning similar properties in localities where the applicable Loan Party or the applicable Subsidiary operates. The insurance coverage of the Loan Parties and their Subsidiaries as in effect on the Effective Date is outlined as to carrier, policy number, expiration date, type, amount and deductibles on </w:t>
      </w:r>
      <w:r>
        <w:rPr>
          <w:rFonts w:ascii="Arial" w:cs="Arial" w:eastAsia="Arial" w:hAnsi="Arial"/>
          <w:sz w:val="18"/>
          <w:szCs w:val="18"/>
          <w:u w:val="single" w:color="auto"/>
          <w:color w:val="auto"/>
        </w:rPr>
        <w:t>Schedule 6.10</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Borrower and its Subsidiaries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Loan Parties and their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Neither any Loan Party nor any Subsidiary thereof is party to any tax sharing agreement with any Person that is not a Loan Party.</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ERISA Compliance.</w:t>
      </w:r>
    </w:p>
    <w:p>
      <w:pPr>
        <w:spacing w:after="0" w:line="225" w:lineRule="exact"/>
        <w:rPr>
          <w:sz w:val="20"/>
          <w:szCs w:val="20"/>
          <w:color w:val="auto"/>
        </w:rPr>
      </w:pPr>
    </w:p>
    <w:p>
      <w:pPr>
        <w:ind w:left="660" w:firstLine="645"/>
        <w:spacing w:after="0" w:line="254" w:lineRule="auto"/>
        <w:tabs>
          <w:tab w:leader="none" w:pos="1954"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Plan is in compliance in all material respects with the applicable provisions of ERISA, the Internal Revenue Code and other federal or state laws. Each Plan that is intended to be a qualified plan under Section 401(a) of the Internal Revenue Code has received a favorable determination letter from the Internal Revenue Service (or in the case of a pre-approved prototype or volume submitter plan, can rely on a favorable opinion or advisory letter issued by the Internal Revenue Service to the pre-approved plan sponsor) to the effect that the form of such Plan is qualified under Section 401(a) of the Internal Revenue Code and the trust related thereto has been determined by the Internal Revenue Service to be exempt from federal income tax under Section 501(a) of the Internal Revenue Code or an application for such a letter is currently being processed by the Internal Revenue Service. To the best knowledge of the Loan Parties, nothing has occurred that would prevent, or cause the loss of, such tax-qualified status.</w:t>
      </w:r>
    </w:p>
    <w:p>
      <w:pPr>
        <w:spacing w:after="0" w:line="192" w:lineRule="exact"/>
        <w:rPr>
          <w:rFonts w:ascii="Arial" w:cs="Arial" w:eastAsia="Arial" w:hAnsi="Arial"/>
          <w:sz w:val="18"/>
          <w:szCs w:val="18"/>
          <w:color w:val="auto"/>
        </w:rPr>
      </w:pPr>
    </w:p>
    <w:p>
      <w:pPr>
        <w:ind w:left="660" w:right="180" w:firstLine="645"/>
        <w:spacing w:after="0" w:line="259" w:lineRule="auto"/>
        <w:tabs>
          <w:tab w:leader="none" w:pos="19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are no pending or, to the best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69" w:lineRule="auto"/>
        <w:tabs>
          <w:tab w:leader="none" w:pos="1967" w:val="left"/>
        </w:tabs>
        <w:numPr>
          <w:ilvl w:val="0"/>
          <w:numId w:val="83"/>
        </w:numPr>
        <w:rPr>
          <w:rFonts w:ascii="Arial" w:cs="Arial" w:eastAsia="Arial" w:hAnsi="Arial"/>
          <w:sz w:val="17"/>
          <w:szCs w:val="17"/>
          <w:color w:val="auto"/>
        </w:rPr>
      </w:pPr>
      <w:r>
        <w:rPr>
          <w:rFonts w:ascii="Arial" w:cs="Arial" w:eastAsia="Arial" w:hAnsi="Arial"/>
          <w:sz w:val="17"/>
          <w:szCs w:val="17"/>
          <w:color w:val="auto"/>
        </w:rPr>
        <w:t>(i)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neither the Borrower nor any ERISA Affiliate has applied for or obtained a waiver of the minimum funding standards under the Pension Funding Rules, (iii) as of the most recent valuation date for any Pension Plan, other than a Multiemployer Plan, the funding target attainment percentage (as defined in Section 430(d)(2) of the Internal Revenue Code) is sixty percent (60%) or higher and neither the Borrower nor any ERISA Affiliate knows of any facts or circumstances that could reasonably be expected to cause the funding target attainment percentage for any such plan to drop below sixty percent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u w:val="single" w:color="auto"/>
          <w:color w:val="auto"/>
        </w:rPr>
        <w:t>Subsidiaries and Capitalization.</w:t>
      </w:r>
    </w:p>
    <w:p>
      <w:pPr>
        <w:spacing w:after="0" w:line="225" w:lineRule="exact"/>
        <w:rPr>
          <w:sz w:val="20"/>
          <w:szCs w:val="20"/>
          <w:color w:val="auto"/>
        </w:rPr>
      </w:pPr>
    </w:p>
    <w:p>
      <w:pPr>
        <w:ind w:left="1940" w:hanging="635"/>
        <w:spacing w:after="0"/>
        <w:tabs>
          <w:tab w:leader="none" w:pos="19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6.13(a)</w:t>
      </w:r>
      <w:r>
        <w:rPr>
          <w:rFonts w:ascii="Arial" w:cs="Arial" w:eastAsia="Arial" w:hAnsi="Arial"/>
          <w:sz w:val="18"/>
          <w:szCs w:val="18"/>
          <w:color w:val="auto"/>
        </w:rPr>
        <w:t xml:space="preserve"> is a complete and accurate list as of the Effective Date of each Subsidiary, together with</w:t>
      </w:r>
    </w:p>
    <w:p>
      <w:pPr>
        <w:spacing w:after="0" w:line="23" w:lineRule="exact"/>
        <w:rPr>
          <w:rFonts w:ascii="Arial" w:cs="Arial" w:eastAsia="Arial" w:hAnsi="Arial"/>
          <w:sz w:val="18"/>
          <w:szCs w:val="18"/>
          <w:color w:val="auto"/>
        </w:rPr>
      </w:pPr>
    </w:p>
    <w:p>
      <w:pPr>
        <w:jc w:val="both"/>
        <w:ind w:left="660" w:right="100" w:hanging="4"/>
        <w:spacing w:after="0" w:line="254" w:lineRule="auto"/>
        <w:tabs>
          <w:tab w:leader="none" w:pos="8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jurisdiction of organization, (ii) number of shares of each class of Equity Interests outstanding, (iii) number and percentage of outstanding shares of each class owned (directly or indirectly) by any Loan Party or any Subsidiary and (iv) number and effect, if exercised, of all outstanding options, warrants, rights of conversion or purchase and all other similar rights with respect thereto. The outstanding Equity Interests of each Subsidiary are validly issued, fully paid and non-assessable.</w:t>
      </w:r>
    </w:p>
    <w:p>
      <w:pPr>
        <w:spacing w:after="0" w:line="189" w:lineRule="exact"/>
        <w:rPr>
          <w:rFonts w:ascii="Arial" w:cs="Arial" w:eastAsia="Arial" w:hAnsi="Arial"/>
          <w:sz w:val="18"/>
          <w:szCs w:val="18"/>
          <w:color w:val="auto"/>
        </w:rPr>
      </w:pPr>
    </w:p>
    <w:p>
      <w:pPr>
        <w:ind w:left="660" w:right="180" w:firstLine="645"/>
        <w:spacing w:after="0" w:line="270" w:lineRule="auto"/>
        <w:tabs>
          <w:tab w:leader="none" w:pos="1964"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6.13(b)</w:t>
      </w:r>
      <w:r>
        <w:rPr>
          <w:rFonts w:ascii="Arial" w:cs="Arial" w:eastAsia="Arial" w:hAnsi="Arial"/>
          <w:sz w:val="17"/>
          <w:szCs w:val="17"/>
          <w:color w:val="auto"/>
        </w:rPr>
        <w:t xml:space="preserve"> is a true and complete table showing the authorized and issued capitalization of the Borrower as of the Effective Date on a fully diluted basis. All issued and outstanding Equity Interests of the Borrower and each of its Subsidiaries are duly authorized and validly issued, fully paid, non-assessable, free and clear of all Liens and such Equity Interests were issued in compliance with all applicable Laws. As of the Effective Date, except as described on </w:t>
      </w:r>
      <w:r>
        <w:rPr>
          <w:rFonts w:ascii="Arial" w:cs="Arial" w:eastAsia="Arial" w:hAnsi="Arial"/>
          <w:sz w:val="17"/>
          <w:szCs w:val="17"/>
          <w:u w:val="single" w:color="auto"/>
          <w:color w:val="auto"/>
        </w:rPr>
        <w:t>Schedule 6.13(b)</w:t>
      </w:r>
      <w:r>
        <w:rPr>
          <w:rFonts w:ascii="Arial" w:cs="Arial" w:eastAsia="Arial" w:hAnsi="Arial"/>
          <w:sz w:val="17"/>
          <w:szCs w:val="17"/>
          <w:color w:val="auto"/>
        </w:rPr>
        <w:t xml:space="preserve">, there are no outstanding commitments or other obligations of the Borrower or any Subsidiary to issue, and no rights of any Person to acquire, any shares of any Equity Interests of the Borrower or any of its Subsidiaries. Except as set forth on </w:t>
      </w:r>
      <w:r>
        <w:rPr>
          <w:rFonts w:ascii="Arial" w:cs="Arial" w:eastAsia="Arial" w:hAnsi="Arial"/>
          <w:sz w:val="17"/>
          <w:szCs w:val="17"/>
          <w:u w:val="single" w:color="auto"/>
          <w:color w:val="auto"/>
        </w:rPr>
        <w:t>Schedule 6.13(b)</w:t>
      </w:r>
      <w:r>
        <w:rPr>
          <w:rFonts w:ascii="Arial" w:cs="Arial" w:eastAsia="Arial" w:hAnsi="Arial"/>
          <w:sz w:val="17"/>
          <w:szCs w:val="17"/>
          <w:color w:val="auto"/>
        </w:rPr>
        <w:t xml:space="preserve">, there are no statutory or contractual preemptive rights, rights of first refusal, anti-dilution rights or any similar rights held by equity holders or option holders of any Loan Party. There are no agreements (voting or otherwise) among any Loan Party’s equity holders with respect to any other aspect of such Loan Party’s affairs, except as set forth on </w:t>
      </w:r>
      <w:r>
        <w:rPr>
          <w:rFonts w:ascii="Arial" w:cs="Arial" w:eastAsia="Arial" w:hAnsi="Arial"/>
          <w:sz w:val="17"/>
          <w:szCs w:val="17"/>
          <w:u w:val="single" w:color="auto"/>
          <w:color w:val="auto"/>
        </w:rPr>
        <w:t>Schedule 6.13(b)</w:t>
      </w:r>
      <w:r>
        <w:rPr>
          <w:rFonts w:ascii="Arial" w:cs="Arial" w:eastAsia="Arial" w:hAnsi="Arial"/>
          <w:sz w:val="17"/>
          <w:szCs w:val="17"/>
          <w:color w:val="auto"/>
        </w:rPr>
        <w:t>. Neither the Borrower nor any Subsidiary has outstanding any Disqualified Capital Stock.</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u w:val="single" w:color="auto"/>
          <w:color w:val="auto"/>
        </w:rPr>
        <w:t>Margin Regulations; Investment Company Act.</w:t>
      </w:r>
    </w:p>
    <w:p>
      <w:pPr>
        <w:spacing w:after="0" w:line="225" w:lineRule="exact"/>
        <w:rPr>
          <w:sz w:val="20"/>
          <w:szCs w:val="20"/>
          <w:color w:val="auto"/>
        </w:rPr>
      </w:pPr>
    </w:p>
    <w:p>
      <w:pPr>
        <w:ind w:left="660" w:right="40" w:firstLine="645"/>
        <w:spacing w:after="0" w:line="259" w:lineRule="auto"/>
        <w:tabs>
          <w:tab w:leader="none" w:pos="195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not more than 25% of the value of the assets (either of the Borrower only or of the Borrower and its Subsidiaries on a</w:t>
      </w:r>
    </w:p>
    <w:p>
      <w:pPr>
        <w:sectPr>
          <w:pgSz w:w="11900" w:h="16845" w:orient="portrait"/>
          <w:cols w:equalWidth="0" w:num="1">
            <w:col w:w="11400"/>
          </w:cols>
          <w:pgMar w:left="240" w:top="125" w:right="259" w:bottom="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 xml:space="preserve">consolidated basis) subject to the provisions of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or subject to any restriction contained in any agreement or instrument between the Borrower and any Lender or any Affiliate of any Lender relating to Indebtedness and within the scope of </w:t>
      </w:r>
      <w:r>
        <w:rPr>
          <w:rFonts w:ascii="Arial" w:cs="Arial" w:eastAsia="Arial" w:hAnsi="Arial"/>
          <w:sz w:val="18"/>
          <w:szCs w:val="18"/>
          <w:u w:val="single" w:color="auto"/>
          <w:color w:val="auto"/>
        </w:rPr>
        <w:t>Section 9.01(e)</w:t>
      </w:r>
      <w:r>
        <w:rPr>
          <w:rFonts w:ascii="Arial" w:cs="Arial" w:eastAsia="Arial" w:hAnsi="Arial"/>
          <w:sz w:val="18"/>
          <w:szCs w:val="18"/>
          <w:color w:val="auto"/>
        </w:rPr>
        <w:t xml:space="preserve"> will be margin stock.</w:t>
      </w:r>
    </w:p>
    <w:p>
      <w:pPr>
        <w:spacing w:after="0" w:line="181" w:lineRule="exact"/>
        <w:rPr>
          <w:sz w:val="20"/>
          <w:szCs w:val="20"/>
          <w:color w:val="auto"/>
        </w:rPr>
      </w:pPr>
    </w:p>
    <w:p>
      <w:pPr>
        <w:ind w:left="660" w:right="200" w:firstLine="645"/>
        <w:spacing w:after="0" w:line="277" w:lineRule="auto"/>
        <w:tabs>
          <w:tab w:leader="none" w:pos="19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None of any Loan Party, any Person Controlling any Loan Party, or any Subsidiary is required to be registered as an “investment company” under the Investment Company Act of 1940.</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u w:val="single" w:color="auto"/>
          <w:color w:val="auto"/>
        </w:rPr>
        <w:t>Disclosure.</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Each Loan Party has disclosed to the Administrative Agent and the Lenders all agreements, instruments and corporate or other restrictions to which it or any of its Subsidiaries is subject that, either individually or in the aggregate, could reasonably be expected to result in a Material Adverse Effect. No report, financial statement, certificate or other information furnished (whether written or oral)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taken as a whole, contains any material misstatement of fact or omits to state any fact necessary to make the statements therein, in the light of the circumstances under which they were made, not misleading (it being recognized by the Administrative Agent and the Lenders that the projections and forecasts provided by any Loan Party in good faith and based upon reasonable assumptions are not to be viewed as facts and that actual results during the period or periods covered by such projections and forecasts may differ from the projected or forecasted results).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u w:val="single" w:color="auto"/>
          <w:color w:val="auto"/>
        </w:rPr>
        <w:t>Compliance with Laws.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Each Loan Party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could not reasonably be expected, either individually or in the aggregate, to have a Material Adverse Effect.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u w:val="single" w:color="auto"/>
          <w:color w:val="auto"/>
        </w:rPr>
        <w:t>Intellectual Property; Licenses, Etc.</w:t>
      </w:r>
    </w:p>
    <w:p>
      <w:pPr>
        <w:spacing w:after="0" w:line="225" w:lineRule="exact"/>
        <w:rPr>
          <w:sz w:val="20"/>
          <w:szCs w:val="20"/>
          <w:color w:val="auto"/>
        </w:rPr>
      </w:pPr>
    </w:p>
    <w:p>
      <w:pPr>
        <w:ind w:left="660" w:right="80" w:firstLine="645"/>
        <w:spacing w:after="0" w:line="269" w:lineRule="auto"/>
        <w:tabs>
          <w:tab w:leader="none" w:pos="1954"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Schedule 6.17</w:t>
      </w:r>
      <w:r>
        <w:rPr>
          <w:rFonts w:ascii="Arial" w:cs="Arial" w:eastAsia="Arial" w:hAnsi="Arial"/>
          <w:sz w:val="17"/>
          <w:szCs w:val="17"/>
          <w:color w:val="auto"/>
        </w:rPr>
        <w:t xml:space="preserve"> sets forth a complete and accurate list of the following as of the Effective Date: (i) all Copyrights and all Trademarks of any Loan Party, that are registered, or in respect of which an application for registration has been filed or recorded, with the United States Patent and Trademark Office or the United States Copyright Office or with any other Governmental Authority (or comparable organization or office established in any country or pursuant to an international treaty or similar international agreement for the filing, recordation or registration of interests in intellectual property), together with relevant identifying information with respect to such Copyrights and Trademarks, (ii) all Patents of any Loan Party that are issued, or in respect of which an application has been filed or recorded, with the United States Patent and Trademark Office or with any other Governmental Authority (or comparable organization or office established in any country or pursuant to an international treaty or similar international agreement for the filing, recordation or registration of interests in intellectual property), together with relevant identifying information with respect to such Patents, (iii) all Domain Names owned by any Loan Party or which any Loan Party is licensed, authorized or otherwise granted rights under or to, or owned by a Person on behalf of any Loan Party, together with relevant identifying information with respect to such Domain Names, (iv) each Copyright License, each Patent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License and each Trademark License of any Loan Party and (v) each other right or interest in the IP Rights of any Loan Party that is material to the Loan Parties, their respective properties or the conduct or operation of their respective businesses (including the generation of future revenues).</w:t>
      </w:r>
    </w:p>
    <w:p>
      <w:pPr>
        <w:spacing w:after="0" w:line="124" w:lineRule="exact"/>
        <w:rPr>
          <w:sz w:val="20"/>
          <w:szCs w:val="20"/>
          <w:color w:val="auto"/>
        </w:rPr>
      </w:pPr>
    </w:p>
    <w:p>
      <w:pPr>
        <w:ind w:left="660" w:firstLine="645"/>
        <w:spacing w:after="0" w:line="284" w:lineRule="auto"/>
        <w:tabs>
          <w:tab w:leader="none" w:pos="196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IP Rights are subsisting, unexpired and have not been abandoned. To the Borrower’s knowledge, the IP Rights are valid and enforceable. To the Borrower’s knowledge after reasonable and diligent inquiry and investigation, no claim has been made that the use or other exploitation by the Borrower, any Subsidiary or any of their licensees of any of the IP Rights, including, without limitation, to advertise, display, import, manufacture, have manufactured, market, offer for sale, perform, prepare derivative works based upon, promote, reproduce, sell, use and/or otherwise distribute a Product, does or may infringe, violate or misappropriate the rights of any Person. Except during the course of normal patent prosecution at the United States Patent and Trademark Office (or comparable organization or office established in any country or pursuant to an international treaty or similar international agreement for the filing, recordation or registration of interests in intellectual property), no holding, decision or judgment has been rendered by any Governmental Authority that would limit, invalidate, render unenforceable, cancel or question the validity of any IP Right and no action or proceeding is pending seeking to limit, invalidate, render unenforceable, cancel or question the validity of any IP Right that, in any case, if adversely determined, could reasonably be expected, either individually or in the aggregate, to have a Material Adverse Effect on the value of any IP Right. The Borrower and its Subsidiaries have, since taking title to the IP Rights, performed all acts and have paid all required annuities, fees, costs, expenses and taxes to maintain the IP Rights in full force and effect throughout the world, as applicable. To the Borrower’s knowledge, all applications for registration pertaining to the IP Rights have been duly and properly filed, and all registrations or letters patent pertaining to such IP Rights have been duly and properly filed and issued. The Borrower and its Subsidiaries own, or are entitled to use by license or otherwise, all the IP Rights. Neither the Borrower nor any Subsidiary has made any assignment or agreement in conflict with, and no license agreement with respect to the IP Rights conflicts with the security interest in the IP Rights of the Loan Parties granted to the Administrative Agent, on behalf of the Secured Parties, pursuant to the terms of the Collateral Documents. To the extent any of the IP Rights were authored, developed, conceived or created, in whole or in part, for or on the behalf of the Borrower or any Subsidiary by any Person, then the Borrower or such Subsidiary has entered into a written agreement with such Person in which such Person has assigned all right, title and interest in and to such IP Rights to the Borrower or such Subsidiary, except to the extent the failure to do so could not reasonably be expected to result in a Material Adverse Effect. To the Borrower’s knowledge, no slogan or other advertising device, product, process, method, substance, part or other material now employed, or now contemplated to be employed, by the Borrower or any Subsidiary or any licensee of the Borrower or any Subsidiary violates, infringes or misappropriates any rights held by any other Person. No claim or litigation regarding any of the IP Rights is pending or threatened.</w:t>
      </w:r>
    </w:p>
    <w:p>
      <w:pPr>
        <w:sectPr>
          <w:pgSz w:w="11900" w:h="16838" w:orient="portrait"/>
          <w:cols w:equalWidth="0" w:num="1">
            <w:col w:w="11420"/>
          </w:cols>
          <w:pgMar w:left="240" w:top="341" w:right="239" w:bottom="0" w:gutter="0" w:footer="0" w:header="0"/>
        </w:sectPr>
      </w:pPr>
    </w:p>
    <w:bookmarkStart w:id="70" w:name="page71"/>
    <w:bookmarkEnd w:id="70"/>
    <w:p>
      <w:pPr>
        <w:spacing w:after="0" w:line="137"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 xml:space="preserve">None of the IP Rights is subject to any license grant by the Borrower or any Subsidiary or similar arrangement, except for (x) license grants between the Loan Parties and (y) those license grants disclosed on </w:t>
      </w:r>
      <w:r>
        <w:rPr>
          <w:rFonts w:ascii="Arial" w:cs="Arial" w:eastAsia="Arial" w:hAnsi="Arial"/>
          <w:sz w:val="18"/>
          <w:szCs w:val="18"/>
          <w:u w:val="single" w:color="auto"/>
          <w:color w:val="auto"/>
        </w:rPr>
        <w:t>Schedule 6.17</w:t>
      </w:r>
      <w:r>
        <w:rPr>
          <w:rFonts w:ascii="Arial" w:cs="Arial" w:eastAsia="Arial" w:hAnsi="Arial"/>
          <w:sz w:val="18"/>
          <w:szCs w:val="18"/>
          <w:color w:val="auto"/>
        </w:rPr>
        <w:t>.</w:t>
      </w:r>
    </w:p>
    <w:p>
      <w:pPr>
        <w:spacing w:after="0" w:line="170" w:lineRule="exact"/>
        <w:rPr>
          <w:sz w:val="20"/>
          <w:szCs w:val="20"/>
          <w:color w:val="auto"/>
        </w:rPr>
      </w:pPr>
    </w:p>
    <w:p>
      <w:pPr>
        <w:ind w:left="660" w:right="220" w:firstLine="645"/>
        <w:spacing w:after="0" w:line="286" w:lineRule="auto"/>
        <w:tabs>
          <w:tab w:leader="none" w:pos="1967"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6.17</w:t>
      </w:r>
      <w:r>
        <w:rPr>
          <w:rFonts w:ascii="Arial" w:cs="Arial" w:eastAsia="Arial" w:hAnsi="Arial"/>
          <w:sz w:val="17"/>
          <w:szCs w:val="17"/>
          <w:color w:val="auto"/>
        </w:rPr>
        <w:t>, the consummation of the transaction contemplated hereby and the exercise by the Administrative Agent or the Lenders of any right or protection set forth in this Agreement will not constitute a breach or violation of, or otherwise affect the enforceability or approval of, (i) any licenses associated with IP Rights or (ii) Governmental Licenses.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6"/>
          <w:szCs w:val="16"/>
          <w:u w:val="single" w:color="auto"/>
          <w:color w:val="auto"/>
        </w:rPr>
        <w:t>Solvency.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is Solvent, on an individual basis, and the Borrower and its Subsidiaries are Solvent, on a consolidated basis.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6.19</w:t>
      </w:r>
      <w:r>
        <w:rPr>
          <w:sz w:val="20"/>
          <w:szCs w:val="20"/>
          <w:color w:val="auto"/>
        </w:rPr>
        <w:tab/>
      </w:r>
      <w:r>
        <w:rPr>
          <w:rFonts w:ascii="Arial" w:cs="Arial" w:eastAsia="Arial" w:hAnsi="Arial"/>
          <w:sz w:val="16"/>
          <w:szCs w:val="16"/>
          <w:u w:val="single" w:color="auto"/>
          <w:color w:val="auto"/>
        </w:rPr>
        <w:t>Perfection of Security Interests in the Collateral.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Collateral Documents create valid security interests in, and Liens on, the Collateral purported to be covered thereby, which security interests and Liens will be, upon the timely and proper filings, deliveries and other actions contemplated in the Collateral Documents perfected security interests and Liens (to the extent that such security interests and Liens can be perfected by such filings, deliveries, notations and other actions), prior to all other Liens other than Permitted Liens.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6.20</w:t>
      </w:r>
      <w:r>
        <w:rPr>
          <w:sz w:val="20"/>
          <w:szCs w:val="20"/>
          <w:color w:val="auto"/>
        </w:rPr>
        <w:tab/>
      </w:r>
      <w:r>
        <w:rPr>
          <w:rFonts w:ascii="Arial" w:cs="Arial" w:eastAsia="Arial" w:hAnsi="Arial"/>
          <w:sz w:val="16"/>
          <w:szCs w:val="16"/>
          <w:u w:val="single" w:color="auto"/>
          <w:color w:val="auto"/>
        </w:rPr>
        <w:t>Business Locations.</w:t>
      </w:r>
    </w:p>
    <w:p>
      <w:pPr>
        <w:spacing w:after="0" w:line="225"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6.20(a)</w:t>
      </w:r>
      <w:r>
        <w:rPr>
          <w:rFonts w:ascii="Arial" w:cs="Arial" w:eastAsia="Arial" w:hAnsi="Arial"/>
          <w:sz w:val="17"/>
          <w:szCs w:val="17"/>
          <w:color w:val="auto"/>
        </w:rPr>
        <w:t xml:space="preserve"> is a list of all real property located in the United States that is owned or leased by the Loan Parties as of the Effective Date (with (x) a designation of each real property that is Excluded Property and (y) a designation as to whether such real property is owned or leased). Set forth on </w:t>
      </w:r>
      <w:r>
        <w:rPr>
          <w:rFonts w:ascii="Arial" w:cs="Arial" w:eastAsia="Arial" w:hAnsi="Arial"/>
          <w:sz w:val="17"/>
          <w:szCs w:val="17"/>
          <w:u w:val="single" w:color="auto"/>
          <w:color w:val="auto"/>
        </w:rPr>
        <w:t>Schedule 6.20(b)</w:t>
      </w:r>
      <w:r>
        <w:rPr>
          <w:rFonts w:ascii="Arial" w:cs="Arial" w:eastAsia="Arial" w:hAnsi="Arial"/>
          <w:sz w:val="17"/>
          <w:szCs w:val="17"/>
          <w:color w:val="auto"/>
        </w:rPr>
        <w:t xml:space="preserve"> is the tax payer identification number and organizational identification number of each Loan Party as of the Effective Date. The exact legal name and state of organization of (a) the Borrower is as set forth on the signature pages hereto and (b) each Guarantor is (i) as set forth on the signature pages hereto, (ii) as set forth on the signature pages to the Joinder Agreement pursuant to which such Guarantor became a party hereto or (iii) as may be otherwise disclosed by the Loan Parties to the Administrative Agent in accordance with </w:t>
      </w:r>
      <w:r>
        <w:rPr>
          <w:rFonts w:ascii="Arial" w:cs="Arial" w:eastAsia="Arial" w:hAnsi="Arial"/>
          <w:sz w:val="17"/>
          <w:szCs w:val="17"/>
          <w:u w:val="single" w:color="auto"/>
          <w:color w:val="auto"/>
        </w:rPr>
        <w:t>Section 8.12(c)</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6.20(c)</w:t>
      </w:r>
      <w:r>
        <w:rPr>
          <w:rFonts w:ascii="Arial" w:cs="Arial" w:eastAsia="Arial" w:hAnsi="Arial"/>
          <w:sz w:val="17"/>
          <w:szCs w:val="17"/>
          <w:color w:val="auto"/>
        </w:rPr>
        <w:t>, no Loan Party has during the five years preceding the Effective Date (x) changed its legal name, (y) changed its state of organization or (z) been party to a merger, consolidation or other change in structure.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u w:val="single" w:color="auto"/>
          <w:color w:val="auto"/>
        </w:rPr>
        <w:t>Sanctions Concerns; Anti-Corruption Laws; PATRIOT Act.</w:t>
      </w:r>
    </w:p>
    <w:p>
      <w:pPr>
        <w:spacing w:after="0" w:line="225" w:lineRule="exact"/>
        <w:rPr>
          <w:sz w:val="20"/>
          <w:szCs w:val="20"/>
          <w:color w:val="auto"/>
        </w:rPr>
      </w:pPr>
    </w:p>
    <w:p>
      <w:pPr>
        <w:ind w:left="660" w:right="140" w:firstLine="645"/>
        <w:spacing w:after="0" w:line="257" w:lineRule="auto"/>
        <w:tabs>
          <w:tab w:leader="none" w:pos="1954"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Sanctions Concerns</w:t>
      </w:r>
      <w:r>
        <w:rPr>
          <w:rFonts w:ascii="Arial" w:cs="Arial" w:eastAsia="Arial" w:hAnsi="Arial"/>
          <w:sz w:val="18"/>
          <w:szCs w:val="18"/>
          <w:color w:val="auto"/>
        </w:rPr>
        <w:t>. No Loan Party, nor any Subsidiary, nor, to the knowledge of the Loan Parties and their Subsidiaries, any director, officer, employee, agent, affiliate or representative thereof, is an individual or entity that is, or is owned or controlled by, any individual or entity that is (i)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188" w:lineRule="exact"/>
        <w:rPr>
          <w:rFonts w:ascii="Arial" w:cs="Arial" w:eastAsia="Arial" w:hAnsi="Arial"/>
          <w:sz w:val="18"/>
          <w:szCs w:val="18"/>
          <w:color w:val="auto"/>
        </w:rPr>
      </w:pPr>
    </w:p>
    <w:p>
      <w:pPr>
        <w:ind w:left="660" w:right="60" w:firstLine="645"/>
        <w:spacing w:after="0" w:line="259" w:lineRule="auto"/>
        <w:tabs>
          <w:tab w:leader="none" w:pos="1964"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Anti-Corruption Laws</w:t>
      </w:r>
      <w:r>
        <w:rPr>
          <w:rFonts w:ascii="Arial" w:cs="Arial" w:eastAsia="Arial" w:hAnsi="Arial"/>
          <w:sz w:val="18"/>
          <w:szCs w:val="18"/>
          <w:color w:val="auto"/>
        </w:rPr>
        <w:t>. The Loan Parties and their Subsidiaries have conducted their business in compliance with the United States Foreign Corrupt Practices Act of 1977 and other similar anti-corruption legislation in other jurisdictions in which the Loan Parties and their Subsidiaries conduct business and/or are subject to such legislation, and have instituted and maintained policies and procedures designed to promote and achieve compliance with such laws.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PATRIOT Act</w:t>
      </w:r>
      <w:r>
        <w:rPr>
          <w:rFonts w:ascii="Arial" w:cs="Arial" w:eastAsia="Arial" w:hAnsi="Arial"/>
          <w:sz w:val="17"/>
          <w:szCs w:val="17"/>
          <w:color w:val="auto"/>
        </w:rPr>
        <w:t>. To the extent applicable, each Loan Party and each Subsidiary is in compliance, in all material respects, with</w:t>
      </w:r>
    </w:p>
    <w:p>
      <w:pPr>
        <w:spacing w:after="0" w:line="34" w:lineRule="exact"/>
        <w:rPr>
          <w:rFonts w:ascii="Arial" w:cs="Arial" w:eastAsia="Arial" w:hAnsi="Arial"/>
          <w:sz w:val="17"/>
          <w:szCs w:val="17"/>
          <w:color w:val="auto"/>
        </w:rPr>
      </w:pPr>
    </w:p>
    <w:p>
      <w:pPr>
        <w:ind w:left="660" w:right="340" w:hanging="4"/>
        <w:spacing w:after="0" w:line="323" w:lineRule="auto"/>
        <w:tabs>
          <w:tab w:leader="none" w:pos="87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Trading with the Enemy Act, as amended, and each of the foreign assets control regulations of the United States Treasury Department (31 CFR, Subtitle B, Chapter V, as amended) and any other enabling legislation or executive order relating thereto and (ii) the PATRIOT Act.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u w:val="single" w:color="auto"/>
          <w:color w:val="auto"/>
        </w:rPr>
        <w:t>Material Contracts.</w:t>
      </w:r>
    </w:p>
    <w:p>
      <w:pPr>
        <w:spacing w:after="0" w:line="225" w:lineRule="exact"/>
        <w:rPr>
          <w:sz w:val="20"/>
          <w:szCs w:val="20"/>
          <w:color w:val="auto"/>
        </w:rPr>
      </w:pPr>
    </w:p>
    <w:p>
      <w:pPr>
        <w:ind w:right="360" w:firstLine="648"/>
        <w:spacing w:after="0" w:line="291" w:lineRule="auto"/>
        <w:rPr>
          <w:sz w:val="20"/>
          <w:szCs w:val="20"/>
          <w:color w:val="auto"/>
        </w:rPr>
      </w:pPr>
      <w:r>
        <w:rPr>
          <w:rFonts w:ascii="Arial" w:cs="Arial" w:eastAsia="Arial" w:hAnsi="Arial"/>
          <w:sz w:val="16"/>
          <w:szCs w:val="16"/>
          <w:color w:val="auto"/>
        </w:rPr>
        <w:t xml:space="preserve">Except for the Organization Documents and the other agreements set forth on </w:t>
      </w:r>
      <w:r>
        <w:rPr>
          <w:rFonts w:ascii="Arial" w:cs="Arial" w:eastAsia="Arial" w:hAnsi="Arial"/>
          <w:sz w:val="16"/>
          <w:szCs w:val="16"/>
          <w:u w:val="single" w:color="auto"/>
          <w:color w:val="auto"/>
        </w:rPr>
        <w:t>Schedule 6.22</w:t>
      </w:r>
      <w:r>
        <w:rPr>
          <w:rFonts w:ascii="Arial" w:cs="Arial" w:eastAsia="Arial" w:hAnsi="Arial"/>
          <w:sz w:val="16"/>
          <w:szCs w:val="16"/>
          <w:color w:val="auto"/>
        </w:rPr>
        <w:t xml:space="preserve"> (collectively with the Organization Documents, the “</w:t>
      </w:r>
      <w:r>
        <w:rPr>
          <w:rFonts w:ascii="Arial" w:cs="Arial" w:eastAsia="Arial" w:hAnsi="Arial"/>
          <w:sz w:val="16"/>
          <w:szCs w:val="16"/>
          <w:u w:val="single" w:color="auto"/>
          <w:color w:val="auto"/>
        </w:rPr>
        <w:t>Material Contracts</w:t>
      </w:r>
      <w:r>
        <w:rPr>
          <w:rFonts w:ascii="Arial" w:cs="Arial" w:eastAsia="Arial" w:hAnsi="Arial"/>
          <w:sz w:val="16"/>
          <w:szCs w:val="16"/>
          <w:color w:val="auto"/>
        </w:rPr>
        <w:t>”), as of the Effective Date there are no (a) employment agreements covering the management of the Borrower or any Subsidiary,</w:t>
      </w:r>
    </w:p>
    <w:p>
      <w:pPr>
        <w:ind w:right="20" w:firstLine="8"/>
        <w:spacing w:after="0" w:line="267" w:lineRule="auto"/>
        <w:tabs>
          <w:tab w:leader="none" w:pos="2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collective bargaining agreements or other labor agreements covering any employees of the Borrower or any Subsidiary, (c) agreements for managerial, consulting or similar services to which the Borrower or any Subsidiary is a party or by which it is bound, (d) agreements regarding the Borrower or any Subsidiary, its assets or operations or any investment therein to which any of its equityholders is a party or by which it is bound, (e) real estate leases, licenses of IP Rights or other lease or license agreements to which the Borrower or any Subsidiary is a party, either as lessor or lessee, or as licensor or licensee (other than licenses arising from the purchase of “off the shelf’ products), (f) customer or supply agreements to which the Borrower or any Subsidiary is a party, in each case with respect to the preceding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requiring payment by the Borrower and/or any Subsidiary of more than $500,000 in any year or (g) any other agreements or instruments to which the Borrower or any Subsidiary is a party, and the breach, nonperformance or cancellation of which, or the failure of which to renew, could reasonably be expected to have a Material Adverse Effect. </w:t>
      </w:r>
      <w:r>
        <w:rPr>
          <w:rFonts w:ascii="Arial" w:cs="Arial" w:eastAsia="Arial" w:hAnsi="Arial"/>
          <w:sz w:val="17"/>
          <w:szCs w:val="17"/>
          <w:u w:val="single" w:color="auto"/>
          <w:color w:val="auto"/>
        </w:rPr>
        <w:t>Schedule 6.22</w:t>
      </w:r>
      <w:r>
        <w:rPr>
          <w:rFonts w:ascii="Arial" w:cs="Arial" w:eastAsia="Arial" w:hAnsi="Arial"/>
          <w:sz w:val="17"/>
          <w:szCs w:val="17"/>
          <w:color w:val="auto"/>
        </w:rPr>
        <w:t xml:space="preserve"> sets forth, with respect to each real estate lease agreement to which the Borrower or any Subsidiary is a party as of the Effective Date, the address of the subject property and the annual rental rate as of the Effective Date. The consummation of the transactions contemplated by the Loan Documents will not give rise to a right of termination in favor of any party to any Material Contract.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u w:val="single" w:color="auto"/>
          <w:color w:val="auto"/>
        </w:rPr>
        <w:t>Compliance of Products.</w:t>
      </w:r>
    </w:p>
    <w:p>
      <w:pPr>
        <w:spacing w:after="0" w:line="225" w:lineRule="exact"/>
        <w:rPr>
          <w:sz w:val="20"/>
          <w:szCs w:val="20"/>
          <w:color w:val="auto"/>
        </w:rPr>
      </w:pPr>
    </w:p>
    <w:p>
      <w:pPr>
        <w:ind w:left="1940" w:hanging="635"/>
        <w:spacing w:after="0"/>
        <w:tabs>
          <w:tab w:leader="none" w:pos="19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Loan Parties represent and warrant:</w:t>
      </w:r>
    </w:p>
    <w:p>
      <w:pPr>
        <w:spacing w:after="0" w:line="225" w:lineRule="exact"/>
        <w:rPr>
          <w:rFonts w:ascii="Arial" w:cs="Arial" w:eastAsia="Arial" w:hAnsi="Arial"/>
          <w:sz w:val="18"/>
          <w:szCs w:val="18"/>
          <w:color w:val="auto"/>
        </w:rPr>
      </w:pPr>
    </w:p>
    <w:p>
      <w:pPr>
        <w:ind w:left="1300" w:right="200" w:firstLine="653"/>
        <w:spacing w:after="0" w:line="342" w:lineRule="auto"/>
        <w:tabs>
          <w:tab w:leader="none" w:pos="2618"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that the Borrower and its Subsidiaries have obtained all Required Permits, or have contracted with third parties holding Required Permits, necessary for compliance with all Laws and all such Required Permits are in full force and effect, except where the</w:t>
      </w:r>
    </w:p>
    <w:p>
      <w:pPr>
        <w:sectPr>
          <w:pgSz w:w="11900" w:h="16975" w:orient="portrait"/>
          <w:cols w:equalWidth="0" w:num="1">
            <w:col w:w="11400"/>
          </w:cols>
          <w:pgMar w:left="240" w:top="125" w:right="259" w:bottom="0" w:gutter="0" w:footer="0" w:header="0"/>
        </w:sectPr>
      </w:pPr>
    </w:p>
    <w:bookmarkStart w:id="71" w:name="page72"/>
    <w:bookmarkEnd w:id="71"/>
    <w:p>
      <w:pPr>
        <w:ind w:left="100"/>
        <w:spacing w:after="0"/>
        <w:rPr>
          <w:sz w:val="20"/>
          <w:szCs w:val="20"/>
          <w:color w:val="auto"/>
        </w:rPr>
      </w:pPr>
      <w:r>
        <w:rPr>
          <w:rFonts w:ascii="Arial" w:cs="Arial" w:eastAsia="Arial" w:hAnsi="Arial"/>
          <w:sz w:val="18"/>
          <w:szCs w:val="18"/>
          <w:color w:val="auto"/>
        </w:rPr>
        <w:t>failure to do so could not reasonably be expected to result in a Material Adverse Effect;</w:t>
      </w:r>
    </w:p>
    <w:p>
      <w:pPr>
        <w:spacing w:after="0" w:line="225" w:lineRule="exact"/>
        <w:rPr>
          <w:sz w:val="20"/>
          <w:szCs w:val="20"/>
          <w:color w:val="auto"/>
        </w:rPr>
      </w:pPr>
    </w:p>
    <w:p>
      <w:pPr>
        <w:ind w:left="100" w:right="280" w:firstLine="653"/>
        <w:spacing w:after="0" w:line="279" w:lineRule="auto"/>
        <w:tabs>
          <w:tab w:leader="none" w:pos="1427"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that the Borrower and its Subsidiaries have not received any communication from any Governmental Authority regarding, and are not aware of any facts or circumstances that are likely to give rise to (A) any material adverse change in any Required Permit, or any failure to materially comply with any Laws or any term or requirement of any Required Permit or (B) any revocation, withdrawal, suspension, cancellation, material limitation, termination or material modification of any Required Permit;</w:t>
      </w:r>
    </w:p>
    <w:p>
      <w:pPr>
        <w:spacing w:after="0" w:line="171" w:lineRule="exact"/>
        <w:rPr>
          <w:rFonts w:ascii="Arial" w:cs="Arial" w:eastAsia="Arial" w:hAnsi="Arial"/>
          <w:sz w:val="17"/>
          <w:szCs w:val="17"/>
          <w:color w:val="auto"/>
        </w:rPr>
      </w:pPr>
    </w:p>
    <w:p>
      <w:pPr>
        <w:ind w:left="100" w:firstLine="653"/>
        <w:spacing w:after="0" w:line="312" w:lineRule="auto"/>
        <w:tabs>
          <w:tab w:leader="none" w:pos="143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that none of the officers, directors, employees, stockholders, agents, Affiliates of the Borrower or any Subsidiary or, to Borrower’s knowledge after reasonable and diligent inquiry and investigation, any consultant involved in any Product application, has been convicted of any crime or engaged in any conduct which could reasonably be expected to result in debarment under 21 U.S.C. Section 335a;</w:t>
      </w:r>
    </w:p>
    <w:p>
      <w:pPr>
        <w:spacing w:after="0" w:line="146" w:lineRule="exact"/>
        <w:rPr>
          <w:rFonts w:ascii="Arial" w:cs="Arial" w:eastAsia="Arial" w:hAnsi="Arial"/>
          <w:sz w:val="16"/>
          <w:szCs w:val="16"/>
          <w:color w:val="auto"/>
        </w:rPr>
      </w:pPr>
    </w:p>
    <w:p>
      <w:pPr>
        <w:ind w:left="100" w:right="240" w:firstLine="653"/>
        <w:spacing w:after="0" w:line="259" w:lineRule="auto"/>
        <w:tabs>
          <w:tab w:leader="none" w:pos="141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none of the officers, directors, employees, stockholders, agents, Affiliates of the Borrower or any Subsidiary or, to the Borrower’s knowledge, any consultant has made an untrue statement of material fact or fraudulent statement to the FDA or failed to disclose a material fact required to be disclosed to the FDA, committed an act, made a statement, or failed to make a statement that could reasonably be expected</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100"/>
        <w:spacing w:after="0" w:line="277" w:lineRule="auto"/>
        <w:rPr>
          <w:sz w:val="20"/>
          <w:szCs w:val="20"/>
          <w:color w:val="auto"/>
        </w:rPr>
      </w:pPr>
      <w:r>
        <w:rPr>
          <w:rFonts w:ascii="Arial" w:cs="Arial" w:eastAsia="Arial" w:hAnsi="Arial"/>
          <w:sz w:val="18"/>
          <w:szCs w:val="18"/>
          <w:color w:val="auto"/>
        </w:rPr>
        <w:t>to provide a basis for the FDA to invoke its policy respecting “Fraud, Untrue Statements of Material Facts, Bribery, and Illegal Gratuities,” set forth in 56 Fed. Regulation 46191 (September 10, 1991);</w:t>
      </w:r>
    </w:p>
    <w:p>
      <w:pPr>
        <w:spacing w:after="0" w:line="170" w:lineRule="exact"/>
        <w:rPr>
          <w:sz w:val="20"/>
          <w:szCs w:val="20"/>
          <w:color w:val="auto"/>
        </w:rPr>
      </w:pPr>
    </w:p>
    <w:p>
      <w:pPr>
        <w:ind w:left="100" w:right="120" w:firstLine="653"/>
        <w:spacing w:after="0" w:line="291" w:lineRule="auto"/>
        <w:tabs>
          <w:tab w:leader="none" w:pos="140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that all applications, notifications, submissions, information, claims, reports and statistics and other data and conclusions derived therefrom, utilized as the basis for or submitted in connection with any and all requests for a Required Permit from the FDA or other Governmental Authority relating to the Borrower or any Subsidiary, their business operations and Products, when submitted to the FDA or other Governmental Authority were true, complete and correct in all material respects as of the date of submission and any necessary or required updates, changes, corrections or modifications to such applications, submissions, information and data have been submitted to the FDA or other Governmental Authority. The Required Permits issued by the FDA and other Governmental Authorities for the Borrower’s and its Subsidiaries’ Products are valid and supported by proper research, design, testing, analysis and disclosure;</w:t>
      </w:r>
    </w:p>
    <w:p>
      <w:pPr>
        <w:spacing w:after="0" w:line="167" w:lineRule="exact"/>
        <w:rPr>
          <w:rFonts w:ascii="Arial" w:cs="Arial" w:eastAsia="Arial" w:hAnsi="Arial"/>
          <w:sz w:val="16"/>
          <w:szCs w:val="16"/>
          <w:color w:val="auto"/>
        </w:rPr>
      </w:pPr>
    </w:p>
    <w:p>
      <w:pPr>
        <w:ind w:left="100" w:right="40" w:firstLine="653"/>
        <w:spacing w:after="0" w:line="279" w:lineRule="auto"/>
        <w:tabs>
          <w:tab w:leader="none" w:pos="1413"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that all preclinical and clinical trials in respect of the activities of the Borrower and its Subsidiaries being conducted by or on behalf of the Borrower and its Subsidiaries that have been submitted to any Governmental Authority, including the FDA and its counterparts worldwide, in connection with any Required Permit, are being or have been conducted in compliance in all material respects with the required experimental protocols, procedures and controls pursuant to applicable Laws;</w:t>
      </w:r>
    </w:p>
    <w:p>
      <w:pPr>
        <w:spacing w:after="0" w:line="171" w:lineRule="exact"/>
        <w:rPr>
          <w:rFonts w:ascii="Arial" w:cs="Arial" w:eastAsia="Arial" w:hAnsi="Arial"/>
          <w:sz w:val="17"/>
          <w:szCs w:val="17"/>
          <w:color w:val="auto"/>
        </w:rPr>
      </w:pPr>
    </w:p>
    <w:p>
      <w:pPr>
        <w:ind w:left="100" w:right="100" w:firstLine="653"/>
        <w:spacing w:after="0" w:line="297" w:lineRule="auto"/>
        <w:tabs>
          <w:tab w:leader="none" w:pos="1423"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that neither the Borrower nor any Subsidiary has received any written notice that any Governmental Authority, including without limitation the FDA, the Office of the Inspector General of HHS or the United States Department of Justice has commenced or threatened to initiate any action against the Borrower or a Subsidiary, any action to enjoin the Borrower or a Subsidiary, its officers, directors, employees, stockholders or its agents and Affiliates, from conducting its business at any facility owned or used by it or for any material civil penalty, injunction, seizure or criminal action that could reasonably be expected to have a Material Adverse Effect;</w:t>
      </w:r>
    </w:p>
    <w:p>
      <w:pPr>
        <w:spacing w:after="0" w:line="158" w:lineRule="exact"/>
        <w:rPr>
          <w:rFonts w:ascii="Arial" w:cs="Arial" w:eastAsia="Arial" w:hAnsi="Arial"/>
          <w:sz w:val="16"/>
          <w:szCs w:val="16"/>
          <w:color w:val="auto"/>
        </w:rPr>
      </w:pPr>
    </w:p>
    <w:p>
      <w:pPr>
        <w:ind w:left="100" w:right="100" w:firstLine="653"/>
        <w:spacing w:after="0" w:line="273" w:lineRule="auto"/>
        <w:tabs>
          <w:tab w:leader="none" w:pos="1432"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that neither the Borrower nor any Subsidiary has received from the FDA, at any time since January 1, 2008, a Warning Letter, Form FDA-483, “Untitled Letter,” other correspondence or notice setting forth allegedly objectionable observations or alleged violations of laws and regulations enforced by the FDA, or any comparable correspondence from any state or local authority with regard to any Product or the use, manufacture, processing, packaging or holding thereof, or any comparable correspondence from any foreign counterpart of the FDA, or any comparable correspondence from any foreign counterpart of any state or local authority with regard to any Product or the use, manufacture, processing, packing, or holding thereof; and</w:t>
      </w:r>
    </w:p>
    <w:p>
      <w:pPr>
        <w:spacing w:after="0" w:line="178" w:lineRule="exact"/>
        <w:rPr>
          <w:rFonts w:ascii="Arial" w:cs="Arial" w:eastAsia="Arial" w:hAnsi="Arial"/>
          <w:sz w:val="17"/>
          <w:szCs w:val="17"/>
          <w:color w:val="auto"/>
        </w:rPr>
      </w:pPr>
    </w:p>
    <w:p>
      <w:pPr>
        <w:ind w:left="100" w:firstLine="653"/>
        <w:spacing w:after="0" w:line="285" w:lineRule="auto"/>
        <w:tabs>
          <w:tab w:leader="none" w:pos="1413"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that neither the Borrower nor any Subsidiary (A) has engaged in any recalls, field notifications, Market Withdrawals, warnings, “dear doctor” letters, investigator notices, safety alerts, “serious adverse event” reports or other notice of action relating to an alleged lack of safety or regulatory compliance of the Products issued by the Borrower or any Subsidiary, any clinical investigator, and/or other third party (“</w:t>
      </w:r>
      <w:r>
        <w:rPr>
          <w:rFonts w:ascii="Arial" w:cs="Arial" w:eastAsia="Arial" w:hAnsi="Arial"/>
          <w:sz w:val="16"/>
          <w:szCs w:val="16"/>
          <w:u w:val="single" w:color="auto"/>
          <w:color w:val="auto"/>
        </w:rPr>
        <w:t>Safety Notices</w:t>
      </w:r>
      <w:r>
        <w:rPr>
          <w:rFonts w:ascii="Arial" w:cs="Arial" w:eastAsia="Arial" w:hAnsi="Arial"/>
          <w:sz w:val="16"/>
          <w:szCs w:val="16"/>
          <w:color w:val="auto"/>
        </w:rPr>
        <w:t>”), (B) has knowledge of any material product complaints with respect to the Products which, if true, could reasonably be expected to have a Material Adverse Effect and (C) has knowledge of any facts that would be reasonably likely to result in</w:t>
      </w:r>
    </w:p>
    <w:p>
      <w:pPr>
        <w:spacing w:after="0" w:line="2"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(1)</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360"/>
        <w:spacing w:after="0" w:line="277" w:lineRule="auto"/>
        <w:rPr>
          <w:sz w:val="20"/>
          <w:szCs w:val="20"/>
          <w:color w:val="auto"/>
        </w:rPr>
      </w:pPr>
      <w:r>
        <w:rPr>
          <w:rFonts w:ascii="Arial" w:cs="Arial" w:eastAsia="Arial" w:hAnsi="Arial"/>
          <w:sz w:val="18"/>
          <w:szCs w:val="18"/>
          <w:color w:val="auto"/>
        </w:rPr>
        <w:t>a material Safety Notice with respect to the Products, (2) a material change in the labeling of any of the Products or (3) a termination or suspension of developing and testing of any of the Products.</w:t>
      </w:r>
    </w:p>
    <w:p>
      <w:pPr>
        <w:spacing w:after="0" w:line="170" w:lineRule="exact"/>
        <w:rPr>
          <w:sz w:val="20"/>
          <w:szCs w:val="20"/>
          <w:color w:val="auto"/>
        </w:rPr>
      </w:pPr>
    </w:p>
    <w:p>
      <w:pPr>
        <w:ind w:left="760" w:hanging="655"/>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 respect to Products, the Loan Parties represent and warrant that:</w:t>
      </w:r>
    </w:p>
    <w:p>
      <w:pPr>
        <w:spacing w:after="0" w:line="225" w:lineRule="exact"/>
        <w:rPr>
          <w:rFonts w:ascii="Arial" w:cs="Arial" w:eastAsia="Arial" w:hAnsi="Arial"/>
          <w:sz w:val="18"/>
          <w:szCs w:val="18"/>
          <w:color w:val="auto"/>
        </w:rPr>
      </w:pPr>
    </w:p>
    <w:p>
      <w:pPr>
        <w:ind w:left="20" w:firstLine="652"/>
        <w:spacing w:after="0" w:line="270" w:lineRule="auto"/>
        <w:tabs>
          <w:tab w:leader="none" w:pos="1419" w:val="left"/>
        </w:tabs>
        <w:numPr>
          <w:ilvl w:val="1"/>
          <w:numId w:val="97"/>
        </w:numPr>
        <w:rPr>
          <w:rFonts w:ascii="Arial" w:cs="Arial" w:eastAsia="Arial" w:hAnsi="Arial"/>
          <w:sz w:val="17"/>
          <w:szCs w:val="17"/>
          <w:color w:val="auto"/>
        </w:rPr>
      </w:pPr>
      <w:r>
        <w:rPr>
          <w:rFonts w:ascii="Arial" w:cs="Arial" w:eastAsia="Arial" w:hAnsi="Arial"/>
          <w:sz w:val="17"/>
          <w:szCs w:val="17"/>
          <w:color w:val="auto"/>
        </w:rPr>
        <w:t xml:space="preserve">all Products are listed on </w:t>
      </w:r>
      <w:r>
        <w:rPr>
          <w:rFonts w:ascii="Arial" w:cs="Arial" w:eastAsia="Arial" w:hAnsi="Arial"/>
          <w:sz w:val="17"/>
          <w:szCs w:val="17"/>
          <w:u w:val="single" w:color="auto"/>
          <w:color w:val="auto"/>
        </w:rPr>
        <w:t>Schedule 1.01</w:t>
      </w:r>
      <w:r>
        <w:rPr>
          <w:rFonts w:ascii="Arial" w:cs="Arial" w:eastAsia="Arial" w:hAnsi="Arial"/>
          <w:sz w:val="17"/>
          <w:szCs w:val="17"/>
          <w:color w:val="auto"/>
        </w:rPr>
        <w:t xml:space="preserve"> and the Borrower has delivered to the Administrative Agent on or prior to the Effective Date copies of all Required Permits relating to such Products issued or outstanding as of the Effective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if after the Effective Date, the Borrower or any Subsidiary wishes to manufacture, sell, develop, test or market any new Product, the Borrower shall give prior written notice to the Administrative Agent of such intention (which shall include a brief description of such Product, plus copies of all Required Permits relating to such new Product and/or the Borrower’s or such Subsidiary’s manufacture, sale, development, testing or marketing thereof issued or outstanding as of the date of such notice) along with a copy of an updated </w:t>
      </w:r>
      <w:r>
        <w:rPr>
          <w:rFonts w:ascii="Arial" w:cs="Arial" w:eastAsia="Arial" w:hAnsi="Arial"/>
          <w:sz w:val="17"/>
          <w:szCs w:val="17"/>
          <w:u w:val="single" w:color="auto"/>
          <w:color w:val="auto"/>
        </w:rPr>
        <w:t>Schedule 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the Borrower and/or any Subsidiary shall at any time obtain any new or additional Required Permits from the FDA, or parallel state or local authorities, or foreign counterparts of the FDA, or parallel state or local authorities, with respect to any Product which has previously been disclosed to the Administrative Agent, the Borrower shall give written notice to the Administrative Agent of such new or additional Required Permits, along with a copy thereof;</w:t>
      </w:r>
    </w:p>
    <w:p>
      <w:pPr>
        <w:sectPr>
          <w:pgSz w:w="11900" w:h="16838" w:orient="portrait"/>
          <w:cols w:equalWidth="0" w:num="1">
            <w:col w:w="10220"/>
          </w:cols>
          <w:pgMar w:left="1440" w:top="125" w:right="239" w:bottom="0" w:gutter="0" w:footer="0" w:header="0"/>
        </w:sectPr>
      </w:pPr>
    </w:p>
    <w:bookmarkStart w:id="72" w:name="page73"/>
    <w:bookmarkEnd w:id="72"/>
    <w:p>
      <w:pPr>
        <w:ind w:left="1300" w:right="40" w:firstLine="653"/>
        <w:spacing w:after="0" w:line="277" w:lineRule="auto"/>
        <w:tabs>
          <w:tab w:leader="none" w:pos="2627" w:val="left"/>
        </w:tabs>
        <w:numPr>
          <w:ilvl w:val="1"/>
          <w:numId w:val="98"/>
        </w:numPr>
        <w:rPr>
          <w:rFonts w:ascii="Arial" w:cs="Arial" w:eastAsia="Arial" w:hAnsi="Arial"/>
          <w:sz w:val="18"/>
          <w:szCs w:val="18"/>
          <w:color w:val="auto"/>
        </w:rPr>
      </w:pPr>
      <w:r>
        <w:rPr>
          <w:rFonts w:ascii="Arial" w:cs="Arial" w:eastAsia="Arial" w:hAnsi="Arial"/>
          <w:sz w:val="18"/>
          <w:szCs w:val="18"/>
          <w:color w:val="auto"/>
        </w:rPr>
        <w:t>each Product is not adulterated or misbranded within the meaning of the FDCA, except where a failure of a Product so to comply could not reasonably be expected to have a Material Adverse Effect;</w:t>
      </w:r>
    </w:p>
    <w:p>
      <w:pPr>
        <w:spacing w:after="0" w:line="170" w:lineRule="exact"/>
        <w:rPr>
          <w:rFonts w:ascii="Arial" w:cs="Arial" w:eastAsia="Arial" w:hAnsi="Arial"/>
          <w:sz w:val="18"/>
          <w:szCs w:val="18"/>
          <w:color w:val="auto"/>
        </w:rPr>
      </w:pPr>
    </w:p>
    <w:p>
      <w:pPr>
        <w:ind w:left="1300" w:right="100" w:firstLine="653"/>
        <w:spacing w:after="0" w:line="264" w:lineRule="auto"/>
        <w:tabs>
          <w:tab w:leader="none" w:pos="2637" w:val="left"/>
        </w:tabs>
        <w:numPr>
          <w:ilvl w:val="1"/>
          <w:numId w:val="98"/>
        </w:numPr>
        <w:rPr>
          <w:rFonts w:ascii="Arial" w:cs="Arial" w:eastAsia="Arial" w:hAnsi="Arial"/>
          <w:sz w:val="18"/>
          <w:szCs w:val="18"/>
          <w:color w:val="auto"/>
        </w:rPr>
      </w:pPr>
      <w:r>
        <w:rPr>
          <w:rFonts w:ascii="Arial" w:cs="Arial" w:eastAsia="Arial" w:hAnsi="Arial"/>
          <w:sz w:val="18"/>
          <w:szCs w:val="18"/>
          <w:color w:val="auto"/>
        </w:rPr>
        <w:t>each Product is not an article prohibited from use or introduction into interstate commerce under the provisions of Sections 404, 505 or 512 of the FDCA, except where such introduction of a prohibited Product could not reasonably be expected to have a Material Adverse Effect;</w:t>
      </w:r>
    </w:p>
    <w:p>
      <w:pPr>
        <w:spacing w:after="0" w:line="181" w:lineRule="exact"/>
        <w:rPr>
          <w:rFonts w:ascii="Arial" w:cs="Arial" w:eastAsia="Arial" w:hAnsi="Arial"/>
          <w:sz w:val="18"/>
          <w:szCs w:val="18"/>
          <w:color w:val="auto"/>
        </w:rPr>
      </w:pPr>
    </w:p>
    <w:p>
      <w:pPr>
        <w:ind w:left="1300" w:right="20" w:firstLine="653"/>
        <w:spacing w:after="0" w:line="264" w:lineRule="auto"/>
        <w:tabs>
          <w:tab w:leader="none" w:pos="2613" w:val="left"/>
        </w:tabs>
        <w:numPr>
          <w:ilvl w:val="1"/>
          <w:numId w:val="98"/>
        </w:numPr>
        <w:rPr>
          <w:rFonts w:ascii="Arial" w:cs="Arial" w:eastAsia="Arial" w:hAnsi="Arial"/>
          <w:sz w:val="18"/>
          <w:szCs w:val="18"/>
          <w:color w:val="auto"/>
        </w:rPr>
      </w:pPr>
      <w:r>
        <w:rPr>
          <w:rFonts w:ascii="Arial" w:cs="Arial" w:eastAsia="Arial" w:hAnsi="Arial"/>
          <w:sz w:val="18"/>
          <w:szCs w:val="18"/>
          <w:color w:val="auto"/>
        </w:rPr>
        <w:t>each Product has been and shall be used, manufactured, imported, possessed, owned, warehoused, marketed, promoted, sold, labeled, furnished, distributed and marketed in accordance with all applicable Permits and Laws, except where a failure to do so could not reasonably be expected to have a Material Adverse Effect;</w:t>
      </w:r>
    </w:p>
    <w:p>
      <w:pPr>
        <w:spacing w:after="0" w:line="181" w:lineRule="exact"/>
        <w:rPr>
          <w:rFonts w:ascii="Arial" w:cs="Arial" w:eastAsia="Arial" w:hAnsi="Arial"/>
          <w:sz w:val="18"/>
          <w:szCs w:val="18"/>
          <w:color w:val="auto"/>
        </w:rPr>
      </w:pPr>
    </w:p>
    <w:p>
      <w:pPr>
        <w:ind w:left="1300" w:right="80" w:firstLine="653"/>
        <w:spacing w:after="0" w:line="277" w:lineRule="auto"/>
        <w:tabs>
          <w:tab w:leader="none" w:pos="26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each Product has been and shall be manufactured in accordance with customary manufacturing practices, except where a failure to do so could not reasonably be expected to have a Material Adverse Effect;</w:t>
      </w:r>
    </w:p>
    <w:p>
      <w:pPr>
        <w:spacing w:after="0" w:line="170" w:lineRule="exact"/>
        <w:rPr>
          <w:rFonts w:ascii="Arial" w:cs="Arial" w:eastAsia="Arial" w:hAnsi="Arial"/>
          <w:sz w:val="18"/>
          <w:szCs w:val="18"/>
          <w:color w:val="auto"/>
        </w:rPr>
      </w:pPr>
    </w:p>
    <w:p>
      <w:pPr>
        <w:ind w:left="1300" w:right="120" w:firstLine="653"/>
        <w:spacing w:after="0" w:line="285" w:lineRule="auto"/>
        <w:tabs>
          <w:tab w:leader="none" w:pos="2613"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6.23(a)(i)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with respect to any Product being tested or manufactured by the Borrower and its Subsidiaries, the Borrower and its Subsidiaries have received, and such Product shall be the subject of, all Required Permits needed in connection with the testing or manufacture of such Product as such testing is currently being conducted by or on behalf of the Borrower or such Subsidiary, neither the Borrower nor any Subsidiary has received any notice from any applicable Governmental Authority, specifically including the FDA, that such Governmental Authority is conducting an investigation or review of</w:t>
      </w:r>
    </w:p>
    <w:p>
      <w:pPr>
        <w:spacing w:after="0" w:line="2" w:lineRule="exact"/>
        <w:rPr>
          <w:rFonts w:ascii="Arial" w:cs="Arial" w:eastAsia="Arial" w:hAnsi="Arial"/>
          <w:sz w:val="16"/>
          <w:szCs w:val="16"/>
          <w:color w:val="auto"/>
        </w:rPr>
      </w:pPr>
    </w:p>
    <w:p>
      <w:pPr>
        <w:ind w:left="1300" w:right="180" w:firstLine="5"/>
        <w:spacing w:after="0" w:line="255" w:lineRule="auto"/>
        <w:tabs>
          <w:tab w:leader="none" w:pos="15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and its Subsidiaries’ manufacturing facilities and processes for such Product which have disclosed any material deficiencies or violations of Laws or the Required Permits related to the manufacture of such Product or (B) any such Required Permit or that any such Required Permit has been revoked or withdrawn, nor has any such Governmental</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spacing w:after="0" w:line="277" w:lineRule="auto"/>
        <w:rPr>
          <w:sz w:val="20"/>
          <w:szCs w:val="20"/>
          <w:color w:val="auto"/>
        </w:rPr>
      </w:pPr>
      <w:r>
        <w:rPr>
          <w:rFonts w:ascii="Arial" w:cs="Arial" w:eastAsia="Arial" w:hAnsi="Arial"/>
          <w:sz w:val="18"/>
          <w:szCs w:val="18"/>
          <w:color w:val="auto"/>
        </w:rPr>
        <w:t>Authority issued any order or recommendation stating that the development, testing or manufacturing of such Product by the Borrower and its Subsidiaries should cease;</w:t>
      </w:r>
    </w:p>
    <w:p>
      <w:pPr>
        <w:spacing w:after="0" w:line="170" w:lineRule="exact"/>
        <w:rPr>
          <w:sz w:val="20"/>
          <w:szCs w:val="20"/>
          <w:color w:val="auto"/>
        </w:rPr>
      </w:pPr>
    </w:p>
    <w:p>
      <w:pPr>
        <w:ind w:left="1300" w:firstLine="653"/>
        <w:spacing w:after="0" w:line="254" w:lineRule="auto"/>
        <w:tabs>
          <w:tab w:leader="none" w:pos="26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6.23(a)(i)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with respect to any Product marketed or sold by the Borrower or any Subsidiary, the Borrower and its Subsidiaries shall have received, and such Product shall be the subject of, all Required Permits needed in connection with the provision, use, marketing and sales of such Product as currently being marketed or sold by the Borrower and its Subsidiaries, neither the Borrower nor any Subsidiary has received any notice from any applicable Governmental Authority, specifically including the FDA, that such Governmental Authority is conducting an investigation or review of any such Required Permit or approval or that any such Required Permit has been revoked or withdrawn, nor has any such Governmental Authority issued any order or recommendation stating that such marketing or sales of such Product cease or that such Product be withdrawn from the marketplace;</w:t>
      </w:r>
    </w:p>
    <w:p>
      <w:pPr>
        <w:spacing w:after="0" w:line="192" w:lineRule="exact"/>
        <w:rPr>
          <w:rFonts w:ascii="Arial" w:cs="Arial" w:eastAsia="Arial" w:hAnsi="Arial"/>
          <w:sz w:val="18"/>
          <w:szCs w:val="18"/>
          <w:color w:val="auto"/>
        </w:rPr>
      </w:pPr>
    </w:p>
    <w:p>
      <w:pPr>
        <w:ind w:left="1300" w:right="280" w:firstLine="653"/>
        <w:spacing w:after="0" w:line="259" w:lineRule="auto"/>
        <w:tabs>
          <w:tab w:leader="none" w:pos="26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neither the Borrower nor any Subsidiary has experienced any significant failures in the manufacturing of any Product such that the amount of such Product successfully manufactured by the Borrower or any of its Subsidiaries in accordance with all specifications thereof and the Required Permits related thereto in any month shall decrease significantly with respect to the quantities of such Product produced in the prior month; and</w:t>
      </w:r>
    </w:p>
    <w:p>
      <w:pPr>
        <w:spacing w:after="0" w:line="186" w:lineRule="exact"/>
        <w:rPr>
          <w:rFonts w:ascii="Arial" w:cs="Arial" w:eastAsia="Arial" w:hAnsi="Arial"/>
          <w:sz w:val="18"/>
          <w:szCs w:val="18"/>
          <w:color w:val="auto"/>
        </w:rPr>
      </w:pPr>
    </w:p>
    <w:p>
      <w:pPr>
        <w:ind w:left="1300" w:right="200" w:firstLine="653"/>
        <w:spacing w:after="0" w:line="342" w:lineRule="auto"/>
        <w:tabs>
          <w:tab w:leader="none" w:pos="261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none of the Products is currently, and have not for the past six (6) years been, the subject of any claim or allegation, formal or informal, that any Product, or its use, is defective or has resulted in or proximately caused any injury to any Person or property.</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6"/>
          <w:szCs w:val="16"/>
          <w:u w:val="single" w:color="auto"/>
          <w:color w:val="auto"/>
        </w:rPr>
        <w:t>Labor Matters.</w:t>
      </w:r>
    </w:p>
    <w:p>
      <w:pPr>
        <w:spacing w:after="0" w:line="225"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There are no existing or threatened strikes, lockouts or other labor disputes involving the Borrower or any Subsidiary that individually or in the aggregate could reasonably be expected to have a Material Adverse Effect. Hours worked by and payment made to employees of the Borrower and its Subsidiaries are not in violation of the Fair Labor Standards Act or any other applicable law, rule or regulation dealing with such matters.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the Funding Date and thereafter, so long as any Lender shall have any Commitment hereunder, any Loan or other Obligation hereunder shall remain unpaid or unsatisfied (other than contingent indemnification obligations for which no claim has been asserted), the Loan Parties shall and shall cause each Subsidiary to:</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6"/>
          <w:szCs w:val="16"/>
          <w:u w:val="single" w:color="auto"/>
          <w:color w:val="auto"/>
        </w:rPr>
        <w:t>Financial Statements.</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Deliver to the Administrative Agent, in form and detail reasonably satisfactory to the Administrative Agent and the Required Lenders: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as soon as available, and in any event within ninety (90) days after the end of each fiscal year of the Borrower (or, if earlier, fifteen</w:t>
      </w:r>
    </w:p>
    <w:p>
      <w:pPr>
        <w:spacing w:after="0" w:line="46" w:lineRule="exact"/>
        <w:rPr>
          <w:rFonts w:ascii="Arial" w:cs="Arial" w:eastAsia="Arial" w:hAnsi="Arial"/>
          <w:sz w:val="16"/>
          <w:szCs w:val="16"/>
          <w:color w:val="auto"/>
        </w:rPr>
      </w:pPr>
    </w:p>
    <w:p>
      <w:pPr>
        <w:ind w:left="660" w:right="100" w:hanging="4"/>
        <w:spacing w:after="0" w:line="292" w:lineRule="auto"/>
        <w:tabs>
          <w:tab w:leader="none" w:pos="100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days after the date required to be filed with the SEC), a consolidated balance sheet of the Borrower and its Subsidiaries as at the end of such fiscal year, and the related consolidated statements of income or operations (including, without limitation, Consolidated Revenues), changes in stockholders’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w:t>
      </w:r>
    </w:p>
    <w:p>
      <w:pPr>
        <w:sectPr>
          <w:pgSz w:w="11900" w:h="16838" w:orient="portrait"/>
          <w:cols w:equalWidth="0" w:num="1">
            <w:col w:w="11380"/>
          </w:cols>
          <w:pgMar w:left="240" w:top="125" w:right="279" w:bottom="0" w:gutter="0" w:footer="0" w:header="0"/>
        </w:sectPr>
      </w:pPr>
    </w:p>
    <w:bookmarkStart w:id="73" w:name="page74"/>
    <w:bookmarkEnd w:id="73"/>
    <w:p>
      <w:pPr>
        <w:spacing w:after="0" w:line="137"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accordance with generally accepted auditing standards and shall not be subject to any “going concern” or like qualification or exception or any qualification or exception as to the scope of such audit; and</w:t>
      </w:r>
    </w:p>
    <w:p>
      <w:pPr>
        <w:spacing w:after="0" w:line="170" w:lineRule="exact"/>
        <w:rPr>
          <w:sz w:val="20"/>
          <w:szCs w:val="20"/>
          <w:color w:val="auto"/>
        </w:rPr>
      </w:pPr>
    </w:p>
    <w:p>
      <w:pPr>
        <w:ind w:left="660" w:right="20" w:firstLine="645"/>
        <w:spacing w:after="0" w:line="271" w:lineRule="auto"/>
        <w:tabs>
          <w:tab w:leader="none" w:pos="196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as soon as available, and in any event within forty-five (45) days after the end of each of the first three fiscal quarters of each fiscal year of the Borrower (or, if earlier, fifteen (15) days after the date required to be filed with the SEC), a consolidated balance sheet of the Borrower and its Subsidiaries as at the end of such fiscal quarter, and the related consolidated statements of income or operations (including, without limitation, Consolidated Revenues), changes in stockholders’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stockholders’ equity and cash flows of the Borrower and its Subsidiaries in accordance with GAAP, subject only to normal year-end audit adjustments and the absence of footnotes.</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Notwithstanding the foregoing, (x) in the event that the Borrower delivers to the Administrative Agent an Annual Report for the Borrower on Form 10-K for any fiscal year, as filed with the SEC, within ninety (90) days after the end of such fiscal year (or, if earlier, fifteen (15) days after the date required to be filed with the SEC), such Form 10-K shall satisfy all requirements of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with respect to such fiscal year to the extent that it contains the information and report and opinion required by such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and such report and opinion does not contain any “going concern” or like qualification or exception or any qualification or exception as to the scope of audit (it being understood and agreed that the Borrower’s Annual Report on Form 10-K for the fiscal year ended December 31, 2015 delivered to the Administrative Agent and the Lenders prior to the Effective Date (the “</w:t>
      </w:r>
      <w:r>
        <w:rPr>
          <w:rFonts w:ascii="Arial" w:cs="Arial" w:eastAsia="Arial" w:hAnsi="Arial"/>
          <w:sz w:val="16"/>
          <w:szCs w:val="16"/>
          <w:u w:val="single" w:color="auto"/>
          <w:color w:val="auto"/>
        </w:rPr>
        <w:t>2015 10-K</w:t>
      </w:r>
      <w:r>
        <w:rPr>
          <w:rFonts w:ascii="Arial" w:cs="Arial" w:eastAsia="Arial" w:hAnsi="Arial"/>
          <w:sz w:val="16"/>
          <w:szCs w:val="16"/>
          <w:color w:val="auto"/>
        </w:rPr>
        <w:t xml:space="preserve">”) is in a form sufficient to satisfy the requirements of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and that any Annual Report for the Borrower on Form 10-K delivered to the Administrative Agent for any fiscal year ending after the Funding Date shall be in a form sufficient to satisfy the requirements of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so long as (i) such Annual Report on Form 10-K is in a form substantially similar to the 2015 10-K (as determined by the Administrative Agent in its reasonable discretion) and (ii) the report and opinion of an independent certified public accountant of nationally recognized standing reasonably acceptable to the Required Lenders delivered in connection therewith is prepared in accordance with generally accepted auditing standards and not subject to any “going concern” or like qualification or exception or any qualification or exception as to the scope of such audit) and (y) in the event that the Borrower delivers to the Administrative Agent a Quarterly Report for the Borrower on Form 10-Q for any fiscal quarter, as filed with the SEC, within forty-five (45) days after the end of such fiscal quarter (or, if earlier, fifteen (15) days after the date required to be filed with the SEC), such Form 10-Q shall satisfy all requirements of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with respect to such fiscal quarter to the extent that it contains the information required by such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(it being understood and agreed that the Borrower’s Quarterly Report on Form 10-Q for the fiscal quarter ended September 30, 2015 delivered to the Administrative Agent and the Lenders prior to the Effective Date (the “</w:t>
      </w:r>
      <w:r>
        <w:rPr>
          <w:rFonts w:ascii="Arial" w:cs="Arial" w:eastAsia="Arial" w:hAnsi="Arial"/>
          <w:sz w:val="16"/>
          <w:szCs w:val="16"/>
          <w:u w:val="single" w:color="auto"/>
          <w:color w:val="auto"/>
        </w:rPr>
        <w:t>2015 Q3 10-Q</w:t>
      </w:r>
      <w:r>
        <w:rPr>
          <w:rFonts w:ascii="Arial" w:cs="Arial" w:eastAsia="Arial" w:hAnsi="Arial"/>
          <w:sz w:val="16"/>
          <w:szCs w:val="16"/>
          <w:color w:val="auto"/>
        </w:rPr>
        <w:t>”) is in a form sufficient to satisfy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the requirements of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that any Quarterly Report for the Borrower on Form 10-Q delivered to the Administrative Agent after the Funding Date shall be in a form sufficient to satisfy the requirements of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so long as (i) such Quarterly Report on Form 10-Q is in a form substantially similar to the 2015 Q3 10-Q (as determined by the Administrative Agent in its reasonable discretion) and (ii) such Quarterly Report on Form 10-Q is subject only to normal year-end audit adjustments and the absence of footnotes); in each case to the extent that information contained in such Form 10-K or Form 10-Q satisfies the requirements of </w:t>
      </w:r>
      <w:r>
        <w:rPr>
          <w:rFonts w:ascii="Arial" w:cs="Arial" w:eastAsia="Arial" w:hAnsi="Arial"/>
          <w:sz w:val="17"/>
          <w:szCs w:val="17"/>
          <w:u w:val="single" w:color="auto"/>
          <w:color w:val="auto"/>
        </w:rPr>
        <w:t>paragraphs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as the case may be.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6"/>
          <w:szCs w:val="16"/>
          <w:u w:val="single" w:color="auto"/>
          <w:color w:val="auto"/>
        </w:rPr>
        <w:t>Certificates; Other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 to the Administrative Agent, in form and detail reasonably satisfactory to the Administrative Agent and the Required Lenders:</w:t>
      </w:r>
    </w:p>
    <w:p>
      <w:pPr>
        <w:spacing w:after="0" w:line="225" w:lineRule="exact"/>
        <w:rPr>
          <w:sz w:val="20"/>
          <w:szCs w:val="20"/>
          <w:color w:val="auto"/>
        </w:rPr>
      </w:pPr>
    </w:p>
    <w:p>
      <w:pPr>
        <w:ind w:left="660" w:firstLine="645"/>
        <w:spacing w:after="0" w:line="284" w:lineRule="auto"/>
        <w:tabs>
          <w:tab w:leader="none" w:pos="195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u w:val="single" w:color="auto"/>
          <w:color w:val="auto"/>
        </w:rPr>
        <w:t>Sections 7.01(a)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 a duly completed Compliance Certificate signed by the chief executive officer, chief financial officer, treasurer or controller which is a Responsible Officer of the Borrower, including (A) information regarding the amount of all Dispositions, Involuntary Dispositions, Debt Issuances and Acquisitions that occurred during the period covered by such Compliance Certificate, (B) a certification as to whether the Loan Parties and their respective Subsidiaries have performed and observed each covenant and condition of the Loan Documents applicable to it during the period covered by the Compliance Certificate (or, if not, a listing of the conditions or covenants that have not been performed or observed and the nature and status of each such Default), (C) a certification of compliance with the financial covenants set forth in </w:t>
      </w:r>
      <w:r>
        <w:rPr>
          <w:rFonts w:ascii="Arial" w:cs="Arial" w:eastAsia="Arial" w:hAnsi="Arial"/>
          <w:sz w:val="16"/>
          <w:szCs w:val="16"/>
          <w:u w:val="single" w:color="auto"/>
          <w:color w:val="auto"/>
        </w:rPr>
        <w:t>Sections 8.16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8.17</w:t>
      </w:r>
      <w:r>
        <w:rPr>
          <w:rFonts w:ascii="Arial" w:cs="Arial" w:eastAsia="Arial" w:hAnsi="Arial"/>
          <w:sz w:val="16"/>
          <w:szCs w:val="16"/>
          <w:color w:val="auto"/>
        </w:rPr>
        <w:t xml:space="preserve">, including financial covenant analyses and calculation for the period covered by the Compliance Certificate, (D) a listing of (I) all applications by any Loan Party, if any, for Copyrights, Patents or Trademarks made since the date of the prior certificate (or, in the case of the first such certificate, the Effective Date), (II) all issuances of registrations or letters on existing applications by any Loan Party for Copyrights, Patents and Trademarks received since the date of the prior certificate (or, in the case of the first such certificate, the Effective Date), (III) all Trademark Licenses, Copyright Licenses and Patent Licenses entered into by any Loan Party since the date of the prior certificate (or, in the case of the first such certificate, the Effective Date) and (IV) such supplements to </w:t>
      </w:r>
      <w:r>
        <w:rPr>
          <w:rFonts w:ascii="Arial" w:cs="Arial" w:eastAsia="Arial" w:hAnsi="Arial"/>
          <w:sz w:val="16"/>
          <w:szCs w:val="16"/>
          <w:u w:val="single" w:color="auto"/>
          <w:color w:val="auto"/>
        </w:rPr>
        <w:t>Schedule 6.17</w:t>
      </w:r>
      <w:r>
        <w:rPr>
          <w:rFonts w:ascii="Arial" w:cs="Arial" w:eastAsia="Arial" w:hAnsi="Arial"/>
          <w:sz w:val="16"/>
          <w:szCs w:val="16"/>
          <w:color w:val="auto"/>
        </w:rPr>
        <w:t xml:space="preserve"> as are necessary to cause such schedule to be true and complete as of the date of such certificate, (ii) attaching the insurance binder or other evidence of insurance for any insurance coverage of any Loan Party or any Subsidiary that was renewed, replaced or modified during the period covered by such financial statements, (iii) a copy of management’s discussion and analysis with respect to such financial statements, (iv) a list of all litigations, arbitrations or governmental investigations or proceedings which were instituted during the period covered by such financial statements or which, to the knowledge of the Borrower, are threatened against any Loan Party or any Subsidiary which, in any case, could reasonably be expected to result in losses and/or expenses (other than, for the avoidance of doubt, legal and court fees, costs and expenses) in excess of the Threshold Amount, together with a description setting forth the details thereof and stating what action the applicable Loan Party or Subsidiary has taken and proposes to take with respect thereto and (v) a list of any and all material changes in accounting policies or financial reporting practices by the Borrower or any Subsidiary during the period covered by such financial statements, together with a description setting forth the details thereof and stating what action the applicable Loan Party or Subsidiary has taken and proposes to take with respect thereto.</w:t>
      </w:r>
    </w:p>
    <w:p>
      <w:pPr>
        <w:spacing w:after="0" w:line="180" w:lineRule="exact"/>
        <w:rPr>
          <w:rFonts w:ascii="Arial" w:cs="Arial" w:eastAsia="Arial" w:hAnsi="Arial"/>
          <w:sz w:val="16"/>
          <w:szCs w:val="16"/>
          <w:color w:val="auto"/>
        </w:rPr>
      </w:pPr>
    </w:p>
    <w:p>
      <w:pPr>
        <w:ind w:left="660" w:right="160" w:firstLine="645"/>
        <w:spacing w:after="0" w:line="227" w:lineRule="auto"/>
        <w:tabs>
          <w:tab w:leader="none" w:pos="19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soon as available, but in any event no later than February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each calendar year, an annual business plan and budget of the Borrower and its Subsidiaries on a consolidated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342" w:lineRule="auto"/>
        <w:rPr>
          <w:sz w:val="20"/>
          <w:szCs w:val="20"/>
          <w:color w:val="auto"/>
        </w:rPr>
      </w:pPr>
      <w:r>
        <w:rPr>
          <w:rFonts w:ascii="Arial" w:cs="Arial" w:eastAsia="Arial" w:hAnsi="Arial"/>
          <w:sz w:val="16"/>
          <w:szCs w:val="16"/>
          <w:color w:val="auto"/>
        </w:rPr>
        <w:t>basis, including forecasts prepared by management of the Borrower, in form reasonably satisfactory to the Administrative Agent, of consolidated balance sheets and statements of income or operations and cash flows of the Borrower and its Subsidiaries on a quarterly basis for the then current</w:t>
      </w:r>
    </w:p>
    <w:p>
      <w:pPr>
        <w:sectPr>
          <w:pgSz w:w="11900" w:h="16975" w:orient="portrait"/>
          <w:cols w:equalWidth="0" w:num="1">
            <w:col w:w="11420"/>
          </w:cols>
          <w:pgMar w:left="240" w:top="125" w:right="239" w:bottom="0" w:gutter="0" w:footer="0" w:header="0"/>
        </w:sectPr>
      </w:pPr>
    </w:p>
    <w:bookmarkStart w:id="74" w:name="page75"/>
    <w:bookmarkEnd w:id="74"/>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ind w:left="660" w:right="20" w:firstLine="645"/>
        <w:spacing w:after="0" w:line="259" w:lineRule="auto"/>
        <w:tabs>
          <w:tab w:leader="none" w:pos="196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equityholders of any Loan Party, and copies of all annual, regular, periodic and special reports and registration statements which a Loan Party may file or be required to file with the SEC under Section 13 or 15(d) of the Securities Exchange Act of 1934, and not otherwise required to be delivered to the Administrative Agent pursuant hereto;</w:t>
      </w:r>
    </w:p>
    <w:p>
      <w:pPr>
        <w:spacing w:after="0" w:line="186" w:lineRule="exact"/>
        <w:rPr>
          <w:rFonts w:ascii="Arial" w:cs="Arial" w:eastAsia="Arial" w:hAnsi="Arial"/>
          <w:sz w:val="18"/>
          <w:szCs w:val="18"/>
          <w:color w:val="auto"/>
        </w:rPr>
      </w:pPr>
    </w:p>
    <w:p>
      <w:pPr>
        <w:ind w:left="660" w:right="220" w:firstLine="645"/>
        <w:spacing w:after="0" w:line="264" w:lineRule="auto"/>
        <w:tabs>
          <w:tab w:leader="none" w:pos="196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as soon as available, copies of any detailed audit reports or management letters or recommendations submitted to the Board of Directors (or the audit committee of the Board of Directors) of the Borrower or any Subsidiary by independent accountants in connection with the accounts or books of the Borrower or any Subsidiary, or any audit of any of them;</w:t>
      </w:r>
    </w:p>
    <w:p>
      <w:pPr>
        <w:spacing w:after="0" w:line="181" w:lineRule="exact"/>
        <w:rPr>
          <w:rFonts w:ascii="Arial" w:cs="Arial" w:eastAsia="Arial" w:hAnsi="Arial"/>
          <w:sz w:val="18"/>
          <w:szCs w:val="18"/>
          <w:color w:val="auto"/>
        </w:rPr>
      </w:pPr>
    </w:p>
    <w:p>
      <w:pPr>
        <w:ind w:left="660" w:right="60" w:firstLine="645"/>
        <w:spacing w:after="0" w:line="273" w:lineRule="auto"/>
        <w:tabs>
          <w:tab w:leader="none" w:pos="1967"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concurrently with delivery to the Board of Directors of the Borrower (or any committee of such Board of Directors), copies of all materials furnished to the Board of Directors of the Borrower (or any committee of such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it is understood and agreed that the Borrower may (x) withhold any information if access to such information may be (in the good faith determination of the Board of Directors of the Borrower) subject to the attorney-client privilege between the Borrower or any other Loan Party and its counsel, (y) redact or withhold any such material to exclude information that such Board of Directors deems (in its good faith determination) to be competitively sensitive or a trade secret and (z) withhold any information if the disclosure thereof is prohibited by any applicable Law;</w:t>
      </w:r>
    </w:p>
    <w:p>
      <w:pPr>
        <w:spacing w:after="0" w:line="178" w:lineRule="exact"/>
        <w:rPr>
          <w:rFonts w:ascii="Arial" w:cs="Arial" w:eastAsia="Arial" w:hAnsi="Arial"/>
          <w:sz w:val="17"/>
          <w:szCs w:val="17"/>
          <w:color w:val="auto"/>
        </w:rPr>
      </w:pPr>
    </w:p>
    <w:p>
      <w:pPr>
        <w:jc w:val="both"/>
        <w:ind w:left="660" w:firstLine="645"/>
        <w:spacing w:after="0" w:line="264" w:lineRule="auto"/>
        <w:tabs>
          <w:tab w:leader="none" w:pos="196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statement or report furnished to any holder of debt securities of any Loan Party or any Subsidiary thereof pursuant to the terms of any indenture, loan or credit or similar agreement and not otherwise required to be furnished to the Lenders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promptly, and in any event within five (5) Business Days after receipt thereof by any Loan Party or any Subsidiary thereof,</w:t>
      </w:r>
    </w:p>
    <w:p>
      <w:pPr>
        <w:spacing w:after="0" w:line="34" w:lineRule="exact"/>
        <w:rPr>
          <w:rFonts w:ascii="Arial" w:cs="Arial" w:eastAsia="Arial" w:hAnsi="Arial"/>
          <w:sz w:val="17"/>
          <w:szCs w:val="17"/>
          <w:color w:val="auto"/>
        </w:rPr>
      </w:pPr>
    </w:p>
    <w:p>
      <w:pPr>
        <w:jc w:val="both"/>
        <w:ind w:left="660" w:right="100" w:hanging="4"/>
        <w:spacing w:after="0" w:line="254" w:lineRule="auto"/>
        <w:tabs>
          <w:tab w:leader="none" w:pos="87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 and (ii) copies of any material written correspondence or any other material written communication from the FDA or any other regulatory body;</w:t>
      </w:r>
    </w:p>
    <w:p>
      <w:pPr>
        <w:spacing w:after="0" w:line="189" w:lineRule="exact"/>
        <w:rPr>
          <w:rFonts w:ascii="Arial" w:cs="Arial" w:eastAsia="Arial" w:hAnsi="Arial"/>
          <w:sz w:val="18"/>
          <w:szCs w:val="18"/>
          <w:color w:val="auto"/>
        </w:rPr>
      </w:pPr>
    </w:p>
    <w:p>
      <w:pPr>
        <w:ind w:left="660" w:right="260" w:firstLine="645"/>
        <w:spacing w:after="0" w:line="342" w:lineRule="auto"/>
        <w:tabs>
          <w:tab w:leader="none" w:pos="1964"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as soon as practicable, and in any event not later than the date that is five (5) Business Days after each month end, copies of the most recent monthly statements for each deposit account and other bank account or securities account of each Loan Party; and</w:t>
      </w:r>
    </w:p>
    <w:p>
      <w:pPr>
        <w:spacing w:after="0" w:line="123" w:lineRule="exact"/>
        <w:rPr>
          <w:rFonts w:ascii="Arial" w:cs="Arial" w:eastAsia="Arial" w:hAnsi="Arial"/>
          <w:sz w:val="16"/>
          <w:szCs w:val="16"/>
          <w:color w:val="auto"/>
        </w:rPr>
      </w:pPr>
    </w:p>
    <w:p>
      <w:pPr>
        <w:ind w:left="660" w:right="20" w:firstLine="645"/>
        <w:spacing w:after="0" w:line="308" w:lineRule="auto"/>
        <w:tabs>
          <w:tab w:leader="none" w:pos="197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promptly, such additional information regarding the business, financial or corporate affairs of any Loan Party or any Subsidiary, or compliance with the terms of the Loan Documents, as the Administrative Agent or any Lender may from time to time request.</w:t>
      </w:r>
    </w:p>
    <w:p>
      <w:pPr>
        <w:spacing w:after="0" w:line="14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may be delivered electronically and if so delivered, shall be deemed to have been delivered on the date (i) on which the Borrower posts such documents, or provides a link thereto on the Borrower’s website on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Internet at the website address listed on </w:t>
      </w:r>
      <w:r>
        <w:rPr>
          <w:rFonts w:ascii="Arial" w:cs="Arial" w:eastAsia="Arial" w:hAnsi="Arial"/>
          <w:sz w:val="17"/>
          <w:szCs w:val="17"/>
          <w:u w:val="single" w:color="auto"/>
          <w:color w:val="auto"/>
        </w:rPr>
        <w:t>Schedule 11.02</w:t>
      </w:r>
      <w:r>
        <w:rPr>
          <w:rFonts w:ascii="Arial" w:cs="Arial" w:eastAsia="Arial" w:hAnsi="Arial"/>
          <w:sz w:val="17"/>
          <w:szCs w:val="17"/>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Borrower shall deliver paper copies of such documents to the Administrative Agent or any Lender upon its request to the Borrower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for delivery by a Lender, and each Lender shall be solely responsible for requesting delivery to it or maintaining its copies of such documents.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Borrower hereby acknowledges that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if requested by the Administrative Agent (x) it will in good faith identify that portion of the materials and/or information provided by, or to be provided by, or on behalf of the Borrower hereunder that does not constitute material non-public information with respect to the Borrower or its Affiliates or their respective securities (the “</w:t>
      </w:r>
      <w:r>
        <w:rPr>
          <w:rFonts w:ascii="Arial" w:cs="Arial" w:eastAsia="Arial" w:hAnsi="Arial"/>
          <w:sz w:val="17"/>
          <w:szCs w:val="17"/>
          <w:u w:val="single" w:color="auto"/>
          <w:color w:val="auto"/>
        </w:rPr>
        <w:t>Public</w:t>
      </w:r>
      <w:r>
        <w:rPr>
          <w:rFonts w:ascii="Arial" w:cs="Arial" w:eastAsia="Arial" w:hAnsi="Arial"/>
          <w:sz w:val="17"/>
          <w:szCs w:val="17"/>
          <w:color w:val="auto"/>
        </w:rPr>
        <w:t xml:space="preserve"> </w:t>
      </w:r>
      <w:r>
        <w:rPr>
          <w:rFonts w:ascii="Arial" w:cs="Arial" w:eastAsia="Arial" w:hAnsi="Arial"/>
          <w:sz w:val="17"/>
          <w:szCs w:val="17"/>
          <w:u w:val="single" w:color="auto"/>
          <w:color w:val="auto"/>
        </w:rPr>
        <w:t>Borrower Materials</w:t>
      </w:r>
      <w:r>
        <w:rPr>
          <w:rFonts w:ascii="Arial" w:cs="Arial" w:eastAsia="Arial" w:hAnsi="Arial"/>
          <w:sz w:val="17"/>
          <w:szCs w:val="17"/>
          <w:color w:val="auto"/>
        </w:rPr>
        <w:t>”) and (y) it will clearly and conspicuously mark all Public Borrower Materials “PUBLIC” which, at a minimum, shall mean that the word “PUBLIC” shall appear prominently on the first page thereof (it being understood that by marking Public Borrower Materials “PUBLIC,” the Borrower shall be deemed to have authorized the Administrative Agent, any Affiliate thereof and the Lenders to treat such Public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Public Borrower Materials constitute Information, they shall be treated as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left="660" w:right="120" w:firstLine="645"/>
        <w:spacing w:after="0" w:line="277" w:lineRule="auto"/>
        <w:tabs>
          <w:tab w:leader="none" w:pos="195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(and in any event, within three (3) Business Days after a Responsible Officer of the Borrower or any Subsidiary obtains knowledge thereof) notify the Administrative Agent and each Lender of the occurrence of any Default.</w:t>
      </w:r>
    </w:p>
    <w:p>
      <w:pPr>
        <w:spacing w:after="0" w:line="170" w:lineRule="exact"/>
        <w:rPr>
          <w:rFonts w:ascii="Arial" w:cs="Arial" w:eastAsia="Arial" w:hAnsi="Arial"/>
          <w:sz w:val="18"/>
          <w:szCs w:val="18"/>
          <w:color w:val="auto"/>
        </w:rPr>
      </w:pPr>
    </w:p>
    <w:p>
      <w:pPr>
        <w:jc w:val="both"/>
        <w:ind w:left="660" w:right="200" w:firstLine="645"/>
        <w:spacing w:after="0" w:line="264" w:lineRule="auto"/>
        <w:tabs>
          <w:tab w:leader="none" w:pos="19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(and in any event, within five (5) Business Days after a Responsible Officer of the Borrower or any Subsidiary obtains knowledge thereof) notify the Administrative Agent and each Lender of any matter that has resulted or could reasonably be expected to result in a Material Adverse Effect.</w:t>
      </w:r>
    </w:p>
    <w:p>
      <w:pPr>
        <w:spacing w:after="0" w:line="181" w:lineRule="exact"/>
        <w:rPr>
          <w:rFonts w:ascii="Arial" w:cs="Arial" w:eastAsia="Arial" w:hAnsi="Arial"/>
          <w:sz w:val="18"/>
          <w:szCs w:val="18"/>
          <w:color w:val="auto"/>
        </w:rPr>
      </w:pPr>
    </w:p>
    <w:p>
      <w:pPr>
        <w:ind w:left="660" w:right="180" w:firstLine="645"/>
        <w:spacing w:after="0" w:line="277" w:lineRule="auto"/>
        <w:tabs>
          <w:tab w:leader="none" w:pos="196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(and in any event, within five (5) Business Days after a Responsible Officer of the Borrower or any Subsidiary obtains knowledge thereof) notify the Administrative Agent and each Lender of the occurrence of any ERISA Event.</w:t>
      </w:r>
    </w:p>
    <w:p>
      <w:pPr>
        <w:spacing w:after="0" w:line="170" w:lineRule="exact"/>
        <w:rPr>
          <w:rFonts w:ascii="Arial" w:cs="Arial" w:eastAsia="Arial" w:hAnsi="Arial"/>
          <w:sz w:val="18"/>
          <w:szCs w:val="18"/>
          <w:color w:val="auto"/>
        </w:rPr>
      </w:pPr>
    </w:p>
    <w:p>
      <w:pPr>
        <w:ind w:left="660" w:right="20" w:firstLine="645"/>
        <w:spacing w:after="0" w:line="264" w:lineRule="auto"/>
        <w:tabs>
          <w:tab w:leader="none" w:pos="19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(and in any event, within two (2) Business Days after a Responsible Officer of the Borrower or any Subsidiary obtains knowledge thereof) notify the Administrative Agent and each Lender of the occurrence of any default or event of default under any Permitted Senior Revolving Credit Document.</w:t>
      </w:r>
    </w:p>
    <w:p>
      <w:pPr>
        <w:sectPr>
          <w:pgSz w:w="11900" w:h="16850" w:orient="portrait"/>
          <w:cols w:equalWidth="0" w:num="1">
            <w:col w:w="11400"/>
          </w:cols>
          <w:pgMar w:left="240" w:top="125" w:right="259" w:bottom="0" w:gutter="0" w:footer="0" w:header="0"/>
        </w:sectPr>
      </w:pPr>
    </w:p>
    <w:bookmarkStart w:id="75" w:name="page76"/>
    <w:bookmarkEnd w:id="75"/>
    <w:p>
      <w:pPr>
        <w:ind w:right="280" w:firstLine="648"/>
        <w:spacing w:after="0" w:line="342" w:lineRule="auto"/>
        <w:rPr>
          <w:sz w:val="20"/>
          <w:szCs w:val="20"/>
          <w:color w:val="auto"/>
        </w:rPr>
      </w:pPr>
      <w:r>
        <w:rPr>
          <w:rFonts w:ascii="Arial" w:cs="Arial" w:eastAsia="Arial" w:hAnsi="Arial"/>
          <w:sz w:val="16"/>
          <w:szCs w:val="16"/>
          <w:color w:val="auto"/>
        </w:rPr>
        <w:t xml:space="preserve">Each notice pursuant to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applicable Loan Party has taken and proposes to take with respect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thereto. Each notice pursuant to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shall describe with particularity any and all provisions of this Agreement and any other Loan Document that have been breached.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6"/>
          <w:szCs w:val="16"/>
          <w:u w:val="single" w:color="auto"/>
          <w:color w:val="auto"/>
        </w:rPr>
        <w:t>Payment of Obligations.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Loan Party or such Subsidiary, (b) all lawful claims which, if unpaid, would by law become a Lien upon its property (other than Permitted Liens) and (c) all Indebtedness, as and when due and payable, but subject to any subordination provisions contained in any instrument or agreement evidencing such Indebtedness.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u w:val="single" w:color="auto"/>
          <w:color w:val="auto"/>
        </w:rPr>
        <w:t>Preservation of Existence, Etc.</w:t>
      </w:r>
    </w:p>
    <w:p>
      <w:pPr>
        <w:spacing w:after="0" w:line="225" w:lineRule="exact"/>
        <w:rPr>
          <w:sz w:val="20"/>
          <w:szCs w:val="20"/>
          <w:color w:val="auto"/>
        </w:rPr>
      </w:pPr>
    </w:p>
    <w:p>
      <w:pPr>
        <w:ind w:left="660" w:right="20" w:firstLine="645"/>
        <w:spacing w:after="0" w:line="277" w:lineRule="auto"/>
        <w:tabs>
          <w:tab w:leader="none" w:pos="19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legal existence under the Laws of the jurisdiction of its organization except in a transaction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Preserve, renew and maintain in full force and effect its good standing under the Laws of the jurisdiction of its organization, except to the extent the failure to do so could not reasonably be expected to have a Material Adverse Effect.</w:t>
      </w:r>
    </w:p>
    <w:p>
      <w:pPr>
        <w:spacing w:after="0" w:line="170" w:lineRule="exact"/>
        <w:rPr>
          <w:rFonts w:ascii="Arial" w:cs="Arial" w:eastAsia="Arial" w:hAnsi="Arial"/>
          <w:sz w:val="18"/>
          <w:szCs w:val="18"/>
          <w:color w:val="auto"/>
        </w:rPr>
      </w:pPr>
    </w:p>
    <w:p>
      <w:pPr>
        <w:ind w:left="660" w:right="20" w:firstLine="645"/>
        <w:spacing w:after="0" w:line="342" w:lineRule="auto"/>
        <w:tabs>
          <w:tab w:leader="none" w:pos="196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Take all commercially reasonable action to maintain all rights, privileges, permits, licenses and franchises necessary or desirable in the normal conduct of its business, except to the extent that the failure to do so could not reasonably be expected to have a Material Adverse Effect.</w:t>
      </w:r>
    </w:p>
    <w:p>
      <w:pPr>
        <w:spacing w:after="0" w:line="123" w:lineRule="exact"/>
        <w:rPr>
          <w:rFonts w:ascii="Arial" w:cs="Arial" w:eastAsia="Arial" w:hAnsi="Arial"/>
          <w:sz w:val="16"/>
          <w:szCs w:val="16"/>
          <w:color w:val="auto"/>
        </w:rPr>
      </w:pPr>
    </w:p>
    <w:p>
      <w:pPr>
        <w:ind w:left="660" w:right="160" w:firstLine="645"/>
        <w:spacing w:after="0" w:line="286" w:lineRule="auto"/>
        <w:tabs>
          <w:tab w:leader="none" w:pos="196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Preserve or renew all of its registered IP Rights and all IP Rights in respect of which an application for registration has been filed or recorded with the United States Copyright Office or the United States Patent and Trademark Office, in each case, the non-preservation or non-renewal of which could reasonably be expected, individually or in the aggregate, to have a Material Adverse Effect.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6"/>
          <w:szCs w:val="16"/>
          <w:u w:val="single" w:color="auto"/>
          <w:color w:val="auto"/>
        </w:rPr>
        <w:t>Maintenance of Properties.</w:t>
      </w:r>
    </w:p>
    <w:p>
      <w:pPr>
        <w:spacing w:after="0" w:line="225" w:lineRule="exact"/>
        <w:rPr>
          <w:sz w:val="20"/>
          <w:szCs w:val="20"/>
          <w:color w:val="auto"/>
        </w:rPr>
      </w:pPr>
    </w:p>
    <w:p>
      <w:pPr>
        <w:ind w:left="660" w:right="560" w:firstLine="645"/>
        <w:spacing w:after="0" w:line="277" w:lineRule="auto"/>
        <w:tabs>
          <w:tab w:leader="none" w:pos="195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Maintain, preserve and protect all of its material properties and equipment necessary in the operation of its business in good working order and condition, ordinary wear and tear excepted.</w:t>
      </w:r>
    </w:p>
    <w:p>
      <w:pPr>
        <w:spacing w:after="0" w:line="170" w:lineRule="exact"/>
        <w:rPr>
          <w:rFonts w:ascii="Arial" w:cs="Arial" w:eastAsia="Arial" w:hAnsi="Arial"/>
          <w:sz w:val="18"/>
          <w:szCs w:val="18"/>
          <w:color w:val="auto"/>
        </w:rPr>
      </w:pPr>
    </w:p>
    <w:p>
      <w:pPr>
        <w:ind w:left="660" w:right="180" w:firstLine="645"/>
        <w:spacing w:after="0" w:line="277" w:lineRule="auto"/>
        <w:tabs>
          <w:tab w:leader="none" w:pos="19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Make all necessary repairs thereto and renewals and replacements thereof, except where the failure to do so could not reasonably be expected to have a Material Adverse Effect.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Use the standard of care typical in the industry in the operation and maintenance of its facilities.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7.07</w:t>
      </w:r>
      <w:r>
        <w:rPr>
          <w:sz w:val="20"/>
          <w:szCs w:val="20"/>
          <w:color w:val="auto"/>
        </w:rPr>
        <w:tab/>
      </w:r>
      <w:r>
        <w:rPr>
          <w:rFonts w:ascii="Arial" w:cs="Arial" w:eastAsia="Arial" w:hAnsi="Arial"/>
          <w:sz w:val="16"/>
          <w:szCs w:val="16"/>
          <w:u w:val="single" w:color="auto"/>
          <w:color w:val="auto"/>
        </w:rPr>
        <w:t>Maintenance of Insurance.</w:t>
      </w:r>
    </w:p>
    <w:p>
      <w:pPr>
        <w:spacing w:after="0" w:line="225" w:lineRule="exact"/>
        <w:rPr>
          <w:sz w:val="20"/>
          <w:szCs w:val="20"/>
          <w:color w:val="auto"/>
        </w:rPr>
      </w:pPr>
    </w:p>
    <w:p>
      <w:pPr>
        <w:ind w:left="660" w:right="100" w:firstLine="645"/>
        <w:spacing w:after="0" w:line="342" w:lineRule="auto"/>
        <w:tabs>
          <w:tab w:leader="none" w:pos="195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Maintain with financially sound and reputable insurance companies that are not Affiliates of the Borrower or any Subsidiary insurance with respect to its properties and business against loss or damage of the kinds customarily insured against by Persons engaged in the same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similar business, of such types and in such amounts as are customarily carried under similar circumstances by such other Persons.</w:t>
      </w:r>
    </w:p>
    <w:p>
      <w:pPr>
        <w:spacing w:after="0" w:line="225" w:lineRule="exact"/>
        <w:rPr>
          <w:sz w:val="20"/>
          <w:szCs w:val="20"/>
          <w:color w:val="auto"/>
        </w:rPr>
      </w:pPr>
    </w:p>
    <w:p>
      <w:pPr>
        <w:ind w:left="660" w:firstLine="645"/>
        <w:spacing w:after="0" w:line="276" w:lineRule="auto"/>
        <w:tabs>
          <w:tab w:leader="none" w:pos="196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Without limiting the foregoing, (i)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 (ii) furnish to the Administrative Agent evidence of the renewal (and payment of renewal premiums therefor) of all such policies prior to the expiration or lapse thereof and (iii) furnish to the Administrative Agent prompt written notice of any redesignation of any such improved real property into or out of a special flood hazard area.</w:t>
      </w:r>
    </w:p>
    <w:p>
      <w:pPr>
        <w:spacing w:after="0" w:line="172" w:lineRule="exact"/>
        <w:rPr>
          <w:rFonts w:ascii="Arial" w:cs="Arial" w:eastAsia="Arial" w:hAnsi="Arial"/>
          <w:sz w:val="17"/>
          <w:szCs w:val="17"/>
          <w:color w:val="auto"/>
        </w:rPr>
      </w:pPr>
    </w:p>
    <w:p>
      <w:pPr>
        <w:ind w:left="660" w:right="80" w:firstLine="645"/>
        <w:spacing w:after="0" w:line="276" w:lineRule="auto"/>
        <w:tabs>
          <w:tab w:leader="none" w:pos="196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Cause the Administrative Agent and its successors and/or assigns to be named as lender’s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(30) days (or such lesser amount as the Administrative Agent may agree) prior written notice before any such policy or policies shall be altered or canceled.</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7.08</w:t>
      </w:r>
      <w:r>
        <w:rPr>
          <w:sz w:val="20"/>
          <w:szCs w:val="20"/>
          <w:color w:val="auto"/>
        </w:rPr>
        <w:tab/>
      </w:r>
      <w:r>
        <w:rPr>
          <w:rFonts w:ascii="Arial" w:cs="Arial" w:eastAsia="Arial" w:hAnsi="Arial"/>
          <w:sz w:val="16"/>
          <w:szCs w:val="16"/>
          <w:u w:val="single" w:color="auto"/>
          <w:color w:val="auto"/>
        </w:rPr>
        <w:t>Compliance with Laws.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7.09</w:t>
      </w:r>
      <w:r>
        <w:rPr>
          <w:sz w:val="20"/>
          <w:szCs w:val="20"/>
          <w:color w:val="auto"/>
        </w:rPr>
        <w:tab/>
      </w:r>
      <w:r>
        <w:rPr>
          <w:rFonts w:ascii="Arial" w:cs="Arial" w:eastAsia="Arial" w:hAnsi="Arial"/>
          <w:sz w:val="15"/>
          <w:szCs w:val="15"/>
          <w:u w:val="single" w:color="auto"/>
          <w:color w:val="auto"/>
        </w:rPr>
        <w:t>Books and Records.</w:t>
      </w:r>
    </w:p>
    <w:p>
      <w:pPr>
        <w:sectPr>
          <w:pgSz w:w="11900" w:h="16838" w:orient="portrait"/>
          <w:cols w:equalWidth="0" w:num="1">
            <w:col w:w="11420"/>
          </w:cols>
          <w:pgMar w:left="240" w:top="341" w:right="239" w:bottom="32" w:gutter="0" w:footer="0" w:header="0"/>
        </w:sectPr>
      </w:pPr>
    </w:p>
    <w:bookmarkStart w:id="76" w:name="page77"/>
    <w:bookmarkEnd w:id="76"/>
    <w:p>
      <w:pPr>
        <w:spacing w:after="0" w:line="96" w:lineRule="exact"/>
        <w:rPr>
          <w:sz w:val="20"/>
          <w:szCs w:val="20"/>
          <w:color w:val="auto"/>
        </w:rPr>
      </w:pPr>
    </w:p>
    <w:p>
      <w:pPr>
        <w:ind w:left="660" w:right="60" w:firstLine="645"/>
        <w:spacing w:after="0" w:line="342" w:lineRule="auto"/>
        <w:tabs>
          <w:tab w:leader="none" w:pos="195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Maintain proper books of record and account, in which full, true and correct entries in conformity with GAAP consistently applied shall be made of all financial transactions and matters involving the assets and business of such Loan Party or such Subsidiary, as the case may be.</w:t>
      </w:r>
    </w:p>
    <w:p>
      <w:pPr>
        <w:spacing w:after="0" w:line="123" w:lineRule="exact"/>
        <w:rPr>
          <w:rFonts w:ascii="Arial" w:cs="Arial" w:eastAsia="Arial" w:hAnsi="Arial"/>
          <w:sz w:val="16"/>
          <w:szCs w:val="16"/>
          <w:color w:val="auto"/>
        </w:rPr>
      </w:pPr>
    </w:p>
    <w:p>
      <w:pPr>
        <w:ind w:left="660" w:firstLine="645"/>
        <w:spacing w:after="0" w:line="277" w:lineRule="auto"/>
        <w:tabs>
          <w:tab w:leader="none" w:pos="19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such Loan Party or such Subsidiary, as the case may be.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u w:val="single" w:color="auto"/>
          <w:color w:val="auto"/>
        </w:rPr>
        <w:t>Inspection Rights.</w:t>
      </w:r>
    </w:p>
    <w:p>
      <w:pPr>
        <w:spacing w:after="0" w:line="225" w:lineRule="exact"/>
        <w:rPr>
          <w:sz w:val="20"/>
          <w:szCs w:val="20"/>
          <w:color w:val="auto"/>
        </w:rPr>
      </w:pPr>
    </w:p>
    <w:p>
      <w:pPr>
        <w:ind w:left="660" w:right="140" w:firstLine="645"/>
        <w:spacing w:after="0" w:line="272" w:lineRule="auto"/>
        <w:tabs>
          <w:tab w:leader="none" w:pos="195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Permit representatives and independent contractors of the Administrative Agent and each Lender, all at the expense of the Borrower: (i) to meet on a regular or other basis with any and all officers and employees of the Borrower and its Subsidiaries from time to time and upon reasonable advance notice to the Borrower or the applicable Subsidiary and during normal business hours for the purpose of consulting with, rendering advice, recommendations and assistance to, and influencing the management of the Borrower or its Subsidiaries or obtaining information regarding the Borrower’s or any of its Subsidiaries’ operations, activities and prospects and expressing its views thereon and (ii) to access the premises and inspect the books, records and properties of the Borrower and its Subsidiaries upon reasonable advance notice to the Borrower and during normal business hours;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excluding any such visits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 xml:space="preserve">inspections during the continuation of an Event of Default, only one such visit and inspection per year shall be at the Borrower’s expense (and only the Administrative Agent may exercise rights under this </w:t>
      </w:r>
      <w:r>
        <w:rPr>
          <w:rFonts w:ascii="Arial" w:cs="Arial" w:eastAsia="Arial" w:hAnsi="Arial"/>
          <w:sz w:val="18"/>
          <w:szCs w:val="18"/>
          <w:u w:val="single" w:color="auto"/>
          <w:color w:val="auto"/>
        </w:rPr>
        <w:t>Section 7.10(a)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when an Event of Default exists the Administrative Agent and the Lenders (or any of their respective representatives or independent contractors) may do any of the foregoing at the expense of the Borrower at any time during normal business hours and without advance notice.</w:t>
      </w:r>
    </w:p>
    <w:p>
      <w:pPr>
        <w:spacing w:after="0" w:line="187" w:lineRule="exact"/>
        <w:rPr>
          <w:sz w:val="20"/>
          <w:szCs w:val="20"/>
          <w:color w:val="auto"/>
        </w:rPr>
      </w:pPr>
    </w:p>
    <w:p>
      <w:pPr>
        <w:ind w:left="660" w:right="160" w:firstLine="645"/>
        <w:spacing w:after="0" w:line="264" w:lineRule="auto"/>
        <w:tabs>
          <w:tab w:leader="none" w:pos="1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Consider, in good faith, the recommendations of the Administrative Agent and the Lenders or their respective designated representatives in connection with the matters on which they are consulted as described in clause (a) above, recognizing that the ultimate discretion with respect to all such matters shall be retained by the Borrower.</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u w:val="single" w:color="auto"/>
          <w:color w:val="auto"/>
        </w:rPr>
        <w:t>Use of Proceeds.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Use the proceeds of the Loans (a) to repay existing indebtedness on the Funding Date, (b) for investment in clinical development programs and the expansion of commercial activities and (c) for working capital and other general corporate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no event shall the proceeds of the Loans be used in contravention of any Law or of any Loan Document.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u w:val="single" w:color="auto"/>
          <w:color w:val="auto"/>
        </w:rPr>
        <w:t>Additional Subsidiaries.</w:t>
      </w:r>
    </w:p>
    <w:p>
      <w:pPr>
        <w:spacing w:after="0" w:line="225" w:lineRule="exact"/>
        <w:rPr>
          <w:sz w:val="20"/>
          <w:szCs w:val="20"/>
          <w:color w:val="auto"/>
        </w:rPr>
      </w:pPr>
    </w:p>
    <w:p>
      <w:pPr>
        <w:ind w:left="2600" w:hanging="647"/>
        <w:spacing w:after="0"/>
        <w:tabs>
          <w:tab w:leader="none" w:pos="2600" w:val="left"/>
        </w:tabs>
        <w:numPr>
          <w:ilvl w:val="3"/>
          <w:numId w:val="115"/>
        </w:numPr>
        <w:rPr>
          <w:rFonts w:ascii="Arial" w:cs="Arial" w:eastAsia="Arial" w:hAnsi="Arial"/>
          <w:sz w:val="18"/>
          <w:szCs w:val="18"/>
          <w:color w:val="auto"/>
        </w:rPr>
      </w:pPr>
      <w:r>
        <w:rPr>
          <w:rFonts w:ascii="Arial" w:cs="Arial" w:eastAsia="Arial" w:hAnsi="Arial"/>
          <w:sz w:val="18"/>
          <w:szCs w:val="18"/>
          <w:color w:val="auto"/>
        </w:rPr>
        <w:t>Within thirty (30) days after the acquisition or formation of any Subsidiary:</w:t>
      </w:r>
    </w:p>
    <w:p>
      <w:pPr>
        <w:spacing w:after="0" w:line="225" w:lineRule="exact"/>
        <w:rPr>
          <w:rFonts w:ascii="Arial" w:cs="Arial" w:eastAsia="Arial" w:hAnsi="Arial"/>
          <w:sz w:val="18"/>
          <w:szCs w:val="18"/>
          <w:color w:val="auto"/>
        </w:rPr>
      </w:pPr>
    </w:p>
    <w:p>
      <w:pPr>
        <w:ind w:left="1220" w:right="460" w:firstLine="652"/>
        <w:spacing w:after="0" w:line="259" w:lineRule="auto"/>
        <w:tabs>
          <w:tab w:leader="none" w:pos="2619" w:val="left"/>
        </w:tabs>
        <w:numPr>
          <w:ilvl w:val="2"/>
          <w:numId w:val="116"/>
        </w:numPr>
        <w:rPr>
          <w:rFonts w:ascii="Arial" w:cs="Arial" w:eastAsia="Arial" w:hAnsi="Arial"/>
          <w:sz w:val="18"/>
          <w:szCs w:val="18"/>
          <w:color w:val="auto"/>
        </w:rPr>
      </w:pPr>
      <w:r>
        <w:rPr>
          <w:rFonts w:ascii="Arial" w:cs="Arial" w:eastAsia="Arial" w:hAnsi="Arial"/>
          <w:sz w:val="18"/>
          <w:szCs w:val="18"/>
          <w:color w:val="auto"/>
        </w:rPr>
        <w:t>notify the Administrative Agent thereof in writing, together with the (A) jurisdiction of organization, (B) number of shares of each class of Equity Interests outstanding, (C) number and percentage of outstanding shares of each class owned (directly or indirectly) by the Borrower or any Subsidiary and (D) number and effect, if exercised, of all outstanding options, warrants, rights of conversion or purchase and all other similar rights with respect thereto; and</w:t>
      </w:r>
    </w:p>
    <w:p>
      <w:pPr>
        <w:spacing w:after="0" w:line="186" w:lineRule="exact"/>
        <w:rPr>
          <w:rFonts w:ascii="Arial" w:cs="Arial" w:eastAsia="Arial" w:hAnsi="Arial"/>
          <w:sz w:val="18"/>
          <w:szCs w:val="18"/>
          <w:color w:val="auto"/>
        </w:rPr>
      </w:pPr>
    </w:p>
    <w:p>
      <w:pPr>
        <w:ind w:left="2640" w:hanging="768"/>
        <w:spacing w:after="0"/>
        <w:tabs>
          <w:tab w:leader="none" w:pos="2640" w:val="left"/>
        </w:tabs>
        <w:numPr>
          <w:ilvl w:val="2"/>
          <w:numId w:val="116"/>
        </w:numPr>
        <w:rPr>
          <w:rFonts w:ascii="Arial" w:cs="Arial" w:eastAsia="Arial" w:hAnsi="Arial"/>
          <w:sz w:val="16"/>
          <w:szCs w:val="16"/>
          <w:color w:val="auto"/>
        </w:rPr>
      </w:pPr>
      <w:r>
        <w:rPr>
          <w:rFonts w:ascii="Arial" w:cs="Arial" w:eastAsia="Arial" w:hAnsi="Arial"/>
          <w:sz w:val="16"/>
          <w:szCs w:val="16"/>
          <w:color w:val="auto"/>
        </w:rPr>
        <w:t>if such Subsidiary is a Domestic Subsidiary (other than a Foreign Subsidiary Holding Company), cause such Person to</w:t>
      </w:r>
    </w:p>
    <w:p>
      <w:pPr>
        <w:spacing w:after="0" w:line="46" w:lineRule="exact"/>
        <w:rPr>
          <w:rFonts w:ascii="Arial" w:cs="Arial" w:eastAsia="Arial" w:hAnsi="Arial"/>
          <w:sz w:val="16"/>
          <w:szCs w:val="16"/>
          <w:color w:val="auto"/>
        </w:rPr>
      </w:pPr>
    </w:p>
    <w:p>
      <w:pPr>
        <w:ind w:left="1220" w:right="60" w:firstLine="4"/>
        <w:spacing w:after="0" w:line="253" w:lineRule="auto"/>
        <w:tabs>
          <w:tab w:leader="none" w:pos="15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become a Guarantor by executing and delivering to the Administrative Agent a Joinder Agreement or such other documents as the Administrative Agent shall reasonably request for such purpose and (B) deliver to the Administrative Agent documents of the types referred to in </w:t>
      </w:r>
      <w:r>
        <w:rPr>
          <w:rFonts w:ascii="Arial" w:cs="Arial" w:eastAsia="Arial" w:hAnsi="Arial"/>
          <w:sz w:val="18"/>
          <w:szCs w:val="18"/>
          <w:u w:val="single" w:color="auto"/>
          <w:color w:val="auto"/>
        </w:rPr>
        <w:t>Sections 5.02(f)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favorable opinions of counsel to such Person (which shall cover, among other things, the legality, validity, binding effect and enforceability of the documentation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all in form, content and scope reasonably satisfactory to the Administrative Agent.</w:t>
      </w:r>
    </w:p>
    <w:p>
      <w:pPr>
        <w:spacing w:after="0" w:line="191" w:lineRule="exact"/>
        <w:rPr>
          <w:rFonts w:ascii="Arial" w:cs="Arial" w:eastAsia="Arial" w:hAnsi="Arial"/>
          <w:sz w:val="18"/>
          <w:szCs w:val="18"/>
          <w:color w:val="auto"/>
        </w:rPr>
      </w:pPr>
    </w:p>
    <w:p>
      <w:pPr>
        <w:ind w:left="660" w:right="140" w:firstLine="645"/>
        <w:spacing w:after="0" w:line="255" w:lineRule="auto"/>
        <w:tabs>
          <w:tab w:leader="none" w:pos="196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on the Funding Date, cause each Domestic Subsidiary (other than a Foreign Subsidiary Holding Company) that was formed or acquired after the Effective Date but prior to the Funding Date to (i) become a Guarantor by executing and delivering to the Administrative Agent a Joinder Agreement or such other documents as the Administrative Agent shall reasonably request for such purpose and (ii) deliver to the Administrative Agent documents of the types referred to in </w:t>
      </w:r>
      <w:r>
        <w:rPr>
          <w:rFonts w:ascii="Arial" w:cs="Arial" w:eastAsia="Arial" w:hAnsi="Arial"/>
          <w:sz w:val="18"/>
          <w:szCs w:val="18"/>
          <w:u w:val="single" w:color="auto"/>
          <w:color w:val="auto"/>
        </w:rPr>
        <w:t>Sections 5.02(f)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favorable opinions of counsel to such Person (which shall cover, among other things, the legality, validity, binding effect and enforceability of the documentation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all in form, content and scope reasonably satisfactory to the Administrative Agent.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u w:val="single" w:color="auto"/>
          <w:color w:val="auto"/>
        </w:rPr>
        <w:t>ERISA Compliance.</w:t>
      </w:r>
    </w:p>
    <w:p>
      <w:pPr>
        <w:spacing w:after="0" w:line="22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Do, and cause each of its ERISA Affiliates to do, each of the following: (a) maintain each Plan in compliance in all material respects with the applicable provisions of ERISA, the Internal Revenue Code and other federal or state law, (b) cause each Plan that is qualified under Section 401(a) of the Internal Revenue Code to maintain such qualification, and (c) make all required contributions to any Pension Plan.</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5"/>
          <w:szCs w:val="15"/>
          <w:u w:val="single" w:color="auto"/>
          <w:color w:val="auto"/>
        </w:rPr>
        <w:t>Pledged Assets.</w:t>
      </w:r>
    </w:p>
    <w:p>
      <w:pPr>
        <w:spacing w:after="0" w:line="225" w:lineRule="exact"/>
        <w:rPr>
          <w:sz w:val="20"/>
          <w:szCs w:val="20"/>
          <w:color w:val="auto"/>
        </w:rPr>
      </w:pPr>
    </w:p>
    <w:p>
      <w:pPr>
        <w:ind w:left="660" w:right="80" w:firstLine="645"/>
        <w:spacing w:after="0" w:line="293" w:lineRule="auto"/>
        <w:tabs>
          <w:tab w:leader="none" w:pos="1954"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Equity Interests</w:t>
      </w:r>
      <w:r>
        <w:rPr>
          <w:rFonts w:ascii="Arial" w:cs="Arial" w:eastAsia="Arial" w:hAnsi="Arial"/>
          <w:sz w:val="16"/>
          <w:szCs w:val="16"/>
          <w:color w:val="auto"/>
        </w:rPr>
        <w:t>. Cause (i) 100% of the issued and outstanding Equity Interests of each Domestic Subsidiary (other than a Foreign Subsidiary Holding Company) directly owned by a Loan Party and (ii) 65% (or such greater percentage that, due to a change in an applicable Law after the Effective Date, (A) could not reasonably be expected to cause the undistributed earnings of such Foreign Subsidiary or such Foreign Subsidiary Holding Company as determined for United States federal income tax purposes to be treated as a deemed dividend to such Foreign Subsidiary’s United States parent or such Foreign Subsidiary Holding Company’s United States parent and (B) could not reasonably be expected to cause any material adverse tax consequences) of the issued and outstanding Equity Interests entitled to vote (within the meaning of Treas. Reg.</w:t>
      </w:r>
    </w:p>
    <w:p>
      <w:pPr>
        <w:sectPr>
          <w:pgSz w:w="11900" w:h="16934" w:orient="portrait"/>
          <w:cols w:equalWidth="0" w:num="1">
            <w:col w:w="11420"/>
          </w:cols>
          <w:pgMar w:left="240" w:top="125" w:right="239" w:bottom="0" w:gutter="0" w:footer="0" w:header="0"/>
        </w:sectPr>
      </w:pPr>
    </w:p>
    <w:bookmarkStart w:id="77" w:name="page78"/>
    <w:bookmarkEnd w:id="77"/>
    <w:p>
      <w:pPr>
        <w:ind w:left="660" w:right="20"/>
        <w:spacing w:after="0" w:line="276" w:lineRule="auto"/>
        <w:rPr>
          <w:sz w:val="20"/>
          <w:szCs w:val="20"/>
          <w:color w:val="auto"/>
        </w:rPr>
      </w:pPr>
      <w:r>
        <w:rPr>
          <w:rFonts w:ascii="Arial" w:cs="Arial" w:eastAsia="Arial" w:hAnsi="Arial"/>
          <w:sz w:val="17"/>
          <w:szCs w:val="17"/>
          <w:color w:val="auto"/>
        </w:rPr>
        <w:t>Section 1.956-2(c)(2)) and 100% of the issued and outstanding Equity Interests not entitled to vote (within the meaning of Treas. Reg. Section 1.956-2(c)(2)) in each Foreign Subsidiary and each Foreign Subsidiary Holding Company, in each case, directly owned by a Loan Party, in each case, to be subject at all times to a first priority, perfected Lien in favor of the Administrative Agent, for the benefit of the Secured Parties, pursuant to the terms and conditions of the Collateral Documents, together with opinions of counsel and any filings and deliveries necessary in connection therewith to perfect the security interests therein, all in form and substance satisfactory to the Administrative Agent.</w:t>
      </w:r>
    </w:p>
    <w:p>
      <w:pPr>
        <w:spacing w:after="0" w:line="173" w:lineRule="exact"/>
        <w:rPr>
          <w:sz w:val="20"/>
          <w:szCs w:val="20"/>
          <w:color w:val="auto"/>
        </w:rPr>
      </w:pPr>
    </w:p>
    <w:p>
      <w:pPr>
        <w:ind w:left="660" w:right="60" w:firstLine="645"/>
        <w:spacing w:after="0" w:line="291" w:lineRule="auto"/>
        <w:tabs>
          <w:tab w:leader="none" w:pos="1964"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Other Property</w:t>
      </w:r>
      <w:r>
        <w:rPr>
          <w:rFonts w:ascii="Arial" w:cs="Arial" w:eastAsia="Arial" w:hAnsi="Arial"/>
          <w:sz w:val="16"/>
          <w:szCs w:val="16"/>
          <w:color w:val="auto"/>
        </w:rPr>
        <w:t>. Cause all property (other than Excluded Property) of each Loan Party to be subject at all times to perfected Liens, which Liens are superior in right to any other Person (subject to Permitted Liens) and, in the case of real property (whether leased or owned), title insured Liens, in each case, in favor of the Administrative Agent to secure the Obligations pursuant to the Collateral Documents or, with respect to any such property acquired subsequent to the Funding Date, such other additional security documents as the Administrative Agent shall request and, in connection with the foregoing, deliver to the Administrative Agent such other documentation as the Administrative Agent may request including filings and deliveries necessary to perfect such Liens, Organization Documents, resolutions, Real Property Security Documents and favorable opinions of counsel to such Person, all in form, content and scope reasonably satisfactory to the Administrative Agent.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6"/>
          <w:szCs w:val="16"/>
          <w:u w:val="single" w:color="auto"/>
          <w:color w:val="auto"/>
        </w:rPr>
        <w:t>Compliance with Material Contracts.</w:t>
      </w:r>
    </w:p>
    <w:p>
      <w:pPr>
        <w:spacing w:after="0" w:line="225" w:lineRule="exact"/>
        <w:rPr>
          <w:sz w:val="20"/>
          <w:szCs w:val="20"/>
          <w:color w:val="auto"/>
        </w:rPr>
      </w:pPr>
    </w:p>
    <w:p>
      <w:pPr>
        <w:ind w:left="660" w:right="300" w:firstLine="648"/>
        <w:spacing w:after="0" w:line="277" w:lineRule="auto"/>
        <w:rPr>
          <w:sz w:val="20"/>
          <w:szCs w:val="20"/>
          <w:color w:val="auto"/>
        </w:rPr>
      </w:pPr>
      <w:r>
        <w:rPr>
          <w:rFonts w:ascii="Arial" w:cs="Arial" w:eastAsia="Arial" w:hAnsi="Arial"/>
          <w:sz w:val="18"/>
          <w:szCs w:val="18"/>
          <w:color w:val="auto"/>
        </w:rPr>
        <w:t>Comply in all material respects with each Material Contract of such Person, except to the extent that noncompliance therewith could not reasonably be expected, individually or in the aggregate, to have a Material Adverse Effect.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6"/>
          <w:szCs w:val="16"/>
          <w:u w:val="single" w:color="auto"/>
          <w:color w:val="auto"/>
        </w:rPr>
        <w:t>Products and Required Permits.</w:t>
      </w:r>
    </w:p>
    <w:p>
      <w:pPr>
        <w:spacing w:after="0" w:line="225" w:lineRule="exact"/>
        <w:rPr>
          <w:sz w:val="20"/>
          <w:szCs w:val="20"/>
          <w:color w:val="auto"/>
        </w:rPr>
      </w:pPr>
    </w:p>
    <w:p>
      <w:pPr>
        <w:ind w:left="660" w:right="160" w:firstLine="645"/>
        <w:spacing w:after="0" w:line="264" w:lineRule="auto"/>
        <w:tabs>
          <w:tab w:leader="none" w:pos="195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7.08</w:t>
      </w:r>
      <w:r>
        <w:rPr>
          <w:rFonts w:ascii="Arial" w:cs="Arial" w:eastAsia="Arial" w:hAnsi="Arial"/>
          <w:sz w:val="18"/>
          <w:szCs w:val="18"/>
          <w:color w:val="auto"/>
        </w:rPr>
        <w:t>, in connection with the development, testing, manufacture, marketing or sale of each Product by the Borrower or any Subsidiary, the Borrower or such Subsidiary shall comply in all material respects with all Required Permits at all times issued by any Governmental Authority, specifically including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FDA, with respect to such development, testing, manufacture, marketing or sales of such Product by the Borrower or such Subsidiary.</w:t>
      </w:r>
    </w:p>
    <w:p>
      <w:pPr>
        <w:spacing w:after="0" w:line="225" w:lineRule="exact"/>
        <w:rPr>
          <w:sz w:val="20"/>
          <w:szCs w:val="20"/>
          <w:color w:val="auto"/>
        </w:rPr>
      </w:pPr>
    </w:p>
    <w:p>
      <w:pPr>
        <w:ind w:left="1960" w:hanging="655"/>
        <w:spacing w:after="0"/>
        <w:tabs>
          <w:tab w:leader="none" w:pos="19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7.16(a)</w:t>
      </w:r>
      <w:r>
        <w:rPr>
          <w:rFonts w:ascii="Arial" w:cs="Arial" w:eastAsia="Arial" w:hAnsi="Arial"/>
          <w:sz w:val="18"/>
          <w:szCs w:val="18"/>
          <w:color w:val="auto"/>
        </w:rPr>
        <w:t xml:space="preserve"> above, the Borrower shall immediately and in any event within three</w:t>
      </w:r>
    </w:p>
    <w:p>
      <w:pPr>
        <w:spacing w:after="0" w:line="23" w:lineRule="exact"/>
        <w:rPr>
          <w:rFonts w:ascii="Arial" w:cs="Arial" w:eastAsia="Arial" w:hAnsi="Arial"/>
          <w:sz w:val="18"/>
          <w:szCs w:val="18"/>
          <w:color w:val="auto"/>
        </w:rPr>
      </w:pPr>
    </w:p>
    <w:p>
      <w:pPr>
        <w:ind w:left="660" w:right="720" w:hanging="4"/>
        <w:spacing w:after="0" w:line="290" w:lineRule="auto"/>
        <w:tabs>
          <w:tab w:leader="none" w:pos="91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Business Days give written notice to the Administrative Agent upon the Borrower’s becoming aware that any of the representations and warranties set forth in </w:t>
      </w:r>
      <w:r>
        <w:rPr>
          <w:rFonts w:ascii="Arial" w:cs="Arial" w:eastAsia="Arial" w:hAnsi="Arial"/>
          <w:sz w:val="17"/>
          <w:szCs w:val="17"/>
          <w:u w:val="single" w:color="auto"/>
          <w:color w:val="auto"/>
        </w:rPr>
        <w:t>Section 6.23</w:t>
      </w:r>
      <w:r>
        <w:rPr>
          <w:rFonts w:ascii="Arial" w:cs="Arial" w:eastAsia="Arial" w:hAnsi="Arial"/>
          <w:sz w:val="17"/>
          <w:szCs w:val="17"/>
          <w:color w:val="auto"/>
        </w:rPr>
        <w:t xml:space="preserve"> with respect to any Product have become incorrect in any material respect.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6"/>
          <w:szCs w:val="16"/>
          <w:u w:val="single" w:color="auto"/>
          <w:color w:val="auto"/>
        </w:rPr>
        <w:t>Consent of Licensors.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At least thirty (30) days prior to entering into or becoming bound by any license or agreement (other than over-the-counter software that is commercially available to the public), the failure, breach or termination of which could reasonably be expected to have a Material Adverse Effect, the Loan Parties shall (a) provide written notice to the Administrative Agent of the material terms of such license or agreement with a description of its likely impact on the Loan Parties’ business or financial condition and (b) to the extent requested by the Administrative Agent, use commercially reasonable efforts to obtain the consent of, or waiver by, any Person whose consent or waiver is necessary for (i) the applicable Loan Party’s interest in such licenses or contract rights to be deemed Collateral and for the Administrative Agent to have a security interest in it that might otherwise be restricted by the terms of the applicable license or agreement, whether now existing or entered into in the future and (ii) the Administrative Agent to have the ability in the event of a liquidation of any of the Collateral to dispose of such Collateral in accordance with the Administrative Agent’s rights and remedies under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failure to obtain any such consent or waiver shall not in and of itself constitute an Event of Default.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7"/>
          <w:szCs w:val="17"/>
          <w:u w:val="single" w:color="auto"/>
          <w:color w:val="auto"/>
        </w:rPr>
        <w:t>Anti-Corruption Laws.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Conduct its business in compliance with the United States Foreign Corrupt Practices Act of 1977 and other similar anti-corruption legislation in other jurisdictions in which the Loan Parties and their Subsidiaries conduct business and/or are subject to such legislation and maintain policies and procedures designed to promote and achieve compliance with such laws.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7.19</w:t>
      </w:r>
      <w:r>
        <w:rPr>
          <w:sz w:val="20"/>
          <w:szCs w:val="20"/>
          <w:color w:val="auto"/>
        </w:rPr>
        <w:tab/>
      </w:r>
      <w:r>
        <w:rPr>
          <w:rFonts w:ascii="Arial" w:cs="Arial" w:eastAsia="Arial" w:hAnsi="Arial"/>
          <w:sz w:val="16"/>
          <w:szCs w:val="16"/>
          <w:u w:val="single" w:color="auto"/>
          <w:color w:val="auto"/>
        </w:rPr>
        <w:t>Maintenance of IP Rights.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Renew, prosecute, enforce and maintain all IP Rights except where the failure to renew, prosecute, enforce or maintain any IP Rights could not reasonably be expected, either individually or in the aggregate, to have a Material Adverse Effect.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7.20</w:t>
      </w:r>
      <w:r>
        <w:rPr>
          <w:sz w:val="20"/>
          <w:szCs w:val="20"/>
          <w:color w:val="auto"/>
        </w:rPr>
        <w:tab/>
      </w:r>
      <w:r>
        <w:rPr>
          <w:rFonts w:ascii="Arial" w:cs="Arial" w:eastAsia="Arial" w:hAnsi="Arial"/>
          <w:sz w:val="16"/>
          <w:szCs w:val="16"/>
          <w:u w:val="single" w:color="auto"/>
          <w:color w:val="auto"/>
        </w:rPr>
        <w:t>Post-Closing Matters.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Not more than ninety (90) days after the Funding Date, use commercially reasonable efforts to deliver to the Administrative Agent, in each case in form and substance satisfactory to the Administrative Agent, consents with respect to and/or amendments of, each of the agreements described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7.20</w:t>
      </w:r>
      <w:r>
        <w:rPr>
          <w:rFonts w:ascii="Arial" w:cs="Arial" w:eastAsia="Arial" w:hAnsi="Arial"/>
          <w:sz w:val="18"/>
          <w:szCs w:val="18"/>
          <w:color w:val="auto"/>
        </w:rPr>
        <w:t xml:space="preserve"> which shall, among other things, consent to the Administrative Agent’s security interest in the intellectual property rights that are the subject of such agreements, confirm that any covenant not to sue granted in such agreements is assignable in accordance with the terms of such agreements, and, upon the occurrence of an Event of Default, consent to the Administrative Agent taking control of the Borrower’s assets and taking any action or remedy available to Administrative Agent as a secured creditor.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ectPr>
          <w:pgSz w:w="11900" w:h="16838" w:orient="portrait"/>
          <w:cols w:equalWidth="0" w:num="1">
            <w:col w:w="11420"/>
          </w:cols>
          <w:pgMar w:left="240" w:top="125" w:right="239" w:bottom="32" w:gutter="0" w:footer="0" w:header="0"/>
        </w:sectPr>
      </w:pPr>
    </w:p>
    <w:bookmarkStart w:id="78" w:name="page79"/>
    <w:bookmarkEnd w:id="78"/>
    <w:p>
      <w:pPr>
        <w:spacing w:after="0" w:line="1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On the Funding Date and thereafter, so long as any Lender shall have any Commitment hereunder, any Loan or other Obligation (other than contingent indemnification obligations for which no claim has been asserted) hereunder shall remain unpaid or unsatisfied, no Loan Party shall, nor shall it permit any Subsidiary to, directly or indirectly: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Liens.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Create, incur, assume or suffer to exist any Lien upon any of its property, assets or revenues, whether now owned or hereafter acquired, other than the following:</w:t>
      </w:r>
    </w:p>
    <w:p>
      <w:pPr>
        <w:spacing w:after="0" w:line="170" w:lineRule="exact"/>
        <w:rPr>
          <w:sz w:val="20"/>
          <w:szCs w:val="20"/>
          <w:color w:val="auto"/>
        </w:rPr>
      </w:pPr>
    </w:p>
    <w:p>
      <w:pPr>
        <w:ind w:left="1940" w:hanging="635"/>
        <w:spacing w:after="0"/>
        <w:tabs>
          <w:tab w:leader="none" w:pos="19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Liens existing on the Funding Date and listed on </w:t>
      </w:r>
      <w:r>
        <w:rPr>
          <w:rFonts w:ascii="Arial" w:cs="Arial" w:eastAsia="Arial" w:hAnsi="Arial"/>
          <w:sz w:val="18"/>
          <w:szCs w:val="18"/>
          <w:u w:val="single" w:color="auto"/>
          <w:color w:val="auto"/>
        </w:rPr>
        <w:t>Schedule 8.01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196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Liens (other than Liens imposed under ERISA) for taxes, fees,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spacing w:after="0" w:line="181" w:lineRule="exact"/>
        <w:rPr>
          <w:rFonts w:ascii="Arial" w:cs="Arial" w:eastAsia="Arial" w:hAnsi="Arial"/>
          <w:sz w:val="18"/>
          <w:szCs w:val="18"/>
          <w:color w:val="auto"/>
        </w:rPr>
      </w:pPr>
    </w:p>
    <w:p>
      <w:pPr>
        <w:ind w:left="660" w:right="120" w:firstLine="645"/>
        <w:spacing w:after="0" w:line="302" w:lineRule="auto"/>
        <w:tabs>
          <w:tab w:leader="none" w:pos="196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statutory Liens of landlords and Liens of carriers, warehousemen, mechanics, materialmen and suppliers and other Liens imposed by law or pursuant to customary reservations or retentions of title arising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Liens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w:t>
      </w:r>
    </w:p>
    <w:p>
      <w:pPr>
        <w:spacing w:after="0" w:line="154" w:lineRule="exact"/>
        <w:rPr>
          <w:rFonts w:ascii="Arial" w:cs="Arial" w:eastAsia="Arial" w:hAnsi="Arial"/>
          <w:sz w:val="16"/>
          <w:szCs w:val="16"/>
          <w:color w:val="auto"/>
        </w:rPr>
      </w:pPr>
    </w:p>
    <w:p>
      <w:pPr>
        <w:ind w:left="660" w:right="260" w:firstLine="645"/>
        <w:spacing w:after="0" w:line="277" w:lineRule="auto"/>
        <w:tabs>
          <w:tab w:leader="none" w:pos="196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old age pension, social security and other like obligations, other than any Lien imposed by ERISA;</w:t>
      </w:r>
    </w:p>
    <w:p>
      <w:pPr>
        <w:spacing w:after="0" w:line="170" w:lineRule="exact"/>
        <w:rPr>
          <w:rFonts w:ascii="Arial" w:cs="Arial" w:eastAsia="Arial" w:hAnsi="Arial"/>
          <w:sz w:val="18"/>
          <w:szCs w:val="18"/>
          <w:color w:val="auto"/>
        </w:rPr>
      </w:pPr>
    </w:p>
    <w:p>
      <w:pPr>
        <w:ind w:left="660" w:right="220" w:firstLine="645"/>
        <w:spacing w:after="0" w:line="308" w:lineRule="auto"/>
        <w:tabs>
          <w:tab w:leader="none" w:pos="196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46" w:lineRule="exact"/>
        <w:rPr>
          <w:rFonts w:ascii="Arial" w:cs="Arial" w:eastAsia="Arial" w:hAnsi="Arial"/>
          <w:sz w:val="17"/>
          <w:szCs w:val="17"/>
          <w:color w:val="auto"/>
        </w:rPr>
      </w:pPr>
    </w:p>
    <w:p>
      <w:pPr>
        <w:ind w:left="660" w:right="180" w:firstLine="645"/>
        <w:spacing w:after="0" w:line="264" w:lineRule="auto"/>
        <w:tabs>
          <w:tab w:leader="none" w:pos="197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1" w:lineRule="exact"/>
        <w:rPr>
          <w:rFonts w:ascii="Arial" w:cs="Arial" w:eastAsia="Arial" w:hAnsi="Arial"/>
          <w:sz w:val="18"/>
          <w:szCs w:val="18"/>
          <w:color w:val="auto"/>
        </w:rPr>
      </w:pPr>
    </w:p>
    <w:p>
      <w:pPr>
        <w:ind w:left="660" w:right="180" w:firstLine="645"/>
        <w:spacing w:after="0" w:line="277" w:lineRule="auto"/>
        <w:tabs>
          <w:tab w:leader="none" w:pos="196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(or appeal or other surety bonds relating to such judgments) not constituting an Event of Default under </w:t>
      </w:r>
      <w:r>
        <w:rPr>
          <w:rFonts w:ascii="Arial" w:cs="Arial" w:eastAsia="Arial" w:hAnsi="Arial"/>
          <w:sz w:val="18"/>
          <w:szCs w:val="18"/>
          <w:u w:val="single" w:color="auto"/>
          <w:color w:val="auto"/>
        </w:rPr>
        <w:t>Section 9.01(h)</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160" w:firstLine="645"/>
        <w:spacing w:after="0" w:line="259" w:lineRule="auto"/>
        <w:tabs>
          <w:tab w:leader="none" w:pos="197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8.03(e)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 such Liens do not at any time encumber any property other than the property financed by such Indebtedness, (ii) the Indebtedness secured thereby does not exceed the cost (negotiated on an arm’s length basis) of the property being acquired on the date of acquisition and (iii) such Liens attach to such property concurrently with or within ninety (90) days after the acquisition thereof;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firstLine="645"/>
        <w:spacing w:after="0" w:line="277" w:lineRule="auto"/>
        <w:tabs>
          <w:tab w:leader="none" w:pos="196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licenses, sublicenses, leases or subleases (other than relating to intellectual property) granted to others in the ordinary course of business not interfering in any material respect with the business of any Loan Party or any Subsidiary;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normal and customary rights of setoff upon deposits of cash in favor of banks or other depository institutions;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Liens of a collection bank arising under Section 4-210 of the Uniform Commercial Code on items in the course of collection;</w:t>
      </w:r>
    </w:p>
    <w:p>
      <w:pPr>
        <w:spacing w:after="0" w:line="236" w:lineRule="exact"/>
        <w:rPr>
          <w:rFonts w:ascii="Arial" w:cs="Arial" w:eastAsia="Arial" w:hAnsi="Arial"/>
          <w:sz w:val="17"/>
          <w:szCs w:val="17"/>
          <w:color w:val="auto"/>
        </w:rPr>
      </w:pPr>
    </w:p>
    <w:p>
      <w:pPr>
        <w:ind w:left="660" w:firstLine="645"/>
        <w:spacing w:after="0" w:line="264" w:lineRule="auto"/>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Liens of the Revolving Credit Lender on the Revolving Credit Priority Collateral securing only the Permitted Senior Revolving Credit Indebtedness, subject to compliance with the terms and provisions of </w:t>
      </w:r>
      <w:r>
        <w:rPr>
          <w:rFonts w:ascii="Arial" w:cs="Arial" w:eastAsia="Arial" w:hAnsi="Arial"/>
          <w:sz w:val="18"/>
          <w:szCs w:val="18"/>
          <w:u w:val="single" w:color="auto"/>
          <w:color w:val="auto"/>
        </w:rPr>
        <w:t>Section 8.03(g)</w:t>
      </w:r>
      <w:r>
        <w:rPr>
          <w:rFonts w:ascii="Arial" w:cs="Arial" w:eastAsia="Arial" w:hAnsi="Arial"/>
          <w:sz w:val="18"/>
          <w:szCs w:val="18"/>
          <w:color w:val="auto"/>
        </w:rPr>
        <w:t xml:space="preserve"> and the definition of “Permitted Senior Revolving Credit Indebtedness”;</w:t>
      </w:r>
    </w:p>
    <w:p>
      <w:pPr>
        <w:spacing w:after="0" w:line="181" w:lineRule="exact"/>
        <w:rPr>
          <w:rFonts w:ascii="Arial" w:cs="Arial" w:eastAsia="Arial" w:hAnsi="Arial"/>
          <w:sz w:val="18"/>
          <w:szCs w:val="18"/>
          <w:color w:val="auto"/>
        </w:rPr>
      </w:pPr>
    </w:p>
    <w:p>
      <w:pPr>
        <w:jc w:val="both"/>
        <w:ind w:left="660" w:right="100" w:firstLine="645"/>
        <w:spacing w:after="0" w:line="259" w:lineRule="auto"/>
        <w:tabs>
          <w:tab w:leader="none" w:pos="196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such Loan Party’s or such Subsidiary’s business, and leases, subleases, non-exclusive licenses or sublicenses of personal property (other than intellectual property) granted in the ordinary course of such Loan Party’s or such Subsidiary’s business, if the leases, subleases, licenses and sublicenses do not prohibit the Administrative Agent or the Lenders from taking a security interest therein; and</w:t>
      </w:r>
    </w:p>
    <w:p>
      <w:pPr>
        <w:spacing w:after="0" w:line="186" w:lineRule="exact"/>
        <w:rPr>
          <w:rFonts w:ascii="Arial" w:cs="Arial" w:eastAsia="Arial" w:hAnsi="Arial"/>
          <w:sz w:val="18"/>
          <w:szCs w:val="18"/>
          <w:color w:val="auto"/>
        </w:rPr>
      </w:pPr>
    </w:p>
    <w:p>
      <w:pPr>
        <w:ind w:left="660" w:right="160" w:firstLine="645"/>
        <w:spacing w:after="0" w:line="501" w:lineRule="auto"/>
        <w:tabs>
          <w:tab w:leader="none" w:pos="196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Liens on cash collateral of the Loan Parties and their respective Subsidiaries securing Indebtedness permitted by </w:t>
      </w:r>
      <w:r>
        <w:rPr>
          <w:rFonts w:ascii="Arial" w:cs="Arial" w:eastAsia="Arial" w:hAnsi="Arial"/>
          <w:sz w:val="18"/>
          <w:szCs w:val="18"/>
          <w:u w:val="single" w:color="auto"/>
          <w:color w:val="auto"/>
        </w:rPr>
        <w:t>Section 8.03(h)</w:t>
      </w:r>
      <w:r>
        <w:rPr>
          <w:rFonts w:ascii="Arial" w:cs="Arial" w:eastAsia="Arial" w:hAnsi="Arial"/>
          <w:sz w:val="18"/>
          <w:szCs w:val="18"/>
          <w:color w:val="auto"/>
        </w:rPr>
        <w:t xml:space="preserve">. 8.02 </w:t>
      </w:r>
      <w:r>
        <w:rPr>
          <w:rFonts w:ascii="Arial" w:cs="Arial" w:eastAsia="Arial" w:hAnsi="Arial"/>
          <w:sz w:val="18"/>
          <w:szCs w:val="18"/>
          <w:u w:val="single" w:color="auto"/>
          <w:color w:val="auto"/>
        </w:rPr>
        <w:t>Investments.</w:t>
      </w:r>
    </w:p>
    <w:p>
      <w:pPr>
        <w:ind w:left="660"/>
        <w:spacing w:after="0"/>
        <w:rPr>
          <w:sz w:val="20"/>
          <w:szCs w:val="20"/>
          <w:color w:val="auto"/>
        </w:rPr>
      </w:pPr>
      <w:r>
        <w:rPr>
          <w:rFonts w:ascii="Arial" w:cs="Arial" w:eastAsia="Arial" w:hAnsi="Arial"/>
          <w:sz w:val="18"/>
          <w:szCs w:val="18"/>
          <w:color w:val="auto"/>
        </w:rPr>
        <w:t>Make any Investments, except:</w:t>
      </w:r>
    </w:p>
    <w:p>
      <w:pPr>
        <w:spacing w:after="0" w:line="225" w:lineRule="exact"/>
        <w:rPr>
          <w:sz w:val="20"/>
          <w:szCs w:val="20"/>
          <w:color w:val="auto"/>
        </w:rPr>
      </w:pPr>
    </w:p>
    <w:p>
      <w:pPr>
        <w:ind w:left="1940" w:hanging="635"/>
        <w:spacing w:after="0"/>
        <w:tabs>
          <w:tab w:leader="none" w:pos="19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Investments held by the Borrower or any Subsidiary in the form of cash or Cash Equivalents;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Investments existing as of the Funding Date and set forth in </w:t>
      </w:r>
      <w:r>
        <w:rPr>
          <w:rFonts w:ascii="Arial" w:cs="Arial" w:eastAsia="Arial" w:hAnsi="Arial"/>
          <w:sz w:val="18"/>
          <w:szCs w:val="18"/>
          <w:u w:val="single" w:color="auto"/>
          <w:color w:val="auto"/>
        </w:rPr>
        <w:t>Schedule 8.02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19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Investments in any Person that is a Loan Party prior to giving effect to such Investment and (ii) Investments by any Subsidiary that is not a Loan Party in any other Subsidiary that is not a Loan Party;</w:t>
      </w:r>
    </w:p>
    <w:p>
      <w:pPr>
        <w:spacing w:after="0" w:line="170" w:lineRule="exact"/>
        <w:rPr>
          <w:rFonts w:ascii="Arial" w:cs="Arial" w:eastAsia="Arial" w:hAnsi="Arial"/>
          <w:sz w:val="18"/>
          <w:szCs w:val="18"/>
          <w:color w:val="auto"/>
        </w:rPr>
      </w:pPr>
    </w:p>
    <w:p>
      <w:pPr>
        <w:ind w:left="660" w:right="360" w:firstLine="645"/>
        <w:spacing w:after="0" w:line="264" w:lineRule="auto"/>
        <w:tabs>
          <w:tab w:leader="none" w:pos="19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ectPr>
          <w:pgSz w:w="11900" w:h="16850" w:orient="portrait"/>
          <w:cols w:equalWidth="0" w:num="1">
            <w:col w:w="11420"/>
          </w:cols>
          <w:pgMar w:left="240" w:top="125" w:right="239" w:bottom="0" w:gutter="0" w:footer="0" w:header="0"/>
        </w:sectPr>
      </w:pPr>
    </w:p>
    <w:bookmarkStart w:id="79" w:name="page80"/>
    <w:bookmarkEnd w:id="79"/>
    <w:p>
      <w:pPr>
        <w:spacing w:after="0" w:line="98" w:lineRule="exact"/>
        <w:rPr>
          <w:sz w:val="20"/>
          <w:szCs w:val="20"/>
          <w:color w:val="auto"/>
        </w:rPr>
      </w:pPr>
    </w:p>
    <w:p>
      <w:pPr>
        <w:ind w:left="1304" w:hanging="655"/>
        <w:spacing w:after="0"/>
        <w:tabs>
          <w:tab w:leader="none" w:pos="130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left="4" w:firstLine="645"/>
        <w:spacing w:after="0" w:line="259" w:lineRule="auto"/>
        <w:tabs>
          <w:tab w:leader="none" w:pos="13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Investments consisting of (i) travel advances and employee relocation loans and other employee loans and advances in the ordinary course of business and (ii) loans to employees, officers or directors relating to the purchase of Qualified Capital Stock of the Borrower pursuant to employee stock purchase plans or agreements approved by the Borrower’s Board of Directors, in an aggregate amount for all such Investments made in reliance of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not to exceed $250,000 at any one time outstanding;</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420" w:firstLine="645"/>
        <w:spacing w:after="0" w:line="277" w:lineRule="auto"/>
        <w:tabs>
          <w:tab w:leader="none" w:pos="132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Investments consisting of obligations of the Borrower or any Subsidiary under Swap Contracts permitted under </w:t>
      </w:r>
      <w:r>
        <w:rPr>
          <w:rFonts w:ascii="Arial" w:cs="Arial" w:eastAsia="Arial" w:hAnsi="Arial"/>
          <w:sz w:val="18"/>
          <w:szCs w:val="18"/>
          <w:u w:val="single" w:color="auto"/>
          <w:color w:val="auto"/>
        </w:rPr>
        <w:t>Section 8.03(d)</w:t>
      </w:r>
      <w:r>
        <w:rPr>
          <w:rFonts w:ascii="Arial" w:cs="Arial" w:eastAsia="Arial" w:hAnsi="Arial"/>
          <w:sz w:val="18"/>
          <w:szCs w:val="18"/>
          <w:color w:val="auto"/>
        </w:rPr>
        <w:t xml:space="preserve"> that are incurred for non-speculative purposes in the ordinary course of business;</w:t>
      </w:r>
    </w:p>
    <w:p>
      <w:pPr>
        <w:spacing w:after="0" w:line="170" w:lineRule="exact"/>
        <w:rPr>
          <w:rFonts w:ascii="Arial" w:cs="Arial" w:eastAsia="Arial" w:hAnsi="Arial"/>
          <w:sz w:val="18"/>
          <w:szCs w:val="18"/>
          <w:color w:val="auto"/>
        </w:rPr>
      </w:pPr>
    </w:p>
    <w:p>
      <w:pPr>
        <w:ind w:left="4" w:right="260" w:firstLine="645"/>
        <w:spacing w:after="0" w:line="342" w:lineRule="auto"/>
        <w:tabs>
          <w:tab w:leader="none" w:pos="130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23" w:lineRule="exact"/>
        <w:rPr>
          <w:rFonts w:ascii="Arial" w:cs="Arial" w:eastAsia="Arial" w:hAnsi="Arial"/>
          <w:sz w:val="16"/>
          <w:szCs w:val="16"/>
          <w:color w:val="auto"/>
        </w:rPr>
      </w:pPr>
    </w:p>
    <w:p>
      <w:pPr>
        <w:ind w:left="4" w:right="640" w:firstLine="645"/>
        <w:spacing w:after="0" w:line="277" w:lineRule="auto"/>
        <w:tabs>
          <w:tab w:leader="none" w:pos="132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business;</w:t>
      </w:r>
    </w:p>
    <w:p>
      <w:pPr>
        <w:spacing w:after="0" w:line="170" w:lineRule="exact"/>
        <w:rPr>
          <w:rFonts w:ascii="Arial" w:cs="Arial" w:eastAsia="Arial" w:hAnsi="Arial"/>
          <w:sz w:val="18"/>
          <w:szCs w:val="18"/>
          <w:color w:val="auto"/>
        </w:rPr>
      </w:pPr>
    </w:p>
    <w:p>
      <w:pPr>
        <w:ind w:left="4" w:right="120" w:firstLine="645"/>
        <w:spacing w:after="0" w:line="264" w:lineRule="auto"/>
        <w:tabs>
          <w:tab w:leader="none" w:pos="130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Investments consisting of notes receivable of, or prepaid royalties and other credit extensions to, customers and suppliers who are not Affiliates of the Borrower or any Subsidiary, in each case,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this clause (j) shall not permit Investments in any Subsidiary;</w:t>
      </w:r>
    </w:p>
    <w:p>
      <w:pPr>
        <w:spacing w:after="0" w:line="181" w:lineRule="exact"/>
        <w:rPr>
          <w:rFonts w:ascii="Arial" w:cs="Arial" w:eastAsia="Arial" w:hAnsi="Arial"/>
          <w:sz w:val="18"/>
          <w:szCs w:val="18"/>
          <w:color w:val="auto"/>
        </w:rPr>
      </w:pPr>
    </w:p>
    <w:p>
      <w:pPr>
        <w:ind w:left="4" w:right="80" w:firstLine="645"/>
        <w:spacing w:after="0" w:line="308" w:lineRule="auto"/>
        <w:tabs>
          <w:tab w:leader="none" w:pos="130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Investments consisting of extensions of credit in the form of accounts receivable or notes receivable arising from the sale of goods or services in the ordinary course of business and prepaid royalties or prepaid services arising in the ordinary course of business;</w:t>
      </w:r>
    </w:p>
    <w:p>
      <w:pPr>
        <w:spacing w:after="0" w:line="146" w:lineRule="exact"/>
        <w:rPr>
          <w:rFonts w:ascii="Arial" w:cs="Arial" w:eastAsia="Arial" w:hAnsi="Arial"/>
          <w:sz w:val="17"/>
          <w:szCs w:val="17"/>
          <w:color w:val="auto"/>
        </w:rPr>
      </w:pPr>
    </w:p>
    <w:p>
      <w:pPr>
        <w:ind w:left="4" w:right="20" w:firstLine="645"/>
        <w:spacing w:after="0" w:line="277" w:lineRule="auto"/>
        <w:tabs>
          <w:tab w:leader="none" w:pos="132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noncash Investments in joint ventures or strategic alliances in the ordinary course of business consisting of non-exclusive licensing of technology, the development of technology or the providing of technical support;</w:t>
      </w:r>
    </w:p>
    <w:p>
      <w:pPr>
        <w:spacing w:after="0" w:line="170" w:lineRule="exact"/>
        <w:rPr>
          <w:rFonts w:ascii="Arial" w:cs="Arial" w:eastAsia="Arial" w:hAnsi="Arial"/>
          <w:sz w:val="18"/>
          <w:szCs w:val="18"/>
          <w:color w:val="auto"/>
        </w:rPr>
      </w:pPr>
    </w:p>
    <w:p>
      <w:pPr>
        <w:ind w:left="4" w:firstLine="645"/>
        <w:spacing w:after="0" w:line="277" w:lineRule="auto"/>
        <w:tabs>
          <w:tab w:leader="none" w:pos="13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held by a Person acquired or merged into a Loan Party so long as such Investments were not made in contemplation of such acquisition or merger and were in existence on the date of such acquisition or merger; and</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other Investments not permitted by any of the foregoing clauses of this </w:t>
      </w:r>
      <w:r>
        <w:rPr>
          <w:rFonts w:ascii="Arial" w:cs="Arial" w:eastAsia="Arial" w:hAnsi="Arial"/>
          <w:sz w:val="17"/>
          <w:szCs w:val="17"/>
          <w:u w:val="single" w:color="auto"/>
          <w:color w:val="auto"/>
        </w:rPr>
        <w:t>Section 8.02</w:t>
      </w:r>
      <w:r>
        <w:rPr>
          <w:rFonts w:ascii="Arial" w:cs="Arial" w:eastAsia="Arial" w:hAnsi="Arial"/>
          <w:sz w:val="17"/>
          <w:szCs w:val="17"/>
          <w:color w:val="auto"/>
        </w:rPr>
        <w:t>, in an aggregate amount not to exceed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$250,000 at any one time outstanding.</w:t>
      </w:r>
    </w:p>
    <w:p>
      <w:pPr>
        <w:spacing w:after="0" w:line="211" w:lineRule="exact"/>
        <w:rPr>
          <w:sz w:val="20"/>
          <w:szCs w:val="20"/>
          <w:color w:val="auto"/>
        </w:rPr>
      </w:pPr>
    </w:p>
    <w:p>
      <w:pPr>
        <w:ind w:left="4"/>
        <w:spacing w:after="0"/>
        <w:tabs>
          <w:tab w:leader="none" w:pos="623"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5"/>
          <w:szCs w:val="15"/>
          <w:u w:val="single" w:color="auto"/>
          <w:color w:val="auto"/>
        </w:rPr>
        <w:t>Indebtedness.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Create, incur, assume or suffer to exist any Indebtedness, except:</w:t>
      </w:r>
    </w:p>
    <w:p>
      <w:pPr>
        <w:spacing w:after="0" w:line="225" w:lineRule="exact"/>
        <w:rPr>
          <w:sz w:val="20"/>
          <w:szCs w:val="20"/>
          <w:color w:val="auto"/>
        </w:rPr>
      </w:pPr>
    </w:p>
    <w:p>
      <w:pPr>
        <w:ind w:left="1284" w:hanging="635"/>
        <w:spacing w:after="0"/>
        <w:tabs>
          <w:tab w:leader="none" w:pos="128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auto"/>
        </w:rPr>
      </w:pPr>
    </w:p>
    <w:p>
      <w:pPr>
        <w:ind w:left="4" w:firstLine="645"/>
        <w:spacing w:after="0" w:line="277" w:lineRule="auto"/>
        <w:tabs>
          <w:tab w:leader="none" w:pos="130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Indebtedness of the Borrower and its Subsidiaries existing on the Funding Date and described on </w:t>
      </w:r>
      <w:r>
        <w:rPr>
          <w:rFonts w:ascii="Arial" w:cs="Arial" w:eastAsia="Arial" w:hAnsi="Arial"/>
          <w:sz w:val="18"/>
          <w:szCs w:val="18"/>
          <w:u w:val="single" w:color="auto"/>
          <w:color w:val="auto"/>
        </w:rPr>
        <w:t>Schedule 8.03</w:t>
      </w:r>
      <w:r>
        <w:rPr>
          <w:rFonts w:ascii="Arial" w:cs="Arial" w:eastAsia="Arial" w:hAnsi="Arial"/>
          <w:sz w:val="18"/>
          <w:szCs w:val="18"/>
          <w:color w:val="auto"/>
        </w:rPr>
        <w:t xml:space="preserve"> (and any Permitted Refinancing thereof);</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intercompany Indebtedness permitted under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40" w:firstLine="645"/>
        <w:spacing w:after="0" w:line="297" w:lineRule="auto"/>
        <w:tabs>
          <w:tab w:leader="none" w:pos="130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obligations (contingent or otherwise) of the Borrower or any Subsidiary existing or arising under any Swap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5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00" w:firstLine="645"/>
        <w:spacing w:after="0" w:line="276" w:lineRule="auto"/>
        <w:tabs>
          <w:tab w:leader="none" w:pos="1311"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purchase money Indebtedness (including obligations in respect of Capital Leases or Synthetic Leases) hereafter incurred by the Borrower or any of its Subsidiaries to finance the purchase of fixed assets, and renewals, refinancings and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 the total of all such Indebtedness for all such Persons taken together shall not exceed an aggregate principal amount of $500,000 at any one time outstanding, (ii) such Indebtedness when incurred shall not exceed the purchase price of the asset(s) financed and (iii) no such Indebtedness shall be refinanced for a principal amount in excess of the principal balance outstanding thereon at the time of such refinancing;</w:t>
      </w:r>
    </w:p>
    <w:p>
      <w:pPr>
        <w:spacing w:after="0" w:line="172" w:lineRule="exact"/>
        <w:rPr>
          <w:rFonts w:ascii="Arial" w:cs="Arial" w:eastAsia="Arial" w:hAnsi="Arial"/>
          <w:sz w:val="17"/>
          <w:szCs w:val="17"/>
          <w:color w:val="auto"/>
        </w:rPr>
      </w:pPr>
    </w:p>
    <w:p>
      <w:pPr>
        <w:ind w:left="4" w:right="160" w:firstLine="645"/>
        <w:spacing w:after="0" w:line="257" w:lineRule="auto"/>
        <w:tabs>
          <w:tab w:leader="none" w:pos="130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unsecured Indebtedness in respect of netting services, overdraft protections, employee credit card programs, automatic clearinghouse arrangements and similar arrangements in each case in connection with deposit accounts and Indebtedness arising from the honoring of a bank or other financial institution of a check, draft or similar instrument drawn against insufficient funds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 any such Indebtedness is extinguished within thirty (30) days and (y) the aggregate outstanding principal amount of such Indebtedness shall not at any time exceed $500,000;</w:t>
      </w:r>
    </w:p>
    <w:p>
      <w:pPr>
        <w:spacing w:after="0" w:line="188" w:lineRule="exact"/>
        <w:rPr>
          <w:rFonts w:ascii="Arial" w:cs="Arial" w:eastAsia="Arial" w:hAnsi="Arial"/>
          <w:sz w:val="18"/>
          <w:szCs w:val="18"/>
          <w:color w:val="auto"/>
        </w:rPr>
      </w:pPr>
    </w:p>
    <w:p>
      <w:pPr>
        <w:ind w:left="1324" w:hanging="675"/>
        <w:spacing w:after="0"/>
        <w:tabs>
          <w:tab w:leader="none" w:pos="1324" w:val="left"/>
        </w:tabs>
        <w:numPr>
          <w:ilvl w:val="1"/>
          <w:numId w:val="129"/>
        </w:numPr>
        <w:rPr>
          <w:rFonts w:ascii="Arial" w:cs="Arial" w:eastAsia="Arial" w:hAnsi="Arial"/>
          <w:sz w:val="16"/>
          <w:szCs w:val="16"/>
          <w:color w:val="auto"/>
        </w:rPr>
      </w:pPr>
      <w:r>
        <w:rPr>
          <w:rFonts w:ascii="Arial" w:cs="Arial" w:eastAsia="Arial" w:hAnsi="Arial"/>
          <w:sz w:val="16"/>
          <w:szCs w:val="16"/>
          <w:color w:val="auto"/>
        </w:rPr>
        <w:t>Permitted Senior Revolving Credit Indebtedness in an aggregate principal amount not to exceed the lesser of (i) $5,000,000 and</w:t>
      </w:r>
    </w:p>
    <w:p>
      <w:pPr>
        <w:spacing w:after="0" w:line="46" w:lineRule="exact"/>
        <w:rPr>
          <w:rFonts w:ascii="Arial" w:cs="Arial" w:eastAsia="Arial" w:hAnsi="Arial"/>
          <w:sz w:val="16"/>
          <w:szCs w:val="16"/>
          <w:color w:val="auto"/>
        </w:rPr>
      </w:pPr>
    </w:p>
    <w:p>
      <w:pPr>
        <w:ind w:left="4" w:right="20" w:hanging="4"/>
        <w:spacing w:after="0" w:line="292" w:lineRule="auto"/>
        <w:tabs>
          <w:tab w:leader="none" w:pos="26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eighty percent (80%) of eligible accounts receivable of the Borrower (as determined by the Permitted Senior Revolving Credit Documents) and the proceeds thereof, at any one time outstanding pursuant to a revolving credit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 no Default or Event of Default shall have occurred and be continuing both immediately before and immediately after the incurrence of such Indebtedness and (y) prior to the incurrence of such Indebtedness, (i) the Administrative Agent, the Loan Parties and the Revolving Credit Lender shall have entered into an intercreditor agreement reasonably satisfactory to the Administrative Agent pursuant to which (A) the Revolving Credit Lender shall be granted a first priority security</w:t>
      </w:r>
    </w:p>
    <w:p>
      <w:pPr>
        <w:sectPr>
          <w:pgSz w:w="11900" w:h="16936" w:orient="portrait"/>
          <w:cols w:equalWidth="0" w:num="1">
            <w:col w:w="10764"/>
          </w:cols>
          <w:pgMar w:left="896" w:top="341" w:right="239" w:bottom="0" w:gutter="0" w:footer="0" w:header="0"/>
        </w:sectPr>
      </w:pPr>
    </w:p>
    <w:bookmarkStart w:id="80" w:name="page81"/>
    <w:bookmarkEnd w:id="80"/>
    <w:p>
      <w:pPr>
        <w:ind w:left="660"/>
        <w:spacing w:after="0" w:line="291" w:lineRule="auto"/>
        <w:rPr>
          <w:sz w:val="20"/>
          <w:szCs w:val="20"/>
          <w:color w:val="auto"/>
        </w:rPr>
      </w:pPr>
      <w:r>
        <w:rPr>
          <w:rFonts w:ascii="Arial" w:cs="Arial" w:eastAsia="Arial" w:hAnsi="Arial"/>
          <w:sz w:val="16"/>
          <w:szCs w:val="16"/>
          <w:color w:val="auto"/>
        </w:rPr>
        <w:t>interest only in the accounts receivable of the Borrower and proceeds thereof (collectively, the “</w:t>
      </w:r>
      <w:r>
        <w:rPr>
          <w:rFonts w:ascii="Arial" w:cs="Arial" w:eastAsia="Arial" w:hAnsi="Arial"/>
          <w:sz w:val="16"/>
          <w:szCs w:val="16"/>
          <w:u w:val="single" w:color="auto"/>
          <w:color w:val="auto"/>
        </w:rPr>
        <w:t>Revolving Credit Priority Collateral</w:t>
      </w:r>
      <w:r>
        <w:rPr>
          <w:rFonts w:ascii="Arial" w:cs="Arial" w:eastAsia="Arial" w:hAnsi="Arial"/>
          <w:sz w:val="16"/>
          <w:szCs w:val="16"/>
          <w:color w:val="auto"/>
        </w:rPr>
        <w:t>”), (B) the Administrative Agent, on behalf of the Secured Parties, shall be granted a second priority security interest in the Revolving Credit Priority Collateral,</w:t>
      </w:r>
    </w:p>
    <w:p>
      <w:pPr>
        <w:ind w:left="660" w:hanging="4"/>
        <w:spacing w:after="0" w:line="270" w:lineRule="auto"/>
        <w:tabs>
          <w:tab w:leader="none" w:pos="94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Administrative Agent, on behalf of the Secured Parties, shall maintain its first priority security interest in all other assets of the Loan Parties (other than Excluded Property) and (D) the Revolving Credit Lender shall not be granted a security interest in any property of the Loan Parties other than the Revolving Credit Priority Collateral and (ii) the Administrative Agent and the Loan Parties shall have entered into amendments, in each case in form and substance reasonably satisfactory to the Administrative Agent, to this Agreement and such other Loan Documents as required to, among other things, include in the Loan Documents such additional representations, warranties, covenants and defaults as are included in the Permitted Senior Revolving Credit Documents (but not included in the Loan Documents at such time);</w:t>
      </w:r>
    </w:p>
    <w:p>
      <w:pPr>
        <w:spacing w:after="0" w:line="178" w:lineRule="exact"/>
        <w:rPr>
          <w:rFonts w:ascii="Arial" w:cs="Arial" w:eastAsia="Arial" w:hAnsi="Arial"/>
          <w:sz w:val="17"/>
          <w:szCs w:val="17"/>
          <w:color w:val="auto"/>
        </w:rPr>
      </w:pPr>
    </w:p>
    <w:p>
      <w:pPr>
        <w:ind w:left="660" w:right="100" w:firstLine="645"/>
        <w:spacing w:after="0" w:line="264" w:lineRule="auto"/>
        <w:tabs>
          <w:tab w:leader="none" w:pos="196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Indebtedness constituting reimbursement obligations in respect of letters of credit, bank guarantees and similar instruments issued for the account of any Loan Party or any Subsidiary, in an aggregate amount for all such Indebtedness not to exceed $500,000 at any one time outstanding;</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Qualified Subordinated Debt, subject to the limitations set forth in </w:t>
      </w:r>
      <w:r>
        <w:rPr>
          <w:rFonts w:ascii="Arial" w:cs="Arial" w:eastAsia="Arial" w:hAnsi="Arial"/>
          <w:sz w:val="18"/>
          <w:szCs w:val="18"/>
          <w:u w:val="single" w:color="auto"/>
          <w:color w:val="auto"/>
        </w:rPr>
        <w:t>Section 8.16(b)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unsecured Indebtedness incurred in connection with corporate credit cards in an aggregate principal amount not to exceed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$250,000 at any one time outstanding;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59" w:lineRule="auto"/>
        <w:tabs>
          <w:tab w:leader="none" w:pos="196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unsecured Indebtedness in respect of Earn Out Obligations, purchase price adjustment or similar obligations, in each case, in connection with Permitted Acquisitions; provided, that, the aggregate amount of all such Indebtedness under this clause (k) when taken together the aggregate other consideration paid or payable for all Permitted Acquisitions shall not exceed the maximum amount permitted under the definition of “Permitted Acquisition”; and</w:t>
      </w:r>
    </w:p>
    <w:p>
      <w:pPr>
        <w:spacing w:after="0" w:line="186" w:lineRule="exact"/>
        <w:rPr>
          <w:rFonts w:ascii="Arial" w:cs="Arial" w:eastAsia="Arial" w:hAnsi="Arial"/>
          <w:sz w:val="18"/>
          <w:szCs w:val="18"/>
          <w:color w:val="auto"/>
        </w:rPr>
      </w:pPr>
    </w:p>
    <w:p>
      <w:pPr>
        <w:ind w:left="660" w:right="100" w:firstLine="645"/>
        <w:spacing w:after="0" w:line="277" w:lineRule="auto"/>
        <w:tabs>
          <w:tab w:leader="none" w:pos="19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other unsecured Indebtedness not permitted by any of the foregoing clauses of this </w:t>
      </w:r>
      <w:r>
        <w:rPr>
          <w:rFonts w:ascii="Arial" w:cs="Arial" w:eastAsia="Arial" w:hAnsi="Arial"/>
          <w:sz w:val="18"/>
          <w:szCs w:val="18"/>
          <w:u w:val="single" w:color="auto"/>
          <w:color w:val="auto"/>
        </w:rPr>
        <w:t>Section 8.03</w:t>
      </w:r>
      <w:r>
        <w:rPr>
          <w:rFonts w:ascii="Arial" w:cs="Arial" w:eastAsia="Arial" w:hAnsi="Arial"/>
          <w:sz w:val="18"/>
          <w:szCs w:val="18"/>
          <w:color w:val="auto"/>
        </w:rPr>
        <w:t>, in an aggregate principal amount not to exceed $250,000 at any one time outstanding.</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8.04</w:t>
      </w:r>
      <w:r>
        <w:rPr>
          <w:sz w:val="20"/>
          <w:szCs w:val="20"/>
          <w:color w:val="auto"/>
        </w:rPr>
        <w:tab/>
      </w:r>
      <w:r>
        <w:rPr>
          <w:rFonts w:ascii="Arial" w:cs="Arial" w:eastAsia="Arial" w:hAnsi="Arial"/>
          <w:sz w:val="15"/>
          <w:szCs w:val="15"/>
          <w:u w:val="single" w:color="auto"/>
          <w:color w:val="auto"/>
        </w:rPr>
        <w:t>Fundamental Changes.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Merge, dissolve, liquidate, consolidate with or into another Person, or Dispose of (whether in one transaction or in a series of transactions) all or substantially all of its assets (whether now owned or hereafter acquired) to or in favor of any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but subject to the terms of </w:t>
      </w:r>
      <w:r>
        <w:rPr>
          <w:rFonts w:ascii="Arial" w:cs="Arial" w:eastAsia="Arial" w:hAnsi="Arial"/>
          <w:sz w:val="17"/>
          <w:szCs w:val="17"/>
          <w:u w:val="single" w:color="auto"/>
          <w:color w:val="auto"/>
        </w:rPr>
        <w:t>Sections 7.12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7.14</w:t>
      </w:r>
      <w:r>
        <w:rPr>
          <w:rFonts w:ascii="Arial" w:cs="Arial" w:eastAsia="Arial" w:hAnsi="Arial"/>
          <w:sz w:val="17"/>
          <w:szCs w:val="17"/>
          <w:color w:val="auto"/>
        </w:rPr>
        <w:t>, (a) the Borrower may merge or consolidate with any of its Subsidiaries, provided that the Borrower shall be the continuing or surviving corporation, (b) any Loan Party (other than the Borrower) may merge or consolidate with any other Loan Party (other than the Borrower), (c) any Subsidiary that is not a Loan Party may be merged or consolidated with or into any Loan Party, provided that such Loan Party shall be the continuing or surviving corporation, (d) any Subsidiary that is not a Loan Party may be merged or consolidated with or into any other Subsidiary that is not a Loan Party and (e) any Subsidiary that is not a Loan Party may dissolve, liquidate or wind up its affairs at any time provided that such dissolution, liquidation or winding up could not reasonably be expected to have a Material Adverse Effect and all of its assets and business are transferred to a Loan Party prior to or concurrently with such dissolution, liquidation or winding up.</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8.05</w:t>
      </w:r>
      <w:r>
        <w:rPr>
          <w:sz w:val="20"/>
          <w:szCs w:val="20"/>
          <w:color w:val="auto"/>
        </w:rPr>
        <w:tab/>
      </w:r>
      <w:r>
        <w:rPr>
          <w:rFonts w:ascii="Arial" w:cs="Arial" w:eastAsia="Arial" w:hAnsi="Arial"/>
          <w:sz w:val="16"/>
          <w:szCs w:val="16"/>
          <w:u w:val="single" w:color="auto"/>
          <w:color w:val="auto"/>
        </w:rPr>
        <w:t>Dispositions.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Make any Disposition unless (a) the consideration paid in connection therewith shall be cash or Cash Equivalents paid contemporaneous with consummation of the transaction and shall be in an amount not less than the fair market value of the property disposed of, (b) no Default or Event of Default shall have occurred and be continuing both immediately prior to and after giving effect to such Disposition, (c) such transaction does not involve the sale or other disposition of a minority equity interest in any Subsidiary and (d) the aggregate net book value of all of the assets sold or otherwise disposed of in such Disposition together with the aggregate net book value of all assets sold or otherwise disposed of by the Borrower and its Subsidiaries in all such transactions occurring during the term of this Agreement does not exceed $500,000.</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8.06</w:t>
      </w:r>
      <w:r>
        <w:rPr>
          <w:sz w:val="20"/>
          <w:szCs w:val="20"/>
          <w:color w:val="auto"/>
        </w:rPr>
        <w:tab/>
      </w:r>
      <w:r>
        <w:rPr>
          <w:rFonts w:ascii="Arial" w:cs="Arial" w:eastAsia="Arial" w:hAnsi="Arial"/>
          <w:sz w:val="15"/>
          <w:szCs w:val="15"/>
          <w:u w:val="single" w:color="auto"/>
          <w:color w:val="auto"/>
        </w:rPr>
        <w:t>Restricted 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Declare or make, directly or indirectly, any Restricted Payment, except that:</w:t>
      </w:r>
    </w:p>
    <w:p>
      <w:pPr>
        <w:spacing w:after="0" w:line="225" w:lineRule="exact"/>
        <w:rPr>
          <w:sz w:val="20"/>
          <w:szCs w:val="20"/>
          <w:color w:val="auto"/>
        </w:rPr>
      </w:pPr>
    </w:p>
    <w:p>
      <w:pPr>
        <w:ind w:left="1940" w:hanging="635"/>
        <w:spacing w:after="0"/>
        <w:tabs>
          <w:tab w:leader="none" w:pos="19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Subsidiary may make Restricted Payments to any Loan Party;</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196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Borrower and each Subsidiary may declare and make dividend payments or other distributions payable solely in the Qualified Capital Stock of such Person; and</w:t>
      </w:r>
    </w:p>
    <w:p>
      <w:pPr>
        <w:spacing w:after="0" w:line="170" w:lineRule="exact"/>
        <w:rPr>
          <w:rFonts w:ascii="Arial" w:cs="Arial" w:eastAsia="Arial" w:hAnsi="Arial"/>
          <w:sz w:val="18"/>
          <w:szCs w:val="18"/>
          <w:color w:val="auto"/>
        </w:rPr>
      </w:pPr>
    </w:p>
    <w:p>
      <w:pPr>
        <w:ind w:left="660" w:right="20" w:firstLine="645"/>
        <w:spacing w:after="0" w:line="264" w:lineRule="auto"/>
        <w:tabs>
          <w:tab w:leader="none" w:pos="196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Borrower may (i) pay de minimis amounts of cash in lieu of fractional shares upon conversion of convertible securities or upon any stock split or consolidation and (ii) the Borrower may repurchase the Equity Interests of former officers, directors, employees or consultants pursuant to stock repurchase agreements so long as (x) no Default or Event of Default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shall exist or would result from any such repurchase and (y) the aggregate amount of all such repurchases does not exceed $250,000 in any fiscal year.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8.07</w:t>
      </w:r>
      <w:r>
        <w:rPr>
          <w:sz w:val="20"/>
          <w:szCs w:val="20"/>
          <w:color w:val="auto"/>
        </w:rPr>
        <w:tab/>
      </w:r>
      <w:r>
        <w:rPr>
          <w:rFonts w:ascii="Arial" w:cs="Arial" w:eastAsia="Arial" w:hAnsi="Arial"/>
          <w:sz w:val="16"/>
          <w:szCs w:val="16"/>
          <w:u w:val="single" w:color="auto"/>
          <w:color w:val="auto"/>
        </w:rPr>
        <w:t>Change in Nature of Business.</w:t>
      </w:r>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Engage in any material line of business substantially different from those lines of business conducted by the Borrower and its Subsidiaries on the Effective Date or any business substantially related or incidental thereto (it being understood and agreed that, for purposes of this Section, the molecular</w:t>
      </w:r>
    </w:p>
    <w:p>
      <w:pPr>
        <w:sectPr>
          <w:pgSz w:w="11900" w:h="16838" w:orient="portrait"/>
          <w:cols w:equalWidth="0" w:num="1">
            <w:col w:w="11420"/>
          </w:cols>
          <w:pgMar w:left="240" w:top="125" w:right="239" w:bottom="0" w:gutter="0" w:footer="0" w:header="0"/>
        </w:sectPr>
      </w:pPr>
    </w:p>
    <w:bookmarkStart w:id="81" w:name="page82"/>
    <w:bookmarkEnd w:id="81"/>
    <w:p>
      <w:pPr>
        <w:spacing w:after="0" w:line="6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diagnostics for disease business generally shall constitute a business substantially related to the lines of business conducted by the Borrower and its Subsidiaries on the Effective Date).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8.08</w:t>
      </w:r>
      <w:r>
        <w:rPr>
          <w:sz w:val="20"/>
          <w:szCs w:val="20"/>
          <w:color w:val="auto"/>
        </w:rPr>
        <w:tab/>
      </w:r>
      <w:r>
        <w:rPr>
          <w:rFonts w:ascii="Arial" w:cs="Arial" w:eastAsia="Arial" w:hAnsi="Arial"/>
          <w:sz w:val="16"/>
          <w:szCs w:val="16"/>
          <w:u w:val="single" w:color="auto"/>
          <w:color w:val="auto"/>
        </w:rPr>
        <w:t>Transactions with Affiliates and Insiders.</w:t>
      </w:r>
    </w:p>
    <w:p>
      <w:pPr>
        <w:spacing w:after="0" w:line="225" w:lineRule="exact"/>
        <w:rPr>
          <w:sz w:val="20"/>
          <w:szCs w:val="20"/>
          <w:color w:val="auto"/>
        </w:rPr>
      </w:pPr>
    </w:p>
    <w:p>
      <w:pPr>
        <w:ind w:right="600" w:firstLine="648"/>
        <w:spacing w:after="0" w:line="291" w:lineRule="auto"/>
        <w:rPr>
          <w:sz w:val="20"/>
          <w:szCs w:val="20"/>
          <w:color w:val="auto"/>
        </w:rPr>
      </w:pPr>
      <w:r>
        <w:rPr>
          <w:rFonts w:ascii="Arial" w:cs="Arial" w:eastAsia="Arial" w:hAnsi="Arial"/>
          <w:sz w:val="16"/>
          <w:szCs w:val="16"/>
          <w:color w:val="auto"/>
        </w:rPr>
        <w:t>Enter into or permit to exist any transaction or series of transactions with any officer, director or Affiliate of such Person involving aggregate consideration in excess of $100,000, other than (a) advances of working capital to any Loan Party, (b) transfers of cash and assets to any Loan Party,</w:t>
      </w:r>
    </w:p>
    <w:p>
      <w:pPr>
        <w:ind w:right="220" w:firstLine="8"/>
        <w:spacing w:after="0" w:line="281" w:lineRule="auto"/>
        <w:tabs>
          <w:tab w:leader="none" w:pos="24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intercompany transactions expressly permitted by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8.06</w:t>
      </w:r>
      <w:r>
        <w:rPr>
          <w:rFonts w:ascii="Arial" w:cs="Arial" w:eastAsia="Arial" w:hAnsi="Arial"/>
          <w:sz w:val="16"/>
          <w:szCs w:val="16"/>
          <w:color w:val="auto"/>
        </w:rPr>
        <w:t>, (d) normal and reasonable compensation and reimbursement of expenses of officers and directors in the ordinary course of business, (e) customary compensation and indemnification of, and other employment arrangements with, directors, officers and employees of the Borrower or any Subsidiary in the ordinary course of business,</w:t>
      </w:r>
    </w:p>
    <w:p>
      <w:pPr>
        <w:spacing w:after="0" w:line="2" w:lineRule="exact"/>
        <w:rPr>
          <w:rFonts w:ascii="Arial" w:cs="Arial" w:eastAsia="Arial" w:hAnsi="Arial"/>
          <w:sz w:val="16"/>
          <w:szCs w:val="16"/>
          <w:color w:val="auto"/>
        </w:rPr>
      </w:pPr>
    </w:p>
    <w:p>
      <w:pPr>
        <w:jc w:val="both"/>
        <w:ind w:right="140" w:firstLine="8"/>
        <w:spacing w:after="0" w:line="255" w:lineRule="auto"/>
        <w:tabs>
          <w:tab w:leader="none" w:pos="22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Qualified Subordinated Debt and (g) except as otherwise specifically limited in this Agreement, other transactions which are entered into in the ordinary course of such Person’s business on terms and conditions substantially as favorable to such Person as would be obtainable by it in a comparable arms-length transaction with a Person other than an officer, director or Affiliate.</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8.09</w:t>
      </w:r>
      <w:r>
        <w:rPr>
          <w:sz w:val="20"/>
          <w:szCs w:val="20"/>
          <w:color w:val="auto"/>
        </w:rPr>
        <w:tab/>
      </w:r>
      <w:r>
        <w:rPr>
          <w:rFonts w:ascii="Arial" w:cs="Arial" w:eastAsia="Arial" w:hAnsi="Arial"/>
          <w:sz w:val="16"/>
          <w:szCs w:val="16"/>
          <w:u w:val="single" w:color="auto"/>
          <w:color w:val="auto"/>
        </w:rPr>
        <w:t>Burdensome Agreements.</w:t>
      </w:r>
    </w:p>
    <w:p>
      <w:pPr>
        <w:spacing w:after="0" w:line="225" w:lineRule="exact"/>
        <w:rPr>
          <w:sz w:val="20"/>
          <w:szCs w:val="20"/>
          <w:color w:val="auto"/>
        </w:rPr>
      </w:pPr>
    </w:p>
    <w:p>
      <w:pPr>
        <w:ind w:right="680" w:firstLine="648"/>
        <w:spacing w:after="0" w:line="291" w:lineRule="auto"/>
        <w:rPr>
          <w:sz w:val="20"/>
          <w:szCs w:val="20"/>
          <w:color w:val="auto"/>
        </w:rPr>
      </w:pPr>
      <w:r>
        <w:rPr>
          <w:rFonts w:ascii="Arial" w:cs="Arial" w:eastAsia="Arial" w:hAnsi="Arial"/>
          <w:sz w:val="16"/>
          <w:szCs w:val="16"/>
          <w:color w:val="auto"/>
        </w:rPr>
        <w:t>Enter into, or permit to exist, any Contractual Obligation that (a) encumbers or restricts the ability of any such Person to (i) make Restricted Payments to any Loan Party, (ii) pay any Indebtedness or other obligations owed to any Loan Party, (iii) make loans or advances to any Loan Party,</w:t>
      </w:r>
    </w:p>
    <w:p>
      <w:pPr>
        <w:ind w:right="40" w:firstLine="8"/>
        <w:spacing w:after="0" w:line="288" w:lineRule="auto"/>
        <w:tabs>
          <w:tab w:leader="none" w:pos="3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above) for (1) this Agreement and the other Loan Documents, (2) any document or instrument governing Indebtedness incurred pursuant to </w:t>
      </w:r>
      <w:r>
        <w:rPr>
          <w:rFonts w:ascii="Arial" w:cs="Arial" w:eastAsia="Arial" w:hAnsi="Arial"/>
          <w:sz w:val="16"/>
          <w:szCs w:val="16"/>
          <w:u w:val="single" w:color="auto"/>
          <w:color w:val="auto"/>
        </w:rPr>
        <w:t>Section 8.03(e)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any such restriction contained therein relates only to the asset or assets constructed or acquired in connection therewith, (3) customary restrictions and conditions contained in any agreement relating to the sale of any property permitted under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pending the consummation of such sale or (4) any Permitted Senior Revolving Credit Documents or (b) requires the grant of any security for any obligation if such property is given as security for the Obligations.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5"/>
          <w:szCs w:val="15"/>
          <w:u w:val="single" w:color="auto"/>
          <w:color w:val="auto"/>
        </w:rPr>
        <w:t>Use of Proceeds.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Use the proceeds of any Loan,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u w:val="single" w:color="auto"/>
          <w:color w:val="auto"/>
        </w:rPr>
        <w:t>Payment of Other Indebtedness.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Make (or give any notice with respect thereto) any voluntary or optional payment or prepayment or redemption or acquisition for value of (including without limitation, by way of depositing money or securities with the trustee with respect thereto before due for the purpose of paying when due), refund, refinance or exchange of any Indebtedness of any Loan Party or any Subsidiary (other than any of the foregoing payments or transactions relating to</w:t>
      </w:r>
    </w:p>
    <w:p>
      <w:pPr>
        <w:ind w:firstLine="8"/>
        <w:spacing w:after="0" w:line="261" w:lineRule="auto"/>
        <w:tabs>
          <w:tab w:leader="none" w:pos="2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Indebtedness arising under the Loan Documents, (y) any Permitted Senior Revolving Credit Indebtedness and (z) the repayment of all Indebtedness owing under the Existing Credit Agreement on the Funding Date).</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Organization Documents; Fiscal Year; Legal Name, State of Formation and Form of Entity; Certain Amendments.</w:t>
      </w:r>
    </w:p>
    <w:p>
      <w:pPr>
        <w:spacing w:after="0" w:line="225" w:lineRule="exact"/>
        <w:rPr>
          <w:sz w:val="20"/>
          <w:szCs w:val="20"/>
          <w:color w:val="auto"/>
        </w:rPr>
      </w:pPr>
    </w:p>
    <w:p>
      <w:pPr>
        <w:ind w:left="1940" w:hanging="635"/>
        <w:spacing w:after="0"/>
        <w:tabs>
          <w:tab w:leader="none" w:pos="19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Amend, modify or change its Organization Documents in a manner adverse to the Administrative Agent or the Lenders.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Without providing ten (10) days prior written notice to the Administrative Agent, change its name, state of organization or form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organization.</w:t>
      </w:r>
    </w:p>
    <w:p>
      <w:pPr>
        <w:spacing w:after="0" w:line="210" w:lineRule="exact"/>
        <w:rPr>
          <w:rFonts w:ascii="Arial" w:cs="Arial" w:eastAsia="Arial" w:hAnsi="Arial"/>
          <w:sz w:val="16"/>
          <w:szCs w:val="16"/>
          <w:color w:val="auto"/>
        </w:rPr>
      </w:pPr>
    </w:p>
    <w:p>
      <w:pPr>
        <w:ind w:left="660" w:right="520" w:firstLine="645"/>
        <w:spacing w:after="0" w:line="264" w:lineRule="auto"/>
        <w:tabs>
          <w:tab w:leader="none" w:pos="196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Amend, modify or change any of the terms or provisions of any Permitted Senior Revolving Credit Document in a manner materially adverse to the Administrative Agent or any Secured Party or in violation of the terms and provisions of any intercreditor agreement entered into by the Administrative Agent with respect thereto.</w:t>
      </w:r>
    </w:p>
    <w:p>
      <w:pPr>
        <w:spacing w:after="0" w:line="181" w:lineRule="exact"/>
        <w:rPr>
          <w:rFonts w:ascii="Arial" w:cs="Arial" w:eastAsia="Arial" w:hAnsi="Arial"/>
          <w:sz w:val="18"/>
          <w:szCs w:val="18"/>
          <w:color w:val="auto"/>
        </w:rPr>
      </w:pPr>
    </w:p>
    <w:p>
      <w:pPr>
        <w:ind w:left="660" w:right="220" w:firstLine="645"/>
        <w:spacing w:after="0" w:line="342" w:lineRule="auto"/>
        <w:tabs>
          <w:tab w:leader="none" w:pos="196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Amend, modify or change (or permit the amendment, modification or change of) any of the terms or provisions of the Qualified Subordinated Debt Documents in violation of the terms and provisions of the applicable Qualified Subordinated Debt Subordination Agreement.</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u w:val="single" w:color="auto"/>
          <w:color w:val="auto"/>
        </w:rPr>
        <w:t>Ownership of Subsidiaries.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Notwithstanding any other provisions of this Agreement to the contrary, (a) permit any Person (other than any Loan Party or any Wholly Owned Subsidiary) to own any Equity Interests of any Subsidiary, except to qualify directors where required by applicable law or to satisfy other requirements of applicable law with respect to the ownership of Equity Interests of Foreign Subsidiaries, (b) permit any Loan Party or any Subsidiary to issue or have outstanding any shares of Disqualified Capital Stock or (c) create, incur, assume or suffer to exist any Lien on any Equity Interests of any Subsidiary of any Loan Party, except for Permitted Liens.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5"/>
          <w:szCs w:val="15"/>
          <w:u w:val="single" w:color="auto"/>
          <w:color w:val="auto"/>
        </w:rPr>
        <w:t>Sale Leasebacks.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Enter into any Sale and Leaseback Transaction.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6"/>
          <w:szCs w:val="16"/>
          <w:u w:val="single" w:color="auto"/>
          <w:color w:val="auto"/>
        </w:rPr>
        <w:t>Sanctions; Anti-Corruption Laws.</w:t>
      </w:r>
    </w:p>
    <w:p>
      <w:pPr>
        <w:spacing w:after="0" w:line="225" w:lineRule="exact"/>
        <w:rPr>
          <w:sz w:val="20"/>
          <w:szCs w:val="20"/>
          <w:color w:val="auto"/>
        </w:rPr>
      </w:pPr>
    </w:p>
    <w:p>
      <w:pPr>
        <w:ind w:left="660" w:right="20" w:firstLine="645"/>
        <w:spacing w:after="0" w:line="342" w:lineRule="auto"/>
        <w:tabs>
          <w:tab w:leader="none" w:pos="195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Directly or indirectly, use the proceeds of any Loan, or lend, contribute or otherwise make available the proceeds of any Loan to any Person, to fund any activities of or business with any Person, or in any Designated Jurisdiction, that, at the time of such funding, is the subject of</w:t>
      </w:r>
    </w:p>
    <w:p>
      <w:pPr>
        <w:sectPr>
          <w:pgSz w:w="11900" w:h="16908" w:orient="portrait"/>
          <w:cols w:equalWidth="0" w:num="1">
            <w:col w:w="11400"/>
          </w:cols>
          <w:pgMar w:left="240" w:top="125" w:right="259" w:bottom="0" w:gutter="0" w:footer="0" w:header="0"/>
        </w:sectPr>
      </w:pPr>
    </w:p>
    <w:bookmarkStart w:id="82" w:name="page83"/>
    <w:bookmarkEnd w:id="82"/>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Sanctions, or in any other manner that will result in a violation by any Person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(including any Person participating in the transaction, whether as Lender, Administrative Agent, or otherwise) of Sanctions.</w:t>
      </w:r>
    </w:p>
    <w:p>
      <w:pPr>
        <w:spacing w:after="0" w:line="225" w:lineRule="exact"/>
        <w:rPr>
          <w:sz w:val="20"/>
          <w:szCs w:val="20"/>
          <w:color w:val="auto"/>
        </w:rPr>
      </w:pPr>
    </w:p>
    <w:p>
      <w:pPr>
        <w:ind w:left="660" w:right="600" w:firstLine="645"/>
        <w:spacing w:after="0" w:line="308" w:lineRule="auto"/>
        <w:tabs>
          <w:tab w:leader="none" w:pos="196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Directly or indirectly, use the proceeds of any Loan for any purpose which would breach the United States Foreign Corrupt Practices Act of 1977, the UK Bribery Act 2010 and other similar anti-corruption legislation in other jurisdictions.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5"/>
          <w:szCs w:val="15"/>
          <w:u w:val="single" w:color="auto"/>
          <w:color w:val="auto"/>
        </w:rPr>
        <w:t>Consolidated Revenues.</w:t>
      </w:r>
    </w:p>
    <w:p>
      <w:pPr>
        <w:spacing w:after="0" w:line="225" w:lineRule="exact"/>
        <w:rPr>
          <w:sz w:val="20"/>
          <w:szCs w:val="20"/>
          <w:color w:val="auto"/>
        </w:rPr>
      </w:pPr>
    </w:p>
    <w:p>
      <w:pPr>
        <w:ind w:left="1940" w:hanging="635"/>
        <w:spacing w:after="0"/>
        <w:tabs>
          <w:tab w:leader="none" w:pos="1940"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Consolidated Revenues</w:t>
      </w:r>
      <w:r>
        <w:rPr>
          <w:rFonts w:ascii="Arial" w:cs="Arial" w:eastAsia="Arial" w:hAnsi="Arial"/>
          <w:sz w:val="18"/>
          <w:szCs w:val="18"/>
          <w:color w:val="auto"/>
        </w:rPr>
        <w:t>. Permit Consolidated Revenues for any four consecutive fiscal quarter period to be less than</w:t>
      </w:r>
    </w:p>
    <w:p>
      <w:pPr>
        <w:spacing w:after="0" w:line="23" w:lineRule="exact"/>
        <w:rPr>
          <w:rFonts w:ascii="Arial" w:cs="Arial" w:eastAsia="Arial" w:hAnsi="Arial"/>
          <w:sz w:val="18"/>
          <w:szCs w:val="18"/>
          <w:color w:val="auto"/>
        </w:rPr>
      </w:pPr>
    </w:p>
    <w:p>
      <w:pPr>
        <w:ind w:left="660" w:right="120" w:hanging="4"/>
        <w:spacing w:after="0" w:line="252" w:lineRule="auto"/>
        <w:tabs>
          <w:tab w:leader="none" w:pos="8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$40,000,000, for any four consecutive fiscal quarter period ending during the period from the Funding Date through and including December 30, 2016, (ii) $50,000,000, for any four consecutive fiscal quarter period ending during the period from December 31, 2016 through and including December 30, 2017, (iii) $60,000,000, for any four consecutive fiscal quarter period ending during the period from December 31, 2017 through and including December 30, 2018, (iv) $70,000,000, for any four consecutive fiscal quarter period ending during the period from December 31, 2018 through and including December 30, 2019, (v) $80,000,000, for any four consecutive fiscal quarter period ending during the period from December 31, 2019 through and including December 30, 2020, (vi) $90,000,000, for any four consecutive fiscal quarter period ending during the period from December 31, 2020 through and including December 30, 2021 and (vii) $100,000,000 for any four consecutive fiscal quarter period ending thereafter.</w:t>
      </w:r>
    </w:p>
    <w:p>
      <w:pPr>
        <w:spacing w:after="0" w:line="191" w:lineRule="exact"/>
        <w:rPr>
          <w:rFonts w:ascii="Arial" w:cs="Arial" w:eastAsia="Arial" w:hAnsi="Arial"/>
          <w:sz w:val="18"/>
          <w:szCs w:val="18"/>
          <w:color w:val="auto"/>
        </w:rPr>
      </w:pPr>
    </w:p>
    <w:p>
      <w:pPr>
        <w:ind w:left="1960" w:hanging="655"/>
        <w:spacing w:after="0"/>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Cure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40" w:firstLine="653"/>
        <w:spacing w:after="0" w:line="280" w:lineRule="auto"/>
        <w:tabs>
          <w:tab w:leader="none" w:pos="2163" w:val="left"/>
        </w:tabs>
        <w:numPr>
          <w:ilvl w:val="2"/>
          <w:numId w:val="14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in the event that any Loan Party would otherwise be in default of the financial covenant set forth in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for any period, on or before the twentieth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subsequent to the due date for delivery of the financial statements for such period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(such period, the “</w:t>
      </w:r>
      <w:r>
        <w:rPr>
          <w:rFonts w:ascii="Arial" w:cs="Arial" w:eastAsia="Arial" w:hAnsi="Arial"/>
          <w:sz w:val="16"/>
          <w:szCs w:val="16"/>
          <w:u w:val="single" w:color="auto"/>
          <w:color w:val="auto"/>
        </w:rPr>
        <w:t>Cure Period</w:t>
      </w:r>
      <w:r>
        <w:rPr>
          <w:rFonts w:ascii="Arial" w:cs="Arial" w:eastAsia="Arial" w:hAnsi="Arial"/>
          <w:sz w:val="16"/>
          <w:szCs w:val="16"/>
          <w:color w:val="auto"/>
        </w:rPr>
        <w:t xml:space="preserve">”), the Borrower shall have the right to issue Qualified Capital Stock or Qualified Subordinated Debt, in each case, for cash in an aggregate amount not to exceed the amount necessary to cure the relevant failure to comply with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(such contribution, a “</w:t>
      </w:r>
      <w:r>
        <w:rPr>
          <w:rFonts w:ascii="Arial" w:cs="Arial" w:eastAsia="Arial" w:hAnsi="Arial"/>
          <w:sz w:val="16"/>
          <w:szCs w:val="16"/>
          <w:u w:val="single" w:color="auto"/>
          <w:color w:val="auto"/>
        </w:rPr>
        <w:t>Specified 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and upon the receipt by the Borrower of such Specified Equity Contribution within the Cure Period, the financial covenant set forth in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shall be recalculated giving effect to the following pro forma adjustments (collectively, the “</w:t>
      </w:r>
      <w:r>
        <w:rPr>
          <w:rFonts w:ascii="Arial" w:cs="Arial" w:eastAsia="Arial" w:hAnsi="Arial"/>
          <w:sz w:val="16"/>
          <w:szCs w:val="16"/>
          <w:u w:val="single" w:color="auto"/>
          <w:color w:val="auto"/>
        </w:rPr>
        <w:t>Cure Right</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1960" w:right="260" w:firstLine="641"/>
        <w:spacing w:after="0" w:line="259" w:lineRule="auto"/>
        <w:tabs>
          <w:tab w:leader="none" w:pos="3277" w:val="left"/>
        </w:tabs>
        <w:numPr>
          <w:ilvl w:val="3"/>
          <w:numId w:val="142"/>
        </w:numPr>
        <w:rPr>
          <w:rFonts w:ascii="Arial" w:cs="Arial" w:eastAsia="Arial" w:hAnsi="Arial"/>
          <w:sz w:val="18"/>
          <w:szCs w:val="18"/>
          <w:color w:val="auto"/>
        </w:rPr>
      </w:pPr>
      <w:r>
        <w:rPr>
          <w:rFonts w:ascii="Arial" w:cs="Arial" w:eastAsia="Arial" w:hAnsi="Arial"/>
          <w:sz w:val="18"/>
          <w:szCs w:val="18"/>
          <w:color w:val="auto"/>
        </w:rPr>
        <w:t>Consolidated Revenues shall be increased for the applicable fiscal quarter (the “</w:t>
      </w:r>
      <w:r>
        <w:rPr>
          <w:rFonts w:ascii="Arial" w:cs="Arial" w:eastAsia="Arial" w:hAnsi="Arial"/>
          <w:sz w:val="18"/>
          <w:szCs w:val="18"/>
          <w:u w:val="single" w:color="auto"/>
          <w:color w:val="auto"/>
        </w:rPr>
        <w:t>Applicable Quarter</w:t>
      </w:r>
      <w:r>
        <w:rPr>
          <w:rFonts w:ascii="Arial" w:cs="Arial" w:eastAsia="Arial" w:hAnsi="Arial"/>
          <w:sz w:val="18"/>
          <w:szCs w:val="18"/>
          <w:color w:val="auto"/>
        </w:rPr>
        <w:t xml:space="preserve">”) and any period of four consecutive fiscal quarters that includes the Applicable Quarter, solely for the purpose of measuring the financial covenant set forth in </w:t>
      </w:r>
      <w:r>
        <w:rPr>
          <w:rFonts w:ascii="Arial" w:cs="Arial" w:eastAsia="Arial" w:hAnsi="Arial"/>
          <w:sz w:val="18"/>
          <w:szCs w:val="18"/>
          <w:u w:val="single" w:color="auto"/>
          <w:color w:val="auto"/>
        </w:rPr>
        <w:t>Section 8.16(a)</w:t>
      </w:r>
      <w:r>
        <w:rPr>
          <w:rFonts w:ascii="Arial" w:cs="Arial" w:eastAsia="Arial" w:hAnsi="Arial"/>
          <w:sz w:val="18"/>
          <w:szCs w:val="18"/>
          <w:color w:val="auto"/>
        </w:rPr>
        <w:t>, and not for any other purpose under this Agreement, by an amount equal to the Specified Equity Contribution; and</w:t>
      </w:r>
    </w:p>
    <w:p>
      <w:pPr>
        <w:spacing w:after="0" w:line="186" w:lineRule="exact"/>
        <w:rPr>
          <w:rFonts w:ascii="Arial" w:cs="Arial" w:eastAsia="Arial" w:hAnsi="Arial"/>
          <w:sz w:val="18"/>
          <w:szCs w:val="18"/>
          <w:color w:val="auto"/>
        </w:rPr>
      </w:pPr>
    </w:p>
    <w:p>
      <w:pPr>
        <w:ind w:left="1960" w:right="180" w:firstLine="641"/>
        <w:spacing w:after="0" w:line="279" w:lineRule="auto"/>
        <w:tabs>
          <w:tab w:leader="none" w:pos="3267" w:val="left"/>
        </w:tabs>
        <w:numPr>
          <w:ilvl w:val="3"/>
          <w:numId w:val="142"/>
        </w:numPr>
        <w:rPr>
          <w:rFonts w:ascii="Arial" w:cs="Arial" w:eastAsia="Arial" w:hAnsi="Arial"/>
          <w:sz w:val="17"/>
          <w:szCs w:val="17"/>
          <w:color w:val="auto"/>
        </w:rPr>
      </w:pPr>
      <w:r>
        <w:rPr>
          <w:rFonts w:ascii="Arial" w:cs="Arial" w:eastAsia="Arial" w:hAnsi="Arial"/>
          <w:sz w:val="17"/>
          <w:szCs w:val="17"/>
          <w:color w:val="auto"/>
        </w:rPr>
        <w:t xml:space="preserve">If, after giving effect to the foregoing recalculation, the Loan Parties shall then be in compliance with the requirements of the financial covenant set forth in </w:t>
      </w:r>
      <w:r>
        <w:rPr>
          <w:rFonts w:ascii="Arial" w:cs="Arial" w:eastAsia="Arial" w:hAnsi="Arial"/>
          <w:sz w:val="17"/>
          <w:szCs w:val="17"/>
          <w:u w:val="single" w:color="auto"/>
          <w:color w:val="auto"/>
        </w:rPr>
        <w:t>Section 8.16(a)</w:t>
      </w:r>
      <w:r>
        <w:rPr>
          <w:rFonts w:ascii="Arial" w:cs="Arial" w:eastAsia="Arial" w:hAnsi="Arial"/>
          <w:sz w:val="17"/>
          <w:szCs w:val="17"/>
          <w:color w:val="auto"/>
        </w:rPr>
        <w:t xml:space="preserve">, the Loan Parties shall be deemed to have satisfied the requirements of the financial covenant set forth in </w:t>
      </w:r>
      <w:r>
        <w:rPr>
          <w:rFonts w:ascii="Arial" w:cs="Arial" w:eastAsia="Arial" w:hAnsi="Arial"/>
          <w:sz w:val="17"/>
          <w:szCs w:val="17"/>
          <w:u w:val="single" w:color="auto"/>
          <w:color w:val="auto"/>
        </w:rPr>
        <w:t>Section 8.16(a)</w:t>
      </w:r>
      <w:r>
        <w:rPr>
          <w:rFonts w:ascii="Arial" w:cs="Arial" w:eastAsia="Arial" w:hAnsi="Arial"/>
          <w:sz w:val="17"/>
          <w:szCs w:val="17"/>
          <w:color w:val="auto"/>
        </w:rPr>
        <w:t xml:space="preserve"> as of the relevant date of determination with the same effect as though there had been no failure to comply therewith at such date, and the applicable breach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 xml:space="preserve">default of the covenant set forth in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that had occurred shall be deemed cured for the purposes of this Agreement.</w:t>
      </w:r>
    </w:p>
    <w:p>
      <w:pPr>
        <w:spacing w:after="0" w:line="248" w:lineRule="exact"/>
        <w:rPr>
          <w:sz w:val="20"/>
          <w:szCs w:val="20"/>
          <w:color w:val="auto"/>
        </w:rPr>
      </w:pPr>
    </w:p>
    <w:p>
      <w:pPr>
        <w:ind w:left="1300" w:firstLine="653"/>
        <w:spacing w:after="0" w:line="284" w:lineRule="auto"/>
        <w:tabs>
          <w:tab w:leader="none" w:pos="2627" w:val="left"/>
        </w:tabs>
        <w:numPr>
          <w:ilvl w:val="1"/>
          <w:numId w:val="143"/>
        </w:numPr>
        <w:rPr>
          <w:rFonts w:ascii="Arial" w:cs="Arial" w:eastAsia="Arial" w:hAnsi="Arial"/>
          <w:sz w:val="16"/>
          <w:szCs w:val="16"/>
          <w:color w:val="auto"/>
        </w:rPr>
      </w:pPr>
      <w:r>
        <w:rPr>
          <w:rFonts w:ascii="Arial" w:cs="Arial" w:eastAsia="Arial" w:hAnsi="Arial"/>
          <w:sz w:val="16"/>
          <w:szCs w:val="16"/>
          <w:color w:val="auto"/>
        </w:rPr>
        <w:t>Notwithstanding anything herein to the contrary, (A) the Loan Parties shall provide notice to the Administrative Agent of their intention to exercise the Cure Right (the “</w:t>
      </w:r>
      <w:r>
        <w:rPr>
          <w:rFonts w:ascii="Arial" w:cs="Arial" w:eastAsia="Arial" w:hAnsi="Arial"/>
          <w:sz w:val="16"/>
          <w:szCs w:val="16"/>
          <w:u w:val="single" w:color="auto"/>
          <w:color w:val="auto"/>
        </w:rPr>
        <w:t>Cure Notice</w:t>
      </w:r>
      <w:r>
        <w:rPr>
          <w:rFonts w:ascii="Arial" w:cs="Arial" w:eastAsia="Arial" w:hAnsi="Arial"/>
          <w:sz w:val="16"/>
          <w:szCs w:val="16"/>
          <w:color w:val="auto"/>
        </w:rPr>
        <w:t xml:space="preserve">”) no later than the date of delivery of the financial statements evidencing such noncompliance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(B) in each four fiscal quarter period, there shall be a period of at least two (2) fiscal quarters in respect of which no Cure Right is exercised, (C) the Specified Equity Contribution shall be no greater than the amount required for purposes of complying with the financial covenant in </w:t>
      </w:r>
      <w:r>
        <w:rPr>
          <w:rFonts w:ascii="Arial" w:cs="Arial" w:eastAsia="Arial" w:hAnsi="Arial"/>
          <w:sz w:val="16"/>
          <w:szCs w:val="16"/>
          <w:u w:val="single" w:color="auto"/>
          <w:color w:val="auto"/>
        </w:rPr>
        <w:t>Section 8.16(a)</w:t>
      </w:r>
      <w:r>
        <w:rPr>
          <w:rFonts w:ascii="Arial" w:cs="Arial" w:eastAsia="Arial" w:hAnsi="Arial"/>
          <w:sz w:val="16"/>
          <w:szCs w:val="16"/>
          <w:color w:val="auto"/>
        </w:rPr>
        <w:t>, (D) the Specified Equity Contribution received pursuant to any exercise of the Cure Right shall be disregarded for purposes of determining any available basket under any covenant in this Agreement, (E) the Cure Right may be exercised no more than three (3) times during the term of this Agreement, (F) notwithstanding anything to the contrary set forth in this Agreement, the aggregate outstanding amount of all Qualified Subordinated Debt shall at no time exceed $10,000,000, (G) unless</w:t>
      </w:r>
    </w:p>
    <w:p>
      <w:pPr>
        <w:spacing w:after="0" w:line="1" w:lineRule="exact"/>
        <w:rPr>
          <w:rFonts w:ascii="Arial" w:cs="Arial" w:eastAsia="Arial" w:hAnsi="Arial"/>
          <w:sz w:val="16"/>
          <w:szCs w:val="16"/>
          <w:color w:val="auto"/>
        </w:rPr>
      </w:pPr>
    </w:p>
    <w:p>
      <w:pPr>
        <w:ind w:left="1560" w:hanging="255"/>
        <w:spacing w:after="0"/>
        <w:tabs>
          <w:tab w:leader="none" w:pos="15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Borrower has stated in writing that it does not intend to cause a Specified Equity Contribution to be provided or (y) the Event of</w:t>
      </w:r>
    </w:p>
    <w:p>
      <w:pPr>
        <w:spacing w:after="0" w:line="20" w:lineRule="exact"/>
        <w:rPr>
          <w:rFonts w:ascii="Arial" w:cs="Arial" w:eastAsia="Arial" w:hAnsi="Arial"/>
          <w:sz w:val="17"/>
          <w:szCs w:val="17"/>
          <w:color w:val="auto"/>
        </w:rPr>
      </w:pPr>
    </w:p>
    <w:p>
      <w:pPr>
        <w:ind w:left="1300"/>
        <w:spacing w:after="0" w:line="265" w:lineRule="auto"/>
        <w:rPr>
          <w:rFonts w:ascii="Arial" w:cs="Arial" w:eastAsia="Arial" w:hAnsi="Arial"/>
          <w:sz w:val="17"/>
          <w:szCs w:val="17"/>
          <w:color w:val="auto"/>
        </w:rPr>
      </w:pPr>
      <w:r>
        <w:rPr>
          <w:rFonts w:ascii="Arial" w:cs="Arial" w:eastAsia="Arial" w:hAnsi="Arial"/>
          <w:sz w:val="16"/>
          <w:szCs w:val="16"/>
          <w:color w:val="auto"/>
        </w:rPr>
        <w:t xml:space="preserve">Default is precluded from being cured pursuant to this </w:t>
      </w:r>
      <w:r>
        <w:rPr>
          <w:rFonts w:ascii="Arial" w:cs="Arial" w:eastAsia="Arial" w:hAnsi="Arial"/>
          <w:sz w:val="16"/>
          <w:szCs w:val="16"/>
          <w:u w:val="single" w:color="auto"/>
          <w:color w:val="auto"/>
        </w:rPr>
        <w:t>Section 8.16(b)</w:t>
      </w:r>
      <w:r>
        <w:rPr>
          <w:rFonts w:ascii="Arial" w:cs="Arial" w:eastAsia="Arial" w:hAnsi="Arial"/>
          <w:sz w:val="16"/>
          <w:szCs w:val="16"/>
          <w:color w:val="auto"/>
        </w:rPr>
        <w:t xml:space="preserve"> because of </w:t>
      </w:r>
      <w:r>
        <w:rPr>
          <w:rFonts w:ascii="Arial" w:cs="Arial" w:eastAsia="Arial" w:hAnsi="Arial"/>
          <w:sz w:val="16"/>
          <w:szCs w:val="16"/>
          <w:u w:val="single" w:color="auto"/>
          <w:color w:val="auto"/>
        </w:rPr>
        <w:t>clause (b)(ii)(B)</w:t>
      </w:r>
      <w:r>
        <w:rPr>
          <w:rFonts w:ascii="Arial" w:cs="Arial" w:eastAsia="Arial" w:hAnsi="Arial"/>
          <w:sz w:val="16"/>
          <w:szCs w:val="16"/>
          <w:color w:val="auto"/>
        </w:rPr>
        <w:t xml:space="preserve">, </w:t>
      </w:r>
      <w:r>
        <w:rPr>
          <w:rFonts w:ascii="Arial" w:cs="Arial" w:eastAsia="Arial" w:hAnsi="Arial"/>
          <w:sz w:val="16"/>
          <w:szCs w:val="16"/>
          <w:u w:val="single" w:color="auto"/>
          <w:color w:val="auto"/>
        </w:rPr>
        <w:t>(b)(ii)(C)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(b)(ii)(E)</w:t>
      </w:r>
      <w:r>
        <w:rPr>
          <w:rFonts w:ascii="Arial" w:cs="Arial" w:eastAsia="Arial" w:hAnsi="Arial"/>
          <w:sz w:val="16"/>
          <w:szCs w:val="16"/>
          <w:color w:val="auto"/>
        </w:rPr>
        <w:t xml:space="preserve"> above, following receipt of the Cure Notice as provided in </w:t>
      </w:r>
      <w:r>
        <w:rPr>
          <w:rFonts w:ascii="Arial" w:cs="Arial" w:eastAsia="Arial" w:hAnsi="Arial"/>
          <w:sz w:val="16"/>
          <w:szCs w:val="16"/>
          <w:u w:val="single" w:color="auto"/>
          <w:color w:val="auto"/>
        </w:rPr>
        <w:t>clause (b)(ii)(A)</w:t>
      </w:r>
      <w:r>
        <w:rPr>
          <w:rFonts w:ascii="Arial" w:cs="Arial" w:eastAsia="Arial" w:hAnsi="Arial"/>
          <w:sz w:val="16"/>
          <w:szCs w:val="16"/>
          <w:color w:val="auto"/>
        </w:rPr>
        <w:t xml:space="preserve"> above, neither the Administrative Agent nor any Lender shall exercise any remedy under the Loan Documents or applicable Laws on the basis of an Event of Default caused solely by the failure of the Loan Parties to comply with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until the first (1</w:t>
      </w:r>
      <w:r>
        <w:rPr>
          <w:rFonts w:ascii="Arial" w:cs="Arial" w:eastAsia="Arial" w:hAnsi="Arial"/>
          <w:sz w:val="20"/>
          <w:szCs w:val="20"/>
          <w:color w:val="auto"/>
          <w:vertAlign w:val="superscript"/>
        </w:rPr>
        <w:t>st</w:t>
      </w:r>
      <w:r>
        <w:rPr>
          <w:rFonts w:ascii="Arial" w:cs="Arial" w:eastAsia="Arial" w:hAnsi="Arial"/>
          <w:sz w:val="16"/>
          <w:szCs w:val="16"/>
          <w:color w:val="auto"/>
        </w:rPr>
        <w:t>) Business Day immediately following the end of the Cure Period (the “</w:t>
      </w:r>
      <w:r>
        <w:rPr>
          <w:rFonts w:ascii="Arial" w:cs="Arial" w:eastAsia="Arial" w:hAnsi="Arial"/>
          <w:sz w:val="16"/>
          <w:szCs w:val="16"/>
          <w:u w:val="single" w:color="auto"/>
          <w:color w:val="auto"/>
        </w:rPr>
        <w:t>Standstill Period</w:t>
      </w:r>
      <w:r>
        <w:rPr>
          <w:rFonts w:ascii="Arial" w:cs="Arial" w:eastAsia="Arial" w:hAnsi="Arial"/>
          <w:sz w:val="16"/>
          <w:szCs w:val="16"/>
          <w:color w:val="auto"/>
        </w:rPr>
        <w:t>”) and</w:t>
      </w:r>
    </w:p>
    <w:p>
      <w:pPr>
        <w:spacing w:after="0" w:line="2" w:lineRule="exact"/>
        <w:rPr>
          <w:rFonts w:ascii="Arial" w:cs="Arial" w:eastAsia="Arial" w:hAnsi="Arial"/>
          <w:sz w:val="17"/>
          <w:szCs w:val="17"/>
          <w:color w:val="auto"/>
        </w:rPr>
      </w:pPr>
    </w:p>
    <w:p>
      <w:pPr>
        <w:ind w:left="1300" w:right="320"/>
        <w:spacing w:after="0" w:line="259" w:lineRule="auto"/>
        <w:rPr>
          <w:rFonts w:ascii="Arial" w:cs="Arial" w:eastAsia="Arial" w:hAnsi="Arial"/>
          <w:sz w:val="17"/>
          <w:szCs w:val="17"/>
          <w:color w:val="auto"/>
        </w:rPr>
      </w:pPr>
      <w:r>
        <w:rPr>
          <w:rFonts w:ascii="Arial" w:cs="Arial" w:eastAsia="Arial" w:hAnsi="Arial"/>
          <w:sz w:val="18"/>
          <w:szCs w:val="18"/>
          <w:color w:val="auto"/>
        </w:rPr>
        <w:t xml:space="preserve">(H) during the Standstill Period (unless and until the Event of Default is cured pursuant to this </w:t>
      </w:r>
      <w:r>
        <w:rPr>
          <w:rFonts w:ascii="Arial" w:cs="Arial" w:eastAsia="Arial" w:hAnsi="Arial"/>
          <w:sz w:val="18"/>
          <w:szCs w:val="18"/>
          <w:u w:val="single" w:color="auto"/>
          <w:color w:val="auto"/>
        </w:rPr>
        <w:t>Section 8.16(b)</w:t>
      </w:r>
      <w:r>
        <w:rPr>
          <w:rFonts w:ascii="Arial" w:cs="Arial" w:eastAsia="Arial" w:hAnsi="Arial"/>
          <w:sz w:val="18"/>
          <w:szCs w:val="18"/>
          <w:color w:val="auto"/>
        </w:rPr>
        <w:t>), no Lender shall have an obligation to honor any Loan Notice.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7"/>
          <w:szCs w:val="17"/>
          <w:u w:val="single" w:color="auto"/>
          <w:color w:val="auto"/>
        </w:rPr>
        <w:t>Liquidity.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 Liquidity, at any time, to be less than $5,000,000.</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8.18</w:t>
      </w:r>
      <w:r>
        <w:rPr>
          <w:sz w:val="20"/>
          <w:szCs w:val="20"/>
          <w:color w:val="auto"/>
        </w:rPr>
        <w:tab/>
      </w:r>
      <w:r>
        <w:rPr>
          <w:rFonts w:ascii="Arial" w:cs="Arial" w:eastAsia="Arial" w:hAnsi="Arial"/>
          <w:sz w:val="16"/>
          <w:szCs w:val="16"/>
          <w:u w:val="single" w:color="auto"/>
          <w:color w:val="auto"/>
        </w:rPr>
        <w:t>Accounts.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Each of the Loan Parties shall not open, maintain or otherwise have any deposit or other accounts (including securities accounts) at any bank or other financial institution, or any other account where money or securities are or may be deposited or maintained with any Person, other than (i) deposit accounts that are maintained at all times with depositary institutions as to which the Administrative Agent shall have received a Qualifying Control Agreement,</w:t>
      </w:r>
    </w:p>
    <w:p>
      <w:pPr>
        <w:ind w:right="40" w:firstLine="8"/>
        <w:spacing w:after="0" w:line="323" w:lineRule="auto"/>
        <w:tabs>
          <w:tab w:leader="none" w:pos="26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securities accounts that are maintained at all times with financial institutions as to which the Administrative Agent shall have received a Qualifying Control Agreement, (iii) deposit accounts established solely as payroll and other zero balance accounts, (iv) the SVB Cash Collateral Accounts, so long as the</w:t>
      </w:r>
    </w:p>
    <w:p>
      <w:pPr>
        <w:sectPr>
          <w:pgSz w:w="11900" w:h="16960" w:orient="portrait"/>
          <w:cols w:equalWidth="0" w:num="1">
            <w:col w:w="11420"/>
          </w:cols>
          <w:pgMar w:left="240" w:top="125" w:right="239" w:bottom="0" w:gutter="0" w:footer="0" w:header="0"/>
        </w:sectPr>
      </w:pPr>
    </w:p>
    <w:bookmarkStart w:id="83" w:name="page84"/>
    <w:bookmarkEnd w:id="83"/>
    <w:p>
      <w:pPr>
        <w:ind w:right="20"/>
        <w:spacing w:after="0" w:line="259" w:lineRule="auto"/>
        <w:rPr>
          <w:sz w:val="20"/>
          <w:szCs w:val="20"/>
          <w:color w:val="auto"/>
        </w:rPr>
      </w:pPr>
      <w:r>
        <w:rPr>
          <w:rFonts w:ascii="Arial" w:cs="Arial" w:eastAsia="Arial" w:hAnsi="Arial"/>
          <w:sz w:val="18"/>
          <w:szCs w:val="18"/>
          <w:color w:val="auto"/>
        </w:rPr>
        <w:t>aggregate amount of cash and Cash Equivalents held in such accounts does not exceed $1,000,000 at any one time, (v) any Government Receivables Account, so long as the aggregate cash balance in any such Government Receivables Account is swept on a daily basis to a deposit account as to which the Administrative Agent shall have received a Qualifying Account Control Agreement and (vi) other deposit accounts, so long as at any time the aggregate balance in all such accounts does not exceed $100,000.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6"/>
          <w:szCs w:val="16"/>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 following shall constitute an Event of Default:</w:t>
      </w:r>
    </w:p>
    <w:p>
      <w:pPr>
        <w:spacing w:after="0" w:line="225" w:lineRule="exact"/>
        <w:rPr>
          <w:sz w:val="20"/>
          <w:szCs w:val="20"/>
          <w:color w:val="auto"/>
        </w:rPr>
      </w:pPr>
    </w:p>
    <w:p>
      <w:pPr>
        <w:ind w:left="660" w:right="140" w:firstLine="645"/>
        <w:spacing w:after="0" w:line="259" w:lineRule="auto"/>
        <w:tabs>
          <w:tab w:leader="none" w:pos="1954"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or any other Loan Party fails to pay (i) when and as required to be paid herein, any amount of principal of any Loan, (ii) within three (3) Business Days after the same becomes due, any interest on any Loan, or any fee or prepayment premium due hereunder or (iii) within five (5) Business Days after the same becomes due, any other amount payable hereunder or under any other Loan Document; or</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Any Loan Party fails to perform or observe any term, covenant or agreement contained in any of</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7.10</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w:t>
      </w:r>
      <w:r>
        <w:rPr>
          <w:rFonts w:ascii="Arial" w:cs="Arial" w:eastAsia="Arial" w:hAnsi="Arial"/>
          <w:sz w:val="18"/>
          <w:szCs w:val="18"/>
          <w:color w:val="auto"/>
        </w:rPr>
        <w:t xml:space="preserve">, </w:t>
      </w:r>
      <w:r>
        <w:rPr>
          <w:rFonts w:ascii="Arial" w:cs="Arial" w:eastAsia="Arial" w:hAnsi="Arial"/>
          <w:sz w:val="18"/>
          <w:szCs w:val="18"/>
          <w:u w:val="single" w:color="auto"/>
          <w:color w:val="auto"/>
        </w:rPr>
        <w:t>7.12</w:t>
      </w:r>
      <w:r>
        <w:rPr>
          <w:rFonts w:ascii="Arial" w:cs="Arial" w:eastAsia="Arial" w:hAnsi="Arial"/>
          <w:sz w:val="18"/>
          <w:szCs w:val="18"/>
          <w:color w:val="auto"/>
        </w:rPr>
        <w:t xml:space="preserve">, </w:t>
      </w:r>
      <w:r>
        <w:rPr>
          <w:rFonts w:ascii="Arial" w:cs="Arial" w:eastAsia="Arial" w:hAnsi="Arial"/>
          <w:sz w:val="18"/>
          <w:szCs w:val="18"/>
          <w:u w:val="single" w:color="auto"/>
          <w:color w:val="auto"/>
        </w:rPr>
        <w:t>7.14</w:t>
      </w:r>
      <w:r>
        <w:rPr>
          <w:rFonts w:ascii="Arial" w:cs="Arial" w:eastAsia="Arial" w:hAnsi="Arial"/>
          <w:sz w:val="18"/>
          <w:szCs w:val="18"/>
          <w:color w:val="auto"/>
        </w:rPr>
        <w:t xml:space="preserve">, </w:t>
      </w:r>
      <w:r>
        <w:rPr>
          <w:rFonts w:ascii="Arial" w:cs="Arial" w:eastAsia="Arial" w:hAnsi="Arial"/>
          <w:sz w:val="18"/>
          <w:szCs w:val="18"/>
          <w:u w:val="single" w:color="auto"/>
          <w:color w:val="auto"/>
        </w:rPr>
        <w:t>7.15</w:t>
      </w:r>
      <w:r>
        <w:rPr>
          <w:rFonts w:ascii="Arial" w:cs="Arial" w:eastAsia="Arial" w:hAnsi="Arial"/>
          <w:sz w:val="18"/>
          <w:szCs w:val="18"/>
          <w:color w:val="auto"/>
        </w:rPr>
        <w:t xml:space="preserve">, </w:t>
      </w:r>
      <w:r>
        <w:rPr>
          <w:rFonts w:ascii="Arial" w:cs="Arial" w:eastAsia="Arial" w:hAnsi="Arial"/>
          <w:sz w:val="18"/>
          <w:szCs w:val="18"/>
          <w:u w:val="single" w:color="auto"/>
          <w:color w:val="auto"/>
        </w:rPr>
        <w:t>7.16</w:t>
      </w:r>
      <w:r>
        <w:rPr>
          <w:rFonts w:ascii="Arial" w:cs="Arial" w:eastAsia="Arial" w:hAnsi="Arial"/>
          <w:sz w:val="18"/>
          <w:szCs w:val="18"/>
          <w:color w:val="auto"/>
        </w:rPr>
        <w:t xml:space="preserve">, </w:t>
      </w:r>
      <w:r>
        <w:rPr>
          <w:rFonts w:ascii="Arial" w:cs="Arial" w:eastAsia="Arial" w:hAnsi="Arial"/>
          <w:sz w:val="18"/>
          <w:szCs w:val="18"/>
          <w:u w:val="single" w:color="auto"/>
          <w:color w:val="auto"/>
        </w:rPr>
        <w:t>7.17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VIII</w:t>
      </w:r>
      <w:r>
        <w:rPr>
          <w:rFonts w:ascii="Arial" w:cs="Arial" w:eastAsia="Arial" w:hAnsi="Arial"/>
          <w:sz w:val="18"/>
          <w:szCs w:val="18"/>
          <w:color w:val="auto"/>
        </w:rPr>
        <w:t>; or</w:t>
      </w:r>
    </w:p>
    <w:p>
      <w:pPr>
        <w:spacing w:after="0" w:line="211" w:lineRule="exact"/>
        <w:rPr>
          <w:sz w:val="20"/>
          <w:szCs w:val="20"/>
          <w:color w:val="auto"/>
        </w:rPr>
      </w:pPr>
    </w:p>
    <w:p>
      <w:pPr>
        <w:ind w:left="1960" w:hanging="655"/>
        <w:spacing w:after="0"/>
        <w:tabs>
          <w:tab w:leader="none" w:pos="1960"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Other Defaults</w:t>
      </w:r>
      <w:r>
        <w:rPr>
          <w:rFonts w:ascii="Arial" w:cs="Arial" w:eastAsia="Arial" w:hAnsi="Arial"/>
          <w:sz w:val="16"/>
          <w:szCs w:val="16"/>
          <w:color w:val="auto"/>
        </w:rPr>
        <w:t xml:space="preserve">. Any Loan Party fails to perform or observe any other covenant or agreement (not specified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w:t>
      </w:r>
    </w:p>
    <w:p>
      <w:pPr>
        <w:spacing w:after="0" w:line="46" w:lineRule="exact"/>
        <w:rPr>
          <w:rFonts w:ascii="Arial" w:cs="Arial" w:eastAsia="Arial" w:hAnsi="Arial"/>
          <w:sz w:val="16"/>
          <w:szCs w:val="16"/>
          <w:color w:val="auto"/>
        </w:rPr>
      </w:pPr>
    </w:p>
    <w:p>
      <w:pPr>
        <w:jc w:val="both"/>
        <w:ind w:left="660" w:right="20" w:hanging="4"/>
        <w:spacing w:after="0" w:line="255" w:lineRule="auto"/>
        <w:tabs>
          <w:tab w:leader="none" w:pos="915" w:val="left"/>
        </w:tabs>
        <w:numPr>
          <w:ilvl w:val="0"/>
          <w:numId w:val="148"/>
        </w:numPr>
        <w:rPr>
          <w:rFonts w:ascii="Arial" w:cs="Arial" w:eastAsia="Arial" w:hAnsi="Arial"/>
          <w:sz w:val="18"/>
          <w:szCs w:val="18"/>
          <w:u w:val="single" w:color="auto"/>
          <w:color w:val="auto"/>
        </w:rPr>
      </w:pPr>
      <w:r>
        <w:rPr>
          <w:rFonts w:ascii="Arial" w:cs="Arial" w:eastAsia="Arial" w:hAnsi="Arial"/>
          <w:sz w:val="18"/>
          <w:szCs w:val="18"/>
          <w:color w:val="auto"/>
        </w:rPr>
        <w:t>above) contained in any Loan Document on its part to be performed or observed and such failure continues for thirty (30) days after the earlier of the date on which (i) a Responsible Officer of the Borrower becomes aware of such failure and (ii) written notice thereof shall have been given to the Borrower by the Administrative Agent or any Lender; or</w:t>
      </w:r>
    </w:p>
    <w:p>
      <w:pPr>
        <w:spacing w:after="0" w:line="190" w:lineRule="exact"/>
        <w:rPr>
          <w:rFonts w:ascii="Arial" w:cs="Arial" w:eastAsia="Arial" w:hAnsi="Arial"/>
          <w:sz w:val="18"/>
          <w:szCs w:val="18"/>
          <w:u w:val="single" w:color="auto"/>
          <w:color w:val="auto"/>
        </w:rPr>
      </w:pPr>
    </w:p>
    <w:p>
      <w:pPr>
        <w:ind w:left="660" w:right="240" w:firstLine="645"/>
        <w:spacing w:after="0" w:line="264" w:lineRule="auto"/>
        <w:tabs>
          <w:tab w:leader="none" w:pos="1964"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when made or deemed made; or</w:t>
      </w:r>
    </w:p>
    <w:p>
      <w:pPr>
        <w:spacing w:after="0" w:line="181" w:lineRule="exact"/>
        <w:rPr>
          <w:rFonts w:ascii="Arial" w:cs="Arial" w:eastAsia="Arial" w:hAnsi="Arial"/>
          <w:sz w:val="18"/>
          <w:szCs w:val="18"/>
          <w:color w:val="auto"/>
        </w:rPr>
      </w:pPr>
    </w:p>
    <w:p>
      <w:pPr>
        <w:ind w:left="660" w:firstLine="645"/>
        <w:spacing w:after="0" w:line="286" w:lineRule="auto"/>
        <w:tabs>
          <w:tab w:leader="none" w:pos="1967"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Any Loan Party or any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the Swap Termination Value owed by the Borrower or such Subsidiary as a result thereof is greater than the Threshold Amount; or</w:t>
      </w:r>
    </w:p>
    <w:p>
      <w:pPr>
        <w:spacing w:after="0" w:line="171" w:lineRule="exact"/>
        <w:rPr>
          <w:rFonts w:ascii="Arial" w:cs="Arial" w:eastAsia="Arial" w:hAnsi="Arial"/>
          <w:sz w:val="16"/>
          <w:szCs w:val="16"/>
          <w:color w:val="auto"/>
        </w:rPr>
      </w:pPr>
    </w:p>
    <w:p>
      <w:pPr>
        <w:ind w:left="660" w:right="180" w:firstLine="645"/>
        <w:spacing w:after="0" w:line="277" w:lineRule="auto"/>
        <w:tabs>
          <w:tab w:leader="none" w:pos="1961"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Any Loan Party or any of its Subsidiaries institutes or consents to the institution of any proceeding under any Debtor Relief Law, or makes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55" w:lineRule="auto"/>
        <w:rPr>
          <w:sz w:val="20"/>
          <w:szCs w:val="20"/>
          <w:color w:val="auto"/>
        </w:rPr>
      </w:pPr>
      <w:r>
        <w:rPr>
          <w:rFonts w:ascii="Arial" w:cs="Arial" w:eastAsia="Arial" w:hAnsi="Arial"/>
          <w:sz w:val="18"/>
          <w:szCs w:val="18"/>
          <w:color w:val="auto"/>
        </w:rPr>
        <w:t>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93" w:lineRule="exact"/>
        <w:rPr>
          <w:sz w:val="20"/>
          <w:szCs w:val="20"/>
          <w:color w:val="auto"/>
        </w:rPr>
      </w:pPr>
    </w:p>
    <w:p>
      <w:pPr>
        <w:ind w:left="660" w:right="20" w:firstLine="645"/>
        <w:spacing w:after="0" w:line="259" w:lineRule="auto"/>
        <w:tabs>
          <w:tab w:leader="none" w:pos="1977"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Loan Party or any of its Subsidiaries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spacing w:after="0" w:line="186" w:lineRule="exact"/>
        <w:rPr>
          <w:rFonts w:ascii="Arial" w:cs="Arial" w:eastAsia="Arial" w:hAnsi="Arial"/>
          <w:sz w:val="18"/>
          <w:szCs w:val="18"/>
          <w:color w:val="auto"/>
        </w:rPr>
      </w:pPr>
    </w:p>
    <w:p>
      <w:pPr>
        <w:ind w:left="660" w:right="20" w:firstLine="645"/>
        <w:spacing w:after="0" w:line="255" w:lineRule="auto"/>
        <w:tabs>
          <w:tab w:leader="none" w:pos="196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Subsidiary (i) one or more final judgments or orders for the payment of money in an aggregate amount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p>
      <w:pPr>
        <w:sectPr>
          <w:pgSz w:w="11900" w:h="16838" w:orient="portrait"/>
          <w:cols w:equalWidth="0" w:num="1">
            <w:col w:w="11420"/>
          </w:cols>
          <w:pgMar w:left="240" w:top="125" w:right="239" w:bottom="0" w:gutter="0" w:footer="0" w:header="0"/>
        </w:sectPr>
      </w:pPr>
    </w:p>
    <w:bookmarkStart w:id="84" w:name="page85"/>
    <w:bookmarkEnd w:id="84"/>
    <w:p>
      <w:pPr>
        <w:spacing w:after="0" w:line="137" w:lineRule="exact"/>
        <w:rPr>
          <w:sz w:val="20"/>
          <w:szCs w:val="20"/>
          <w:color w:val="auto"/>
        </w:rPr>
      </w:pPr>
    </w:p>
    <w:p>
      <w:pPr>
        <w:ind w:left="660" w:right="40" w:firstLine="645"/>
        <w:spacing w:after="0" w:line="291" w:lineRule="auto"/>
        <w:tabs>
          <w:tab w:leader="none" w:pos="1978"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 An ERISA Event occurs with respect to a Pension Plan which has resulted or could reasonably be expected to result in liability of any Loan Party under Title IV of ERISA to the Pension Plan or the PBGC in an aggregate amount in excess of the Threshold Amount or</w:t>
      </w:r>
    </w:p>
    <w:p>
      <w:pPr>
        <w:ind w:left="660" w:right="340" w:hanging="4"/>
        <w:spacing w:after="0" w:line="255" w:lineRule="auto"/>
        <w:tabs>
          <w:tab w:leader="none" w:pos="92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90" w:lineRule="exact"/>
        <w:rPr>
          <w:sz w:val="20"/>
          <w:szCs w:val="20"/>
          <w:color w:val="auto"/>
        </w:rPr>
      </w:pPr>
    </w:p>
    <w:p>
      <w:pPr>
        <w:jc w:val="both"/>
        <w:ind w:left="660" w:firstLine="645"/>
        <w:spacing w:after="0" w:line="259" w:lineRule="auto"/>
        <w:tabs>
          <w:tab w:leader="none" w:pos="196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at any time after its execution and delivery and for any reason other than as expressly permitted hereunder or thereunder, ceases to be in full force and effect; or any Loan Party or any other Person contests in any manner the validity or enforceability of any Loan Document; or any Loan Party denies that it has any or further liability or obligation under any Loan Document, or purports to revoke, terminate or rescind any Loan Document; or</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ind w:left="660" w:right="20" w:firstLine="645"/>
        <w:spacing w:after="0" w:line="257" w:lineRule="auto"/>
        <w:tabs>
          <w:tab w:leader="none" w:pos="1978"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Invalidity of Subordination Provisions</w:t>
      </w:r>
      <w:r>
        <w:rPr>
          <w:rFonts w:ascii="Arial" w:cs="Arial" w:eastAsia="Arial" w:hAnsi="Arial"/>
          <w:sz w:val="18"/>
          <w:szCs w:val="18"/>
          <w:color w:val="auto"/>
        </w:rPr>
        <w:t>. Any subordination provision in any document or instrument governing Indebtedness that is purported to be subordinated to the Obligations or any subordination provision in any subordination agreement that relates to any Indebtedness that is to be subordinated to the Obligations, or any subordination provision in any guaranty by any Loan Party of any such Indebtedness, shall cease to be in full force and effect, or any Person (including the holder of any such Indebtedness) shall contest in any manner the validity, binding nature or enforceability of any such provision;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20" w:firstLine="645"/>
        <w:spacing w:after="0" w:line="277" w:lineRule="auto"/>
        <w:tabs>
          <w:tab w:leader="none" w:pos="196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Permitted Senior Revolving Credit Indebtedness</w:t>
      </w:r>
      <w:r>
        <w:rPr>
          <w:rFonts w:ascii="Arial" w:cs="Arial" w:eastAsia="Arial" w:hAnsi="Arial"/>
          <w:sz w:val="18"/>
          <w:szCs w:val="18"/>
          <w:color w:val="auto"/>
        </w:rPr>
        <w:t>. There occurs an “Event of Default” (or any comparable term) under, and as defined in, any Permitted Senior Revolving Credit Document; or</w:t>
      </w:r>
    </w:p>
    <w:p>
      <w:pPr>
        <w:spacing w:after="0" w:line="170"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Qualified Subordinated Debt</w:t>
      </w:r>
      <w:r>
        <w:rPr>
          <w:rFonts w:ascii="Arial" w:cs="Arial" w:eastAsia="Arial" w:hAnsi="Arial"/>
          <w:sz w:val="18"/>
          <w:szCs w:val="18"/>
          <w:color w:val="auto"/>
        </w:rPr>
        <w:t>. There shall occur an “Event of Default” (or any comparable term) under, and as defined in, any Qualified Subordinated Debt Document.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6"/>
          <w:szCs w:val="16"/>
          <w:u w:val="single" w:color="auto"/>
          <w:color w:val="auto"/>
        </w:rPr>
        <w:t>Remedies Upon Event of Default.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 Required Lenders, take any or all of the following actions:</w:t>
      </w:r>
    </w:p>
    <w:p>
      <w:pPr>
        <w:spacing w:after="0" w:line="170" w:lineRule="exact"/>
        <w:rPr>
          <w:sz w:val="20"/>
          <w:szCs w:val="20"/>
          <w:color w:val="auto"/>
        </w:rPr>
      </w:pPr>
    </w:p>
    <w:p>
      <w:pPr>
        <w:ind w:left="1940" w:hanging="635"/>
        <w:spacing w:after="0"/>
        <w:tabs>
          <w:tab w:leader="none" w:pos="19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declare the commitment of each Lender to make Loans to be terminated, whereupon such commitments and obligation shall be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terminated;</w:t>
      </w:r>
    </w:p>
    <w:p>
      <w:pPr>
        <w:spacing w:after="0" w:line="210" w:lineRule="exact"/>
        <w:rPr>
          <w:rFonts w:ascii="Arial" w:cs="Arial" w:eastAsia="Arial" w:hAnsi="Arial"/>
          <w:sz w:val="16"/>
          <w:szCs w:val="16"/>
          <w:color w:val="auto"/>
        </w:rPr>
      </w:pPr>
    </w:p>
    <w:p>
      <w:pPr>
        <w:ind w:left="660" w:right="20" w:firstLine="645"/>
        <w:spacing w:after="0" w:line="264" w:lineRule="auto"/>
        <w:tabs>
          <w:tab w:leader="none" w:pos="196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exercise on behalf of itself and the Lenders all rights and remedies available to it and the Lenders under the Loan Documents;</w:t>
      </w:r>
    </w:p>
    <w:p>
      <w:pPr>
        <w:spacing w:after="0" w:line="2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upon the occurrence of an actual or deemed entry of an order for relief with respect to the Borrower under the Bankruptcy Code of the United States, the obligation of each Lender to make Loans shall automatically terminate, the unpaid principal amount of all outstanding Loans and all interest and other amounts as aforesaid shall automatically become due and payable, in each case without further act of the Administrative Agent or any Lender.</w:t>
      </w:r>
    </w:p>
    <w:p>
      <w:pPr>
        <w:spacing w:after="0" w:line="18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If the Obligations are accelerated for any reason, the prepayment premium required by </w:t>
      </w: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will also be due and payable as though such Obligations were voluntarily prepaid and any discount on the Loans shall be deemed earned in full and, in each case, shall constitute part of the Obligations, in view of the impracticability and extreme difficulty of ascertaining actual damages and by mutual agreement of the parties as to a reasonable calculation of each Lender’s lost profits as a result thereof. Any prepayment premium required by </w:t>
      </w: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payable pursuant to the preceding sentence shall be presumed to be the liquidated damages sustained by each Lender as the result of the early termination and the Borrower agrees that it is reasonable under the circumstances currently existing. The prepayment premium required by </w:t>
      </w: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shall also be payable and any discount on the Loans shall be deemed earned in full, in each case, in the event that the Obligations (and/or this Agreement) are satisfied or released by foreclosure (whether by power of judicial proceeding), deed in lieu of foreclosure or by any other means. TO THE EXTENT PERMITTED BY APPLICABLE LAW, THE BORROWER EXPRESSLY WAIVES THE PROVISIONS OF ANY PRESENT OR FUTURE STATUTE OR LAW THAT PROHIBITS OR MAY PROHIBIT THE COLLECTION OF THE FOREGOING PREPAYMENT PREMIUM AND ANY DISCOUNT ON THE LOANS IN CONNECTION WITH ANY SUCH ACCELERATION. The Borrower expressly agrees that (i) the prepayment premium required by </w:t>
      </w: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and any discount on the Loans provided for herein is reasonable and is the product of an arm’s length transaction between sophisticated business people, ably represented by counsel, (ii) the prepayment premium required by </w:t>
      </w: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and any discount on the Loans shall be payable notwithstanding the then prevailing market rates at the time payment is made, (iii) there has been a course of conduct between the Lenders and the Borrower giving specific consideration in this transaction for such agreement to pay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prepayment premium required by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and any discount on the Loans and (iv) the Borrower shall be estopped hereafter from claiming differently than as agreed to in this paragraph. The Borrower expressly acknowledges that its agreement to pay the prepayment premium required by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and any discount on the Loans to the Lenders as herein described is a material inducement to the Lenders to make the Loans hereunder.</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6"/>
          <w:szCs w:val="16"/>
          <w:u w:val="single" w:color="auto"/>
          <w:color w:val="auto"/>
        </w:rPr>
        <w:t>Application of Funds.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After the exercise of remedies provided for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after the Loans have automatically become immediately due and payable as set forth in the proviso to </w:t>
      </w:r>
      <w:r>
        <w:rPr>
          <w:rFonts w:ascii="Arial" w:cs="Arial" w:eastAsia="Arial" w:hAnsi="Arial"/>
          <w:sz w:val="16"/>
          <w:szCs w:val="16"/>
          <w:u w:val="single" w:color="auto"/>
          <w:color w:val="auto"/>
        </w:rPr>
        <w:t>Section 9.02</w:t>
      </w:r>
      <w:r>
        <w:rPr>
          <w:rFonts w:ascii="Arial" w:cs="Arial" w:eastAsia="Arial" w:hAnsi="Arial"/>
          <w:sz w:val="16"/>
          <w:szCs w:val="16"/>
          <w:color w:val="auto"/>
        </w:rPr>
        <w:t>), any amounts received by any Lender or the Administrative Agent on account of the Obligations shall be applied by the</w:t>
      </w:r>
    </w:p>
    <w:p>
      <w:pPr>
        <w:sectPr>
          <w:pgSz w:w="11900" w:h="16975" w:orient="portrait"/>
          <w:cols w:equalWidth="0" w:num="1">
            <w:col w:w="11420"/>
          </w:cols>
          <w:pgMar w:left="240" w:top="125" w:right="239" w:bottom="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Administrative Agent in the following order:</w:t>
      </w:r>
    </w:p>
    <w:p>
      <w:pPr>
        <w:spacing w:after="0" w:line="225" w:lineRule="exact"/>
        <w:rPr>
          <w:sz w:val="20"/>
          <w:szCs w:val="20"/>
          <w:color w:val="auto"/>
        </w:rPr>
      </w:pPr>
    </w:p>
    <w:p>
      <w:pPr>
        <w:jc w:val="both"/>
        <w:ind w:left="660" w:right="120" w:firstLine="648"/>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181" w:lineRule="exact"/>
        <w:rPr>
          <w:sz w:val="20"/>
          <w:szCs w:val="20"/>
          <w:color w:val="auto"/>
        </w:rPr>
      </w:pPr>
    </w:p>
    <w:p>
      <w:pPr>
        <w:ind w:left="660" w:right="260" w:firstLine="648"/>
        <w:spacing w:after="0" w:line="312"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and interest) payable to the Lenders (including fees, charges and disbursements of counsel to the respective Lenders) arising under the Loan Documents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clause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payable to them;</w:t>
      </w:r>
    </w:p>
    <w:p>
      <w:pPr>
        <w:spacing w:after="0" w:line="147" w:lineRule="exact"/>
        <w:rPr>
          <w:sz w:val="20"/>
          <w:szCs w:val="20"/>
          <w:color w:val="auto"/>
        </w:rPr>
      </w:pPr>
    </w:p>
    <w:p>
      <w:pPr>
        <w:ind w:left="660" w:right="240" w:firstLine="648"/>
        <w:spacing w:after="0" w:line="308"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Obligations constituting accrued and unpaid interest on and prepayment premium with respect to the Loans, ratably among the Lenders in proportion to the respective amounts described in this clause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held by them;</w:t>
      </w:r>
    </w:p>
    <w:p>
      <w:pPr>
        <w:spacing w:after="0" w:line="147" w:lineRule="exact"/>
        <w:rPr>
          <w:sz w:val="20"/>
          <w:szCs w:val="20"/>
          <w:color w:val="auto"/>
        </w:rPr>
      </w:pPr>
    </w:p>
    <w:p>
      <w:pPr>
        <w:ind w:left="660" w:right="320"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accrued and unpaid principal of the Loans, ratably among the Secured Parties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the Borrower or as otherwise required by Law.</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ADMINISTRATIVE AGENT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10.01</w:t>
      </w:r>
      <w:r>
        <w:rPr>
          <w:sz w:val="20"/>
          <w:szCs w:val="20"/>
          <w:color w:val="auto"/>
        </w:rPr>
        <w:tab/>
      </w:r>
      <w:r>
        <w:rPr>
          <w:rFonts w:ascii="Arial" w:cs="Arial" w:eastAsia="Arial" w:hAnsi="Arial"/>
          <w:sz w:val="16"/>
          <w:szCs w:val="16"/>
          <w:u w:val="single" w:color="auto"/>
          <w:color w:val="auto"/>
        </w:rPr>
        <w:t>Appointment and Authority.</w:t>
      </w:r>
    </w:p>
    <w:p>
      <w:pPr>
        <w:spacing w:after="0" w:line="225" w:lineRule="exact"/>
        <w:rPr>
          <w:sz w:val="20"/>
          <w:szCs w:val="20"/>
          <w:color w:val="auto"/>
        </w:rPr>
      </w:pPr>
    </w:p>
    <w:p>
      <w:pPr>
        <w:ind w:left="660" w:right="40" w:firstLine="645"/>
        <w:spacing w:after="0" w:line="272" w:lineRule="auto"/>
        <w:tabs>
          <w:tab w:leader="none" w:pos="195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Each of the Lenders hereby irrevocably appoints Visium Healthcare Partners, LP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incidental thereto. The provisions of this Article are solely for the benefit of the Administrative Agent and the Lenders,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Law. Instead such term is used as a matter of market custom, and is intended to create or reflect only an administrative relationship between contracting parties.</w:t>
      </w:r>
    </w:p>
    <w:p>
      <w:pPr>
        <w:spacing w:after="0" w:line="170" w:lineRule="exact"/>
        <w:rPr>
          <w:sz w:val="20"/>
          <w:szCs w:val="20"/>
          <w:color w:val="auto"/>
        </w:rPr>
      </w:pPr>
    </w:p>
    <w:p>
      <w:pPr>
        <w:ind w:left="660" w:firstLine="645"/>
        <w:spacing w:after="0" w:line="290" w:lineRule="auto"/>
        <w:tabs>
          <w:tab w:leader="none" w:pos="196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incidental thereto. In this connection, the Administrative Agent, as “collateral agent” and any co-agents, sub-agents and attorneys-in-fact appointed by the Administrative Agent pursuant to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11.04(c)</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5"/>
          <w:szCs w:val="15"/>
          <w:u w:val="single" w:color="auto"/>
          <w:color w:val="auto"/>
        </w:rPr>
        <w:t>Rights as a Lender.</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10.03</w:t>
      </w:r>
      <w:r>
        <w:rPr>
          <w:sz w:val="20"/>
          <w:szCs w:val="20"/>
          <w:color w:val="auto"/>
        </w:rPr>
        <w:tab/>
      </w:r>
      <w:r>
        <w:rPr>
          <w:rFonts w:ascii="Arial" w:cs="Arial" w:eastAsia="Arial" w:hAnsi="Arial"/>
          <w:sz w:val="16"/>
          <w:szCs w:val="16"/>
          <w:u w:val="single" w:color="auto"/>
          <w:color w:val="auto"/>
        </w:rPr>
        <w:t>Exculpatory Provisions.</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47" w:lineRule="exact"/>
        <w:rPr>
          <w:sz w:val="20"/>
          <w:szCs w:val="20"/>
          <w:color w:val="auto"/>
        </w:rPr>
      </w:pPr>
    </w:p>
    <w:p>
      <w:pPr>
        <w:ind w:left="1940" w:hanging="635"/>
        <w:spacing w:after="0"/>
        <w:tabs>
          <w:tab w:leader="none" w:pos="19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236" w:lineRule="exact"/>
        <w:rPr>
          <w:rFonts w:ascii="Arial" w:cs="Arial" w:eastAsia="Arial" w:hAnsi="Arial"/>
          <w:sz w:val="17"/>
          <w:szCs w:val="17"/>
          <w:color w:val="auto"/>
        </w:rPr>
      </w:pPr>
    </w:p>
    <w:p>
      <w:pPr>
        <w:ind w:left="660" w:right="180" w:firstLine="645"/>
        <w:spacing w:after="0" w:line="272" w:lineRule="auto"/>
        <w:tabs>
          <w:tab w:leader="none" w:pos="196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177" w:lineRule="exact"/>
        <w:rPr>
          <w:rFonts w:ascii="Arial" w:cs="Arial" w:eastAsia="Arial" w:hAnsi="Arial"/>
          <w:sz w:val="17"/>
          <w:szCs w:val="17"/>
          <w:color w:val="auto"/>
        </w:rPr>
      </w:pPr>
    </w:p>
    <w:p>
      <w:pPr>
        <w:ind w:left="660" w:right="180" w:firstLine="645"/>
        <w:spacing w:after="0" w:line="277" w:lineRule="auto"/>
        <w:tabs>
          <w:tab w:leader="none" w:pos="196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00"/>
          </w:cols>
          <w:pgMar w:left="240" w:top="125" w:right="259" w:bottom="0" w:gutter="0" w:footer="0" w:header="0"/>
          <w:type w:val="continuous"/>
        </w:sectPr>
      </w:pPr>
    </w:p>
    <w:bookmarkStart w:id="86" w:name="page87"/>
    <w:bookmarkEnd w:id="86"/>
    <w:p>
      <w:pPr>
        <w:ind w:left="66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relating to any Loan Party or any of its Affiliates that is communicated to or obtained by the Person serving as the Administrative Agent or any of its Affiliates in any capacity.</w:t>
      </w:r>
    </w:p>
    <w:p>
      <w:pPr>
        <w:spacing w:after="0" w:line="170"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9.02</w:t>
      </w:r>
      <w:r>
        <w:rPr>
          <w:rFonts w:ascii="Arial" w:cs="Arial" w:eastAsia="Arial" w:hAnsi="Arial"/>
          <w:sz w:val="16"/>
          <w:szCs w:val="16"/>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6"/>
          <w:szCs w:val="16"/>
          <w:u w:val="single" w:color="auto"/>
          <w:color w:val="auto"/>
        </w:rPr>
        <w:t>Reliance by Administrative Agent.</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10.05</w:t>
      </w:r>
      <w:r>
        <w:rPr>
          <w:sz w:val="20"/>
          <w:szCs w:val="20"/>
          <w:color w:val="auto"/>
        </w:rPr>
        <w:tab/>
      </w:r>
      <w:r>
        <w:rPr>
          <w:rFonts w:ascii="Arial" w:cs="Arial" w:eastAsia="Arial" w:hAnsi="Arial"/>
          <w:sz w:val="16"/>
          <w:szCs w:val="16"/>
          <w:u w:val="single" w:color="auto"/>
          <w:color w:val="auto"/>
        </w:rPr>
        <w:t>Delegation of Duties.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10.06</w:t>
      </w:r>
      <w:r>
        <w:rPr>
          <w:sz w:val="20"/>
          <w:szCs w:val="20"/>
          <w:color w:val="auto"/>
        </w:rPr>
        <w:tab/>
      </w:r>
      <w:r>
        <w:rPr>
          <w:rFonts w:ascii="Arial" w:cs="Arial" w:eastAsia="Arial" w:hAnsi="Arial"/>
          <w:sz w:val="16"/>
          <w:szCs w:val="16"/>
          <w:u w:val="single" w:color="auto"/>
          <w:color w:val="auto"/>
        </w:rPr>
        <w:t>Resignation of Administrative Agent.</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The Administrative Agent may resign as Administrative Agent at any time by giving thirty (30) days advance notice thereof to the Lenders and the Borrower and, thereafter, the retiring Administrative Agent shall be discharged from its duties and obligations hereunder. Upon any such resignation, the Required Lenders shall have the right, subject to the approval of the Borrower (so long as no Event of Default has occurred and is continuing; such approval not to be unreasonably withheld), to appoint a successor Administrative Agent. If no successor Administrative Agent shall have been so appointed by the Required Lenders, been approved (so long as no Event of Default has occurred and is continuing) by the Borrower or have accepted such appointment within thirty (30) days after the Administrative Agent’s giving of notice of resignation, then the Administrative Agent may, on behalf of the Lenders, appoint a successor Administrative Agent reasonably acceptable to the Borrower (so long as no Default or Event of Default has occurred and is continuing). Upon the acceptance of any appointment as Administrative Agent hereunder by a successor Administrative Agent, such successor Administrative Agent shall thereupon succeed to and become vested with all rights, powers, privileges and duties of the retiring Administrative Agent. After any retiring Administrative Agent’s resignation hereunder as Administrative Agent, the provisions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shall continue in effect for its benefit in respect of any actions taken or omitted to be taken by it while it was acting as Administrative Agent. If no successor has accepted appointment as Administrative Agent by the date which is thirty (30) days following a retiring Administrative Agent’s notice of resignation, the retiring Administrative Agent’s resignation shall nevertheless thereupon become effective and the Required Lenders shall perform all of the duties of the Administrative Agent hereunder until such time, if any, as the Required Lenders appoint a successor agent as provided for above.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10.07</w:t>
      </w:r>
      <w:r>
        <w:rPr>
          <w:sz w:val="20"/>
          <w:szCs w:val="20"/>
          <w:color w:val="auto"/>
        </w:rPr>
        <w:tab/>
      </w:r>
      <w:r>
        <w:rPr>
          <w:rFonts w:ascii="Arial" w:cs="Arial" w:eastAsia="Arial" w:hAnsi="Arial"/>
          <w:sz w:val="16"/>
          <w:szCs w:val="16"/>
          <w:u w:val="single" w:color="auto"/>
          <w:color w:val="auto"/>
        </w:rPr>
        <w:t>Non-Reliance on Administrative Agent and Other Lenders.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10.08</w:t>
      </w:r>
      <w:r>
        <w:rPr>
          <w:sz w:val="20"/>
          <w:szCs w:val="20"/>
          <w:color w:val="auto"/>
        </w:rPr>
        <w:tab/>
      </w:r>
      <w:r>
        <w:rPr>
          <w:rFonts w:ascii="Arial" w:cs="Arial" w:eastAsia="Arial" w:hAnsi="Arial"/>
          <w:sz w:val="16"/>
          <w:szCs w:val="16"/>
          <w:u w:val="single" w:color="auto"/>
          <w:color w:val="auto"/>
        </w:rPr>
        <w:t>Administrative Agent May File Proofs of Claim.</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ectPr>
          <w:pgSz w:w="11900" w:h="16838" w:orient="portrait"/>
          <w:cols w:equalWidth="0" w:num="1">
            <w:col w:w="11420"/>
          </w:cols>
          <w:pgMar w:left="240" w:top="733" w:right="239" w:bottom="0" w:gutter="0" w:footer="0" w:header="0"/>
        </w:sectPr>
      </w:pPr>
    </w:p>
    <w:bookmarkStart w:id="87" w:name="page88"/>
    <w:bookmarkEnd w:id="87"/>
    <w:p>
      <w:pPr>
        <w:spacing w:after="0" w:line="137" w:lineRule="exact"/>
        <w:rPr>
          <w:sz w:val="20"/>
          <w:szCs w:val="20"/>
          <w:color w:val="auto"/>
        </w:rPr>
      </w:pPr>
    </w:p>
    <w:p>
      <w:pPr>
        <w:ind w:left="660" w:right="140" w:firstLine="645"/>
        <w:spacing w:after="0" w:line="257" w:lineRule="auto"/>
        <w:tabs>
          <w:tab w:leader="none" w:pos="195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 11.04</w:t>
      </w:r>
      <w:r>
        <w:rPr>
          <w:rFonts w:ascii="Arial" w:cs="Arial" w:eastAsia="Arial" w:hAnsi="Arial"/>
          <w:sz w:val="18"/>
          <w:szCs w:val="18"/>
          <w:color w:val="auto"/>
        </w:rPr>
        <w:t>) allowed in such judicial proceeding;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6"/>
          <w:szCs w:val="16"/>
          <w:u w:val="single" w:color="auto"/>
          <w:color w:val="auto"/>
        </w:rPr>
        <w:t>Sections 11.04</w:t>
      </w:r>
      <w:r>
        <w:rPr>
          <w:rFonts w:ascii="Arial" w:cs="Arial" w:eastAsia="Arial" w:hAnsi="Arial"/>
          <w:sz w:val="16"/>
          <w:szCs w:val="16"/>
          <w:color w:val="auto"/>
        </w:rPr>
        <w:t>.</w:t>
      </w:r>
    </w:p>
    <w:p>
      <w:pPr>
        <w:spacing w:after="0" w:line="154"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10.09</w:t>
      </w:r>
      <w:r>
        <w:rPr>
          <w:sz w:val="20"/>
          <w:szCs w:val="20"/>
          <w:color w:val="auto"/>
        </w:rPr>
        <w:tab/>
      </w:r>
      <w:r>
        <w:rPr>
          <w:rFonts w:ascii="Arial" w:cs="Arial" w:eastAsia="Arial" w:hAnsi="Arial"/>
          <w:sz w:val="16"/>
          <w:szCs w:val="16"/>
          <w:u w:val="single" w:color="auto"/>
          <w:color w:val="auto"/>
        </w:rPr>
        <w:t>Collateral and Guaranty Matters.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Lenders irrevocably authorize the Administrative Agent, at its option and in its discretion,</w:t>
      </w:r>
    </w:p>
    <w:p>
      <w:pPr>
        <w:spacing w:after="0" w:line="225" w:lineRule="exact"/>
        <w:rPr>
          <w:sz w:val="20"/>
          <w:szCs w:val="20"/>
          <w:color w:val="auto"/>
        </w:rPr>
      </w:pPr>
    </w:p>
    <w:p>
      <w:pPr>
        <w:ind w:left="660" w:right="60" w:firstLine="645"/>
        <w:spacing w:after="0" w:line="257" w:lineRule="auto"/>
        <w:tabs>
          <w:tab w:leader="none" w:pos="195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to release any Lien on any Collateral granted to or held by the Administrative Agent under any Loan Document (i) upon termination of all unused Commitments and payment in full of all Obligations (other than contingent indemnification obligations for which no claim has been asserted), (ii) that is sold or otherwise disposed of or to be sold or otherwise disposed of as part of or in connection with any sale or other Disposition permitted hereunder or under any other Loan Document or any Involuntary Disposition or (iii) as approved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40" w:firstLine="645"/>
        <w:spacing w:after="0" w:line="277" w:lineRule="auto"/>
        <w:tabs>
          <w:tab w:leader="none" w:pos="196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8.01(i)</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right="800" w:firstLine="645"/>
        <w:spacing w:after="0" w:line="277" w:lineRule="auto"/>
        <w:tabs>
          <w:tab w:leader="none" w:pos="196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if such Person ceases to be a Subsidiary as a result of a transaction permitted under the Loan Documents.</w:t>
      </w:r>
    </w:p>
    <w:p>
      <w:pPr>
        <w:spacing w:after="0" w:line="17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181"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6"/>
          <w:szCs w:val="16"/>
          <w:u w:val="single" w:color="auto"/>
          <w:color w:val="auto"/>
        </w:rPr>
        <w:t>Amendments, Etc.</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w:t>
      </w:r>
    </w:p>
    <w:p>
      <w:pPr>
        <w:spacing w:after="0" w:line="187" w:lineRule="exact"/>
        <w:rPr>
          <w:sz w:val="20"/>
          <w:szCs w:val="20"/>
          <w:color w:val="auto"/>
        </w:rPr>
      </w:pPr>
    </w:p>
    <w:p>
      <w:pPr>
        <w:ind w:left="1940" w:hanging="635"/>
        <w:spacing w:after="0"/>
        <w:tabs>
          <w:tab w:leader="none" w:pos="19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such amendment, waiver or consent shall:</w:t>
      </w:r>
    </w:p>
    <w:p>
      <w:pPr>
        <w:spacing w:after="0" w:line="225" w:lineRule="exact"/>
        <w:rPr>
          <w:rFonts w:ascii="Arial" w:cs="Arial" w:eastAsia="Arial" w:hAnsi="Arial"/>
          <w:sz w:val="18"/>
          <w:szCs w:val="18"/>
          <w:color w:val="auto"/>
        </w:rPr>
      </w:pPr>
    </w:p>
    <w:p>
      <w:pPr>
        <w:ind w:left="1220" w:right="80" w:firstLine="652"/>
        <w:spacing w:after="0" w:line="259" w:lineRule="auto"/>
        <w:tabs>
          <w:tab w:leader="none" w:pos="2619"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 Lender (or reinstate any Commitment terminated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without the written consent of such Lender whose Commitment is being extended or increased (it being understood and agreed that a waiver of any condition precedent set forth in </w:t>
      </w:r>
      <w:r>
        <w:rPr>
          <w:rFonts w:ascii="Arial" w:cs="Arial" w:eastAsia="Arial" w:hAnsi="Arial"/>
          <w:sz w:val="18"/>
          <w:szCs w:val="18"/>
          <w:u w:val="single" w:color="auto"/>
          <w:color w:val="auto"/>
        </w:rPr>
        <w:t>Sections 5.03</w:t>
      </w:r>
      <w:r>
        <w:rPr>
          <w:rFonts w:ascii="Arial" w:cs="Arial" w:eastAsia="Arial" w:hAnsi="Arial"/>
          <w:sz w:val="18"/>
          <w:szCs w:val="18"/>
          <w:color w:val="auto"/>
        </w:rPr>
        <w:t xml:space="preserve"> or of any Default or a mandatory reduction in Commitments is not considered an extension or increase in Commitments of any Lender);</w:t>
      </w:r>
    </w:p>
    <w:p>
      <w:pPr>
        <w:spacing w:after="0" w:line="186" w:lineRule="exact"/>
        <w:rPr>
          <w:rFonts w:ascii="Arial" w:cs="Arial" w:eastAsia="Arial" w:hAnsi="Arial"/>
          <w:sz w:val="18"/>
          <w:szCs w:val="18"/>
          <w:color w:val="auto"/>
        </w:rPr>
      </w:pPr>
    </w:p>
    <w:p>
      <w:pPr>
        <w:ind w:left="1220" w:right="120" w:firstLine="652"/>
        <w:spacing w:after="0" w:line="259" w:lineRule="auto"/>
        <w:tabs>
          <w:tab w:leader="none" w:pos="262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of principal (excluding mandatory prepayments), interest, prepayment premiums, fees or other amounts due to the Lenders (or any of them) or any scheduled or mandatory reduction of the Commitments hereunder or under any other Loan Document without the written consent of each Lender entitled to receive such payment or whose Commitments are to be reduced;</w:t>
      </w:r>
    </w:p>
    <w:p>
      <w:pPr>
        <w:spacing w:after="0" w:line="186" w:lineRule="exact"/>
        <w:rPr>
          <w:rFonts w:ascii="Arial" w:cs="Arial" w:eastAsia="Arial" w:hAnsi="Arial"/>
          <w:sz w:val="18"/>
          <w:szCs w:val="18"/>
          <w:color w:val="auto"/>
        </w:rPr>
      </w:pPr>
    </w:p>
    <w:p>
      <w:pPr>
        <w:ind w:left="1220" w:right="120" w:firstLine="652"/>
        <w:spacing w:after="0" w:line="342" w:lineRule="auto"/>
        <w:tabs>
          <w:tab w:leader="none" w:pos="2638" w:val="left"/>
        </w:tabs>
        <w:numPr>
          <w:ilvl w:val="1"/>
          <w:numId w:val="161"/>
        </w:numPr>
        <w:rPr>
          <w:rFonts w:ascii="Arial" w:cs="Arial" w:eastAsia="Arial" w:hAnsi="Arial"/>
          <w:sz w:val="16"/>
          <w:szCs w:val="16"/>
          <w:color w:val="auto"/>
        </w:rPr>
      </w:pPr>
      <w:r>
        <w:rPr>
          <w:rFonts w:ascii="Arial" w:cs="Arial" w:eastAsia="Arial" w:hAnsi="Arial"/>
          <w:sz w:val="16"/>
          <w:szCs w:val="16"/>
          <w:color w:val="auto"/>
        </w:rPr>
        <w:t>reduce the principal of, the rate of interest specified herein on or the prepayment premium specified herein on any Loan, or any fees or other amounts payable hereunder or under any other Loan Document without the written consent of each Lender entitled to</w:t>
      </w:r>
    </w:p>
    <w:p>
      <w:pPr>
        <w:sectPr>
          <w:pgSz w:w="11900" w:h="16975" w:orient="portrait"/>
          <w:cols w:equalWidth="0" w:num="1">
            <w:col w:w="11420"/>
          </w:cols>
          <w:pgMar w:left="240" w:top="341" w:right="239" w:bottom="0" w:gutter="0" w:footer="0" w:header="0"/>
        </w:sectPr>
      </w:pPr>
    </w:p>
    <w:bookmarkStart w:id="88" w:name="page89"/>
    <w:bookmarkEnd w:id="88"/>
    <w:p>
      <w:pPr>
        <w:spacing w:after="0" w:line="72" w:lineRule="exact"/>
        <w:rPr>
          <w:sz w:val="20"/>
          <w:szCs w:val="20"/>
          <w:color w:val="auto"/>
        </w:rPr>
      </w:pPr>
    </w:p>
    <w:p>
      <w:pPr>
        <w:ind w:left="1220" w:right="40"/>
        <w:spacing w:after="0" w:line="342" w:lineRule="auto"/>
        <w:rPr>
          <w:sz w:val="20"/>
          <w:szCs w:val="20"/>
          <w:color w:val="auto"/>
        </w:rPr>
      </w:pPr>
      <w:r>
        <w:rPr>
          <w:rFonts w:ascii="Arial" w:cs="Arial" w:eastAsia="Arial" w:hAnsi="Arial"/>
          <w:sz w:val="16"/>
          <w:szCs w:val="16"/>
          <w:color w:val="auto"/>
        </w:rPr>
        <w:t xml:space="preserve">receive such payment of principal, interest, fees or other amounts;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only the consent of the Required Lenders shall be necessary to amend the definition of “Default Rate” or to waive any obligation of the Borrower to pay interest at the Default Rate;</w:t>
      </w:r>
    </w:p>
    <w:p>
      <w:pPr>
        <w:spacing w:after="0" w:line="124" w:lineRule="exact"/>
        <w:rPr>
          <w:sz w:val="20"/>
          <w:szCs w:val="20"/>
          <w:color w:val="auto"/>
        </w:rPr>
      </w:pPr>
    </w:p>
    <w:p>
      <w:pPr>
        <w:ind w:left="1220" w:right="60" w:firstLine="652"/>
        <w:spacing w:after="0" w:line="277" w:lineRule="auto"/>
        <w:tabs>
          <w:tab w:leader="none" w:pos="261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change any provision of this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or the definition of “Required Lenders” without the written consent of each Lender directly affected thereby;</w:t>
      </w:r>
    </w:p>
    <w:p>
      <w:pPr>
        <w:spacing w:after="0" w:line="170" w:lineRule="exact"/>
        <w:rPr>
          <w:rFonts w:ascii="Arial" w:cs="Arial" w:eastAsia="Arial" w:hAnsi="Arial"/>
          <w:sz w:val="18"/>
          <w:szCs w:val="18"/>
          <w:color w:val="auto"/>
        </w:rPr>
      </w:pPr>
    </w:p>
    <w:p>
      <w:pPr>
        <w:ind w:left="1220" w:right="420" w:firstLine="652"/>
        <w:spacing w:after="0" w:line="277" w:lineRule="auto"/>
        <w:tabs>
          <w:tab w:leader="none" w:pos="260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except in connection with a Disposition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 release all or substantially all of the Collateral without the written consent of each Lender directly affected thereby;</w:t>
      </w:r>
    </w:p>
    <w:p>
      <w:pPr>
        <w:spacing w:after="0" w:line="170" w:lineRule="exact"/>
        <w:rPr>
          <w:rFonts w:ascii="Arial" w:cs="Arial" w:eastAsia="Arial" w:hAnsi="Arial"/>
          <w:sz w:val="18"/>
          <w:szCs w:val="18"/>
          <w:color w:val="auto"/>
        </w:rPr>
      </w:pPr>
    </w:p>
    <w:p>
      <w:pPr>
        <w:ind w:left="1220" w:right="120" w:firstLine="652"/>
        <w:spacing w:after="0" w:line="259" w:lineRule="auto"/>
        <w:tabs>
          <w:tab w:leader="none" w:pos="261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release the Borrower or, except in connection with a merger or consolidation permitted under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a Disposition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all or substantially all of the Guarantors without the written consent of each Lender directly affected thereby, except to the extent the release of any Guarantor is permitted pursuant to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(in which case such release may be made by the Administrative Agent acting alone);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60" w:firstLine="645"/>
        <w:spacing w:after="0" w:line="277" w:lineRule="auto"/>
        <w:tabs>
          <w:tab w:leader="none" w:pos="196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unless also signed by the Administrative Agent, no amendment, waiver or consent shall affect the rights or duties of the Administrative Agent under this Agreement or any other Loan Document;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anything to the contrary herein, (i)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Commitments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spacing w:after="0" w:line="18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u w:val="single" w:color="auto"/>
          <w:color w:val="auto"/>
        </w:rPr>
        <w:t>Notices and Other Communications; Facsimile Copies.</w:t>
      </w:r>
    </w:p>
    <w:p>
      <w:pPr>
        <w:spacing w:after="0" w:line="225" w:lineRule="exact"/>
        <w:rPr>
          <w:sz w:val="20"/>
          <w:szCs w:val="20"/>
          <w:color w:val="auto"/>
        </w:rPr>
      </w:pPr>
    </w:p>
    <w:p>
      <w:pPr>
        <w:ind w:left="660" w:right="220" w:firstLine="645"/>
        <w:spacing w:after="0" w:line="279" w:lineRule="auto"/>
        <w:tabs>
          <w:tab w:leader="none" w:pos="1954"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xml:space="preserve">. Except in the case of notices and other communications expressly permitted to be given by telephone (and except as provided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1220" w:right="100" w:firstLine="652"/>
        <w:spacing w:after="0" w:line="277" w:lineRule="auto"/>
        <w:tabs>
          <w:tab w:leader="none" w:pos="261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if to the Borrower or any other Loan Party or the Administrative Agent, to the address, facsimile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220" w:right="480" w:firstLine="652"/>
        <w:spacing w:after="0" w:line="308" w:lineRule="auto"/>
        <w:tabs>
          <w:tab w:leader="none" w:pos="2628" w:val="left"/>
        </w:tabs>
        <w:numPr>
          <w:ilvl w:val="1"/>
          <w:numId w:val="164"/>
        </w:numPr>
        <w:rPr>
          <w:rFonts w:ascii="Arial" w:cs="Arial" w:eastAsia="Arial" w:hAnsi="Arial"/>
          <w:sz w:val="17"/>
          <w:szCs w:val="17"/>
          <w:color w:val="auto"/>
        </w:rPr>
      </w:pPr>
      <w:r>
        <w:rPr>
          <w:rFonts w:ascii="Arial" w:cs="Arial" w:eastAsia="Arial" w:hAnsi="Arial"/>
          <w:sz w:val="17"/>
          <w:szCs w:val="17"/>
          <w:color w:val="auto"/>
        </w:rPr>
        <w:t xml:space="preserve">if to any other Lender, to the address, facsimile number, electronic mail address or telephone number of its Lending Office (whether specified on </w:t>
      </w:r>
      <w:r>
        <w:rPr>
          <w:rFonts w:ascii="Arial" w:cs="Arial" w:eastAsia="Arial" w:hAnsi="Arial"/>
          <w:sz w:val="17"/>
          <w:szCs w:val="17"/>
          <w:u w:val="single" w:color="auto"/>
          <w:color w:val="auto"/>
        </w:rPr>
        <w:t>Schedule 11.02</w:t>
      </w:r>
      <w:r>
        <w:rPr>
          <w:rFonts w:ascii="Arial" w:cs="Arial" w:eastAsia="Arial" w:hAnsi="Arial"/>
          <w:sz w:val="17"/>
          <w:szCs w:val="17"/>
          <w:color w:val="auto"/>
        </w:rPr>
        <w:t xml:space="preserve"> or separately specified to the Borrower and the Administrative Agent).</w:t>
      </w:r>
    </w:p>
    <w:p>
      <w:pPr>
        <w:spacing w:after="0" w:line="147" w:lineRule="exact"/>
        <w:rPr>
          <w:sz w:val="20"/>
          <w:szCs w:val="20"/>
          <w:color w:val="auto"/>
        </w:rPr>
      </w:pPr>
    </w:p>
    <w:p>
      <w:pPr>
        <w:ind w:left="660" w:right="40" w:firstLine="648"/>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188" w:lineRule="exact"/>
        <w:rPr>
          <w:sz w:val="20"/>
          <w:szCs w:val="20"/>
          <w:color w:val="auto"/>
        </w:rPr>
      </w:pPr>
    </w:p>
    <w:p>
      <w:pPr>
        <w:ind w:left="660" w:right="100" w:firstLine="645"/>
        <w:spacing w:after="0" w:line="276" w:lineRule="auto"/>
        <w:tabs>
          <w:tab w:leader="none" w:pos="1964"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the foregoing shall not apply to notices to any Lender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0"/>
        <w:spacing w:after="0" w:line="277" w:lineRule="auto"/>
        <w:rPr>
          <w:sz w:val="20"/>
          <w:szCs w:val="20"/>
          <w:color w:val="auto"/>
        </w:rPr>
      </w:pPr>
      <w:r>
        <w:rPr>
          <w:rFonts w:ascii="Arial" w:cs="Arial" w:eastAsia="Arial" w:hAnsi="Arial"/>
          <w:sz w:val="18"/>
          <w:szCs w:val="18"/>
          <w:color w:val="auto"/>
        </w:rPr>
        <w:t xml:space="preserve">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approval of such procedures may be limited to particular notices or communications.</w:t>
      </w:r>
    </w:p>
    <w:p>
      <w:pPr>
        <w:spacing w:after="0" w:line="170" w:lineRule="exact"/>
        <w:rPr>
          <w:sz w:val="20"/>
          <w:szCs w:val="20"/>
          <w:color w:val="auto"/>
        </w:rPr>
      </w:pPr>
    </w:p>
    <w:p>
      <w:pPr>
        <w:ind w:left="660" w:right="100" w:firstLine="648"/>
        <w:spacing w:after="0" w:line="272" w:lineRule="auto"/>
        <w:rPr>
          <w:sz w:val="20"/>
          <w:szCs w:val="20"/>
          <w:color w:val="auto"/>
        </w:rPr>
      </w:pPr>
      <w:r>
        <w:rPr>
          <w:rFonts w:ascii="Arial" w:cs="Arial" w:eastAsia="Arial" w:hAnsi="Arial"/>
          <w:sz w:val="17"/>
          <w:szCs w:val="17"/>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for both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78" w:lineRule="exact"/>
        <w:rPr>
          <w:sz w:val="20"/>
          <w:szCs w:val="20"/>
          <w:color w:val="auto"/>
        </w:rPr>
      </w:pPr>
    </w:p>
    <w:p>
      <w:pPr>
        <w:ind w:left="660" w:right="20" w:firstLine="645"/>
        <w:spacing w:after="0" w:line="257" w:lineRule="auto"/>
        <w:tabs>
          <w:tab w:leader="none" w:pos="1967"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xml:space="preserve"> Each of the Borrower, the Lenders and the Administrative Agent may change its address, facsimile or telephone number for notices and other communications hereunder by notice to the other parties hereto.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w:t>
      </w:r>
    </w:p>
    <w:p>
      <w:pPr>
        <w:sectPr>
          <w:pgSz w:w="11900" w:h="16911" w:orient="portrait"/>
          <w:cols w:equalWidth="0" w:num="1">
            <w:col w:w="11420"/>
          </w:cols>
          <w:pgMar w:left="240" w:top="125" w:right="239" w:bottom="0" w:gutter="0" w:footer="0" w:header="0"/>
        </w:sectPr>
      </w:pPr>
    </w:p>
    <w:bookmarkStart w:id="89" w:name="page90"/>
    <w:bookmarkEnd w:id="89"/>
    <w:p>
      <w:pPr>
        <w:spacing w:after="0" w:line="96" w:lineRule="exact"/>
        <w:rPr>
          <w:sz w:val="20"/>
          <w:szCs w:val="20"/>
          <w:color w:val="auto"/>
        </w:rPr>
      </w:pPr>
    </w:p>
    <w:p>
      <w:pPr>
        <w:ind w:left="660" w:right="140" w:firstLine="645"/>
        <w:spacing w:after="0" w:line="291" w:lineRule="auto"/>
        <w:tabs>
          <w:tab w:leader="none" w:pos="1964"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and Lenders</w:t>
      </w:r>
      <w:r>
        <w:rPr>
          <w:rFonts w:ascii="Arial" w:cs="Arial" w:eastAsia="Arial" w:hAnsi="Arial"/>
          <w:sz w:val="16"/>
          <w:szCs w:val="16"/>
          <w:color w:val="auto"/>
        </w:rPr>
        <w:t>.The Administrative Agent and the Lenders shall be entitled to rely and act upon any notices (including telephonic or electronic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6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11.03</w:t>
      </w:r>
      <w:r>
        <w:rPr>
          <w:sz w:val="20"/>
          <w:szCs w:val="20"/>
          <w:color w:val="auto"/>
        </w:rPr>
        <w:tab/>
      </w:r>
      <w:r>
        <w:rPr>
          <w:rFonts w:ascii="Arial" w:cs="Arial" w:eastAsia="Arial" w:hAnsi="Arial"/>
          <w:sz w:val="16"/>
          <w:szCs w:val="16"/>
          <w:u w:val="single" w:color="auto"/>
          <w:color w:val="auto"/>
        </w:rPr>
        <w:t>No Waiver; Cumulative Remedies; Enforcement.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for the benefit of all the Secured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foregoing shall not prohibit (a) the Administrative Agent from exercising on its own behalf the rights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remedies that inure to its benefit (solely in its capacity as Administrative Agent) hereunder and under the other Loan Documents, (b)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(c)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2.11</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u w:val="single" w:color="auto"/>
          <w:color w:val="auto"/>
        </w:rPr>
        <w:t>Expenses; Indemnity; and Damage Waiver.</w:t>
      </w:r>
    </w:p>
    <w:p>
      <w:pPr>
        <w:spacing w:after="0" w:line="225" w:lineRule="exact"/>
        <w:rPr>
          <w:sz w:val="20"/>
          <w:szCs w:val="20"/>
          <w:color w:val="auto"/>
        </w:rPr>
      </w:pPr>
    </w:p>
    <w:p>
      <w:pPr>
        <w:ind w:left="660" w:firstLine="645"/>
        <w:spacing w:after="0" w:line="287" w:lineRule="auto"/>
        <w:tabs>
          <w:tab w:leader="none" w:pos="1954"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xml:space="preserve">. The Loan Parties shall pay (i) all out-of-pocket expenses incurred by the Administrative Agent and its Affiliates (including the fees, charges and disbursements of counsel for the Administrative Agent), in connection with the preparation (subject to the second proviso in </w:t>
      </w:r>
      <w:r>
        <w:rPr>
          <w:rFonts w:ascii="Arial" w:cs="Arial" w:eastAsia="Arial" w:hAnsi="Arial"/>
          <w:sz w:val="16"/>
          <w:szCs w:val="16"/>
          <w:u w:val="single" w:color="auto"/>
          <w:color w:val="auto"/>
        </w:rPr>
        <w:t>Section 5.02(p)</w:t>
      </w:r>
      <w:r>
        <w:rPr>
          <w:rFonts w:ascii="Arial" w:cs="Arial" w:eastAsia="Arial" w:hAnsi="Arial"/>
          <w:sz w:val="16"/>
          <w:szCs w:val="16"/>
          <w:color w:val="auto"/>
        </w:rPr>
        <w:t>), negotiation, execution, delivery and administration of this Agreement and the other Loan Documents (it being understood that the Loan Parties’ reimbursement obligations with respect to the administration of this Agreement by the Administrative Agent shall (unless and until an Event of Default shall have occurred and be continuing) be capped at $10,000 per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$10,000 cap shall in no way limit the Loan Parties’ obligation to reimburse the fees, charges and disbursements of counsel to the Administrative Agent)) or any amendments, modifications or waivers of the provisions hereof or thereof (whether or not the transactions contemplated hereby or thereby shall be consummated) and (ii) all out-of-pocket expenses incurred by the Administrative Agent or any Lender (including the fees, charges and disbursements of any counsel for the Administrative Agent or any Lender), and shall pay all fees and time charges for attorneys who may be employees of the Administrative Agent or any Lender, in connection with the enforcement or protection of its rights (A) in connection with this Agreement and the other Loan Documents, including its rights under this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or (B) in connection with the Loans made hereunder, including all such out-of-pocket expenses incurred during any workout, restructuring or negotiations in respect of such Loans.</w:t>
      </w:r>
    </w:p>
    <w:p>
      <w:pPr>
        <w:spacing w:after="0" w:line="168" w:lineRule="exact"/>
        <w:rPr>
          <w:rFonts w:ascii="Arial" w:cs="Arial" w:eastAsia="Arial" w:hAnsi="Arial"/>
          <w:sz w:val="16"/>
          <w:szCs w:val="16"/>
          <w:color w:val="auto"/>
        </w:rPr>
      </w:pPr>
    </w:p>
    <w:p>
      <w:pPr>
        <w:ind w:left="660" w:firstLine="645"/>
        <w:spacing w:after="0" w:line="269" w:lineRule="auto"/>
        <w:tabs>
          <w:tab w:leader="none" w:pos="1964"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Indemnification by the Loan Parties</w:t>
      </w:r>
      <w:r>
        <w:rPr>
          <w:rFonts w:ascii="Arial" w:cs="Arial" w:eastAsia="Arial" w:hAnsi="Arial"/>
          <w:sz w:val="17"/>
          <w:szCs w:val="17"/>
          <w:color w:val="auto"/>
        </w:rPr>
        <w:t>. The Loan Parties shall indemnify the Administrative Agent (and any sub-agent thereof)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the use or proposed use of the proceeds therefrom, (iii) any actual or alleged presence or release of Hazardous Materials on or from any property owned or operated by a Loan Party or any of its Subsidiaries, or any Environmental Liability related in any way to a Loan Party or any of its Subsidiaries, (iv) any actual or prospective claim, litigation, investigation or proceeding relating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88" w:lineRule="auto"/>
        <w:rPr>
          <w:sz w:val="20"/>
          <w:szCs w:val="20"/>
          <w:color w:val="auto"/>
        </w:rPr>
      </w:pPr>
      <w:r>
        <w:rPr>
          <w:rFonts w:ascii="Arial" w:cs="Arial" w:eastAsia="Arial" w:hAnsi="Arial"/>
          <w:sz w:val="16"/>
          <w:szCs w:val="16"/>
          <w:color w:val="auto"/>
        </w:rPr>
        <w:t>to an allegation that the use, advertisement, display, importation, manufacture, marketing, offering for sale, performance, preparation of derivative works based upon, promotion, reproduction, sale, use and/or other distribution of a Product by the Borrower, any Subsidiary or any of their respective licensees, or the conduct of the Businesses, constitutes the infringement, violation or misappropriation of the rights of any Person or</w:t>
      </w:r>
    </w:p>
    <w:p>
      <w:pPr>
        <w:ind w:left="660" w:hanging="4"/>
        <w:spacing w:after="0" w:line="290" w:lineRule="auto"/>
        <w:tabs>
          <w:tab w:leader="none" w:pos="91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in all cases, whether or not caused by or arising, in whole or in part, out of the comparative, contributory or sole negligence of the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if the Borrower or such Loan Party has obtained a final and nonappealable judgment in its favor on such</w:t>
      </w:r>
    </w:p>
    <w:p>
      <w:pPr>
        <w:sectPr>
          <w:pgSz w:w="11900" w:h="16935" w:orient="portrait"/>
          <w:cols w:equalWidth="0" w:num="1">
            <w:col w:w="11380"/>
          </w:cols>
          <w:pgMar w:left="240" w:top="341" w:right="279" w:bottom="0" w:gutter="0" w:footer="0" w:header="0"/>
        </w:sectPr>
      </w:pPr>
    </w:p>
    <w:bookmarkStart w:id="90" w:name="page91"/>
    <w:bookmarkEnd w:id="90"/>
    <w:p>
      <w:pPr>
        <w:ind w:left="660" w:right="560"/>
        <w:spacing w:after="0" w:line="277" w:lineRule="auto"/>
        <w:rPr>
          <w:sz w:val="20"/>
          <w:szCs w:val="20"/>
          <w:color w:val="auto"/>
        </w:rPr>
      </w:pPr>
      <w:r>
        <w:rPr>
          <w:rFonts w:ascii="Arial" w:cs="Arial" w:eastAsia="Arial" w:hAnsi="Arial"/>
          <w:sz w:val="18"/>
          <w:szCs w:val="18"/>
          <w:color w:val="auto"/>
        </w:rPr>
        <w:t xml:space="preserve">claim as determined by a court of competent jurisdiction. This </w:t>
      </w:r>
      <w:r>
        <w:rPr>
          <w:rFonts w:ascii="Arial" w:cs="Arial" w:eastAsia="Arial" w:hAnsi="Arial"/>
          <w:sz w:val="18"/>
          <w:szCs w:val="18"/>
          <w:u w:val="single" w:color="auto"/>
          <w:color w:val="auto"/>
        </w:rPr>
        <w:t>Section 11.04(b)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70" w:lineRule="exact"/>
        <w:rPr>
          <w:sz w:val="20"/>
          <w:szCs w:val="20"/>
          <w:color w:val="auto"/>
        </w:rPr>
      </w:pPr>
    </w:p>
    <w:p>
      <w:pPr>
        <w:ind w:left="660" w:right="80" w:firstLine="645"/>
        <w:spacing w:after="0" w:line="288" w:lineRule="auto"/>
        <w:tabs>
          <w:tab w:leader="none" w:pos="1967"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Loan Parties for any reason fail to indefeasibly pay any amount required under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to be paid by them to the Administrative Agent (or any sub-agent thereof) or any Related Party thereof,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Percentages (determined as of the time that the applicable unreimbursed expense or indemnity payment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unreimbursed expense or indemnified loss, claim, damage, liability or related expense, as the case may be, was incurred by or asserted against the Administrative Agent (or any such sub-agent), or against any Related Party thereof acting for the Administrative Agent (or any such sub-agent) in connection with such capacity. The obligations of the Lenders under this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2.10(b)</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660" w:right="100" w:firstLine="645"/>
        <w:spacing w:after="0" w:line="291" w:lineRule="auto"/>
        <w:tabs>
          <w:tab w:leader="none" w:pos="1964"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67" w:lineRule="exact"/>
        <w:rPr>
          <w:rFonts w:ascii="Arial" w:cs="Arial" w:eastAsia="Arial" w:hAnsi="Arial"/>
          <w:sz w:val="16"/>
          <w:szCs w:val="16"/>
          <w:color w:val="auto"/>
        </w:rPr>
      </w:pPr>
    </w:p>
    <w:p>
      <w:pPr>
        <w:ind w:left="1960" w:hanging="655"/>
        <w:spacing w:after="0"/>
        <w:tabs>
          <w:tab w:leader="none" w:pos="196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All amounts due under this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shall be payable not later than ten (10) Business Days after demand therefor.</w:t>
      </w:r>
    </w:p>
    <w:p>
      <w:pPr>
        <w:spacing w:after="0" w:line="248" w:lineRule="exact"/>
        <w:rPr>
          <w:rFonts w:ascii="Arial" w:cs="Arial" w:eastAsia="Arial" w:hAnsi="Arial"/>
          <w:sz w:val="16"/>
          <w:szCs w:val="16"/>
          <w:color w:val="auto"/>
        </w:rPr>
      </w:pPr>
    </w:p>
    <w:p>
      <w:pPr>
        <w:ind w:left="660" w:right="200" w:firstLine="645"/>
        <w:spacing w:after="0" w:line="277" w:lineRule="auto"/>
        <w:tabs>
          <w:tab w:leader="none" w:pos="1961"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the indemnity provisions of </w:t>
      </w:r>
      <w:r>
        <w:rPr>
          <w:rFonts w:ascii="Arial" w:cs="Arial" w:eastAsia="Arial" w:hAnsi="Arial"/>
          <w:sz w:val="18"/>
          <w:szCs w:val="18"/>
          <w:u w:val="single" w:color="auto"/>
          <w:color w:val="auto"/>
        </w:rPr>
        <w:t>Section 11.02(d)</w:t>
      </w:r>
      <w:r>
        <w:rPr>
          <w:rFonts w:ascii="Arial" w:cs="Arial" w:eastAsia="Arial" w:hAnsi="Arial"/>
          <w:sz w:val="18"/>
          <w:szCs w:val="18"/>
          <w:color w:val="auto"/>
        </w:rPr>
        <w:t xml:space="preserve"> shall survive the resignation of the Administrative Agent, the replacement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Lender, the termination of the Commitments and the repayment, satisfaction or discharge of all the other Obligations.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11.05</w:t>
      </w:r>
      <w:r>
        <w:rPr>
          <w:sz w:val="20"/>
          <w:szCs w:val="20"/>
          <w:color w:val="auto"/>
        </w:rPr>
        <w:tab/>
      </w:r>
      <w:r>
        <w:rPr>
          <w:rFonts w:ascii="Arial" w:cs="Arial" w:eastAsia="Arial" w:hAnsi="Arial"/>
          <w:sz w:val="15"/>
          <w:szCs w:val="15"/>
          <w:u w:val="single" w:color="auto"/>
          <w:color w:val="auto"/>
        </w:rPr>
        <w:t>Payments Set Aside.</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To the extent that any payment by or on behalf of any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interest thereon from the date of such demand to the date such payment is made at a rate per annum equal to the Federal Funds Rate from time to time in effect. The obligations of the Lenders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preceding sentence shall survive the payment in full of the Obligations and the termination of this Agreement.</w:t>
      </w:r>
    </w:p>
    <w:p>
      <w:pPr>
        <w:spacing w:after="0" w:line="16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5"/>
          <w:szCs w:val="15"/>
          <w:u w:val="single" w:color="auto"/>
          <w:color w:val="auto"/>
        </w:rPr>
        <w:t>Successors and Assigns.</w:t>
      </w:r>
    </w:p>
    <w:p>
      <w:pPr>
        <w:spacing w:after="0" w:line="225" w:lineRule="exact"/>
        <w:rPr>
          <w:sz w:val="20"/>
          <w:szCs w:val="20"/>
          <w:color w:val="auto"/>
        </w:rPr>
      </w:pPr>
    </w:p>
    <w:p>
      <w:pPr>
        <w:ind w:left="660" w:firstLine="645"/>
        <w:spacing w:after="0" w:line="288" w:lineRule="auto"/>
        <w:tabs>
          <w:tab w:leader="none" w:pos="1954"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(ii) by way of participation in accordance with the provisions of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or (iii) by way of pledge or assignment of a security interest subject to the restrictions of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and, to the extent expressly contemplated hereby, the Related Parties of each of the Administrative Agent and the Lenders) any legal or equitable right, remedy or claim under or by reason of this Agreement.</w:t>
      </w:r>
    </w:p>
    <w:p>
      <w:pPr>
        <w:spacing w:after="0" w:line="169" w:lineRule="exact"/>
        <w:rPr>
          <w:rFonts w:ascii="Arial" w:cs="Arial" w:eastAsia="Arial" w:hAnsi="Arial"/>
          <w:sz w:val="16"/>
          <w:szCs w:val="16"/>
          <w:color w:val="auto"/>
        </w:rPr>
      </w:pPr>
    </w:p>
    <w:p>
      <w:pPr>
        <w:ind w:left="660" w:right="20" w:firstLine="645"/>
        <w:spacing w:after="0" w:line="312" w:lineRule="auto"/>
        <w:tabs>
          <w:tab w:leader="none" w:pos="1964"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Assignments by Lenders</w:t>
      </w:r>
      <w:r>
        <w:rPr>
          <w:rFonts w:ascii="Arial" w:cs="Arial" w:eastAsia="Arial" w:hAnsi="Arial"/>
          <w:sz w:val="16"/>
          <w:szCs w:val="16"/>
          <w:color w:val="auto"/>
        </w:rPr>
        <w:t xml:space="preserve">. Any Lender may at any time assign to one or more assignees all or a portion of its rights and obligations under this Agreement and the other Loan Documents (including all or a portion of its Commitments under any Facility and the Loans at the time owing to it (in each case with respect to any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any such assignment shall be subject to the following conditions:</w:t>
      </w:r>
    </w:p>
    <w:p>
      <w:pPr>
        <w:spacing w:after="0" w:line="146" w:lineRule="exact"/>
        <w:rPr>
          <w:rFonts w:ascii="Arial" w:cs="Arial" w:eastAsia="Arial" w:hAnsi="Arial"/>
          <w:sz w:val="16"/>
          <w:szCs w:val="16"/>
          <w:color w:val="auto"/>
        </w:rPr>
      </w:pPr>
    </w:p>
    <w:p>
      <w:pPr>
        <w:ind w:left="2620" w:hanging="748"/>
        <w:spacing w:after="0"/>
        <w:tabs>
          <w:tab w:leader="none" w:pos="2620"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sz w:val="20"/>
          <w:szCs w:val="20"/>
          <w:color w:val="auto"/>
        </w:rPr>
      </w:pPr>
    </w:p>
    <w:p>
      <w:pPr>
        <w:ind w:left="1960" w:right="60" w:firstLine="641"/>
        <w:spacing w:after="0" w:line="264" w:lineRule="auto"/>
        <w:tabs>
          <w:tab w:leader="none" w:pos="327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with respect to any Facility and/or the Loans with respect to any Facility at the time owing to it or contemporaneous assignments to related Approved Funds that equal at least the amount specified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20"/>
        <w:spacing w:after="0" w:line="277" w:lineRule="auto"/>
        <w:rPr>
          <w:sz w:val="20"/>
          <w:szCs w:val="20"/>
          <w:color w:val="auto"/>
        </w:rPr>
      </w:pPr>
      <w:r>
        <w:rPr>
          <w:rFonts w:ascii="Arial" w:cs="Arial" w:eastAsia="Arial" w:hAnsi="Arial"/>
          <w:sz w:val="18"/>
          <w:szCs w:val="18"/>
          <w:u w:val="single" w:color="auto"/>
          <w:color w:val="auto"/>
        </w:rPr>
        <w:t>paragraph (b)(i)(B)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in the aggregate or in the case of an assignment to a Lender, an Affiliate of a Lender or an Approved Fund, no minimum amount need be assigned; and</w:t>
      </w:r>
    </w:p>
    <w:p>
      <w:pPr>
        <w:sectPr>
          <w:pgSz w:w="11900" w:h="16838" w:orient="portrait"/>
          <w:cols w:equalWidth="0" w:num="1">
            <w:col w:w="11400"/>
          </w:cols>
          <w:pgMar w:left="240" w:top="125" w:right="259" w:bottom="0" w:gutter="0" w:footer="0" w:header="0"/>
        </w:sectPr>
      </w:pPr>
    </w:p>
    <w:bookmarkStart w:id="91" w:name="page92"/>
    <w:bookmarkEnd w:id="91"/>
    <w:p>
      <w:pPr>
        <w:ind w:left="1300" w:firstLine="641"/>
        <w:spacing w:after="0" w:line="272" w:lineRule="auto"/>
        <w:tabs>
          <w:tab w:leader="none" w:pos="2607" w:val="left"/>
        </w:tabs>
        <w:numPr>
          <w:ilvl w:val="3"/>
          <w:numId w:val="173"/>
        </w:numPr>
        <w:rPr>
          <w:rFonts w:ascii="Arial" w:cs="Arial" w:eastAsia="Arial" w:hAnsi="Arial"/>
          <w:sz w:val="17"/>
          <w:szCs w:val="17"/>
          <w:color w:val="auto"/>
        </w:rPr>
      </w:pPr>
      <w:r>
        <w:rPr>
          <w:rFonts w:ascii="Arial" w:cs="Arial" w:eastAsia="Arial" w:hAnsi="Arial"/>
          <w:sz w:val="17"/>
          <w:szCs w:val="17"/>
          <w:color w:val="auto"/>
        </w:rPr>
        <w:t xml:space="preserve">in any case not described in </w:t>
      </w:r>
      <w:r>
        <w:rPr>
          <w:rFonts w:ascii="Arial" w:cs="Arial" w:eastAsia="Arial" w:hAnsi="Arial"/>
          <w:sz w:val="17"/>
          <w:szCs w:val="17"/>
          <w:u w:val="single" w:color="auto"/>
          <w:color w:val="auto"/>
        </w:rPr>
        <w:t>subsection (b)(i)(A)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11.06</w:t>
      </w:r>
      <w:r>
        <w:rPr>
          <w:rFonts w:ascii="Arial" w:cs="Arial" w:eastAsia="Arial" w:hAnsi="Arial"/>
          <w:sz w:val="17"/>
          <w:szCs w:val="17"/>
          <w:color w:val="auto"/>
        </w:rPr>
        <w:t>, the aggregate amount of the applicable Commitment (which for this purpose includes Loans outstanding thereunder) or, if the applicable Commitment is not then in effect, the principal outstanding balance of the Loans with respect to such Facility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w:t>
      </w:r>
    </w:p>
    <w:p>
      <w:pPr>
        <w:spacing w:after="0" w:line="177" w:lineRule="exact"/>
        <w:rPr>
          <w:rFonts w:ascii="Arial" w:cs="Arial" w:eastAsia="Arial" w:hAnsi="Arial"/>
          <w:sz w:val="17"/>
          <w:szCs w:val="17"/>
          <w:color w:val="auto"/>
        </w:rPr>
      </w:pPr>
    </w:p>
    <w:p>
      <w:pPr>
        <w:ind w:left="560" w:right="100" w:firstLine="652"/>
        <w:spacing w:after="0" w:line="259" w:lineRule="auto"/>
        <w:tabs>
          <w:tab w:leader="none" w:pos="1968"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of the assigning Lender’s rights and obligations under this Agreement with respect to the Loans or the Commitment assigned. Each assignment of all or a portion of a Lender’s rights and obligations under this Agreement shall be accompanied by a corresponding ratable assignment of such Lender’s rights and obligations under the ROFR Side Letter;</w:t>
      </w:r>
    </w:p>
    <w:p>
      <w:pPr>
        <w:spacing w:after="0" w:line="186" w:lineRule="exact"/>
        <w:rPr>
          <w:rFonts w:ascii="Arial" w:cs="Arial" w:eastAsia="Arial" w:hAnsi="Arial"/>
          <w:sz w:val="18"/>
          <w:szCs w:val="18"/>
          <w:color w:val="auto"/>
        </w:rPr>
      </w:pPr>
    </w:p>
    <w:p>
      <w:pPr>
        <w:ind w:left="1980" w:hanging="768"/>
        <w:spacing w:after="0"/>
        <w:tabs>
          <w:tab w:leader="none" w:pos="1980"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xml:space="preserve">. No consent shall be required for any assignment except to the extent required by </w:t>
      </w:r>
      <w:r>
        <w:rPr>
          <w:rFonts w:ascii="Arial" w:cs="Arial" w:eastAsia="Arial" w:hAnsi="Arial"/>
          <w:sz w:val="16"/>
          <w:szCs w:val="16"/>
          <w:u w:val="single" w:color="auto"/>
          <w:color w:val="auto"/>
        </w:rPr>
        <w:t>subsection (b)(i)</w:t>
      </w:r>
    </w:p>
    <w:p>
      <w:pPr>
        <w:spacing w:after="0" w:line="46" w:lineRule="exact"/>
        <w:rPr>
          <w:rFonts w:ascii="Arial" w:cs="Arial" w:eastAsia="Arial" w:hAnsi="Arial"/>
          <w:sz w:val="16"/>
          <w:szCs w:val="16"/>
          <w:color w:val="auto"/>
        </w:rPr>
      </w:pPr>
    </w:p>
    <w:p>
      <w:pPr>
        <w:ind w:left="840" w:hanging="276"/>
        <w:spacing w:after="0"/>
        <w:tabs>
          <w:tab w:leader="none" w:pos="840" w:val="left"/>
        </w:tabs>
        <w:numPr>
          <w:ilvl w:val="0"/>
          <w:numId w:val="175"/>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and, in addition:</w:t>
      </w:r>
    </w:p>
    <w:p>
      <w:pPr>
        <w:spacing w:after="0" w:line="210" w:lineRule="exact"/>
        <w:rPr>
          <w:rFonts w:ascii="Arial" w:cs="Arial" w:eastAsia="Arial" w:hAnsi="Arial"/>
          <w:sz w:val="18"/>
          <w:szCs w:val="18"/>
          <w:u w:val="single" w:color="auto"/>
          <w:color w:val="auto"/>
        </w:rPr>
      </w:pPr>
    </w:p>
    <w:p>
      <w:pPr>
        <w:ind w:left="2600" w:hanging="659"/>
        <w:spacing w:after="0"/>
        <w:tabs>
          <w:tab w:leader="none" w:pos="2600" w:val="left"/>
        </w:tabs>
        <w:numPr>
          <w:ilvl w:val="3"/>
          <w:numId w:val="175"/>
        </w:numPr>
        <w:rPr>
          <w:rFonts w:ascii="Arial" w:cs="Arial" w:eastAsia="Arial" w:hAnsi="Arial"/>
          <w:sz w:val="16"/>
          <w:szCs w:val="16"/>
          <w:color w:val="auto"/>
        </w:rPr>
      </w:pPr>
      <w:r>
        <w:rPr>
          <w:rFonts w:ascii="Arial" w:cs="Arial" w:eastAsia="Arial" w:hAnsi="Arial"/>
          <w:sz w:val="16"/>
          <w:szCs w:val="16"/>
          <w:color w:val="auto"/>
        </w:rPr>
        <w:t>the consent of the Borrower (such consent not to be unreasonably withheld or delayed) shall be required unless</w:t>
      </w:r>
    </w:p>
    <w:p>
      <w:pPr>
        <w:spacing w:after="0" w:line="46" w:lineRule="exact"/>
        <w:rPr>
          <w:rFonts w:ascii="Arial" w:cs="Arial" w:eastAsia="Arial" w:hAnsi="Arial"/>
          <w:sz w:val="16"/>
          <w:szCs w:val="16"/>
          <w:color w:val="auto"/>
        </w:rPr>
      </w:pPr>
    </w:p>
    <w:p>
      <w:pPr>
        <w:ind w:left="1300" w:right="180" w:hanging="7"/>
        <w:spacing w:after="0" w:line="254" w:lineRule="auto"/>
        <w:tabs>
          <w:tab w:leader="none" w:pos="1555" w:val="left"/>
        </w:tabs>
        <w:numPr>
          <w:ilvl w:val="2"/>
          <w:numId w:val="175"/>
        </w:numPr>
        <w:rPr>
          <w:rFonts w:ascii="Arial" w:cs="Arial" w:eastAsia="Arial" w:hAnsi="Arial"/>
          <w:sz w:val="18"/>
          <w:szCs w:val="18"/>
          <w:color w:val="auto"/>
        </w:rPr>
      </w:pPr>
      <w:r>
        <w:rPr>
          <w:rFonts w:ascii="Arial" w:cs="Arial" w:eastAsia="Arial" w:hAnsi="Arial"/>
          <w:sz w:val="18"/>
          <w:szCs w:val="18"/>
          <w:color w:val="auto"/>
        </w:rPr>
        <w:t xml:space="preserve">an Event of Default has occurred and is continuing at the time of such assignment or (2)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Borrower shall be deemed to have consented to any such assignment unless it shall object thereto by written notice to the Administrative Agent within five (5) Business Days after having received notice thereof;</w:t>
      </w:r>
    </w:p>
    <w:p>
      <w:pPr>
        <w:spacing w:after="0" w:line="189" w:lineRule="exact"/>
        <w:rPr>
          <w:rFonts w:ascii="Arial" w:cs="Arial" w:eastAsia="Arial" w:hAnsi="Arial"/>
          <w:sz w:val="18"/>
          <w:szCs w:val="18"/>
          <w:color w:val="auto"/>
        </w:rPr>
      </w:pPr>
    </w:p>
    <w:p>
      <w:pPr>
        <w:ind w:left="1300" w:right="100" w:firstLine="641"/>
        <w:spacing w:after="0" w:line="279" w:lineRule="auto"/>
        <w:tabs>
          <w:tab w:leader="none" w:pos="2607" w:val="left"/>
        </w:tabs>
        <w:numPr>
          <w:ilvl w:val="3"/>
          <w:numId w:val="176"/>
        </w:numPr>
        <w:rPr>
          <w:rFonts w:ascii="Arial" w:cs="Arial" w:eastAsia="Arial" w:hAnsi="Arial"/>
          <w:sz w:val="17"/>
          <w:szCs w:val="17"/>
          <w:color w:val="auto"/>
        </w:rPr>
      </w:pPr>
      <w:r>
        <w:rPr>
          <w:rFonts w:ascii="Arial" w:cs="Arial" w:eastAsia="Arial" w:hAnsi="Arial"/>
          <w:sz w:val="17"/>
          <w:szCs w:val="17"/>
          <w:color w:val="auto"/>
        </w:rPr>
        <w:t>the consent of the Administrative Agent (such consent not to be unreasonably withheld or delayed) shall be required for assignments in respect of (i) any unfunded Commitment if such assignment is to a Person that is not a Lender with a Commitment in respect of the applicable Facility, an Affiliate of such Lender or an Approved Fund with respect to such Lender or (ii) any Loan to a Person that is not a Lender, an Affiliate of a Lender or an Approved Fund;</w:t>
      </w:r>
    </w:p>
    <w:p>
      <w:pPr>
        <w:spacing w:after="0" w:line="171" w:lineRule="exact"/>
        <w:rPr>
          <w:rFonts w:ascii="Arial" w:cs="Arial" w:eastAsia="Arial" w:hAnsi="Arial"/>
          <w:sz w:val="17"/>
          <w:szCs w:val="17"/>
          <w:color w:val="auto"/>
        </w:rPr>
      </w:pPr>
    </w:p>
    <w:p>
      <w:pPr>
        <w:ind w:left="560" w:right="40" w:firstLine="652"/>
        <w:spacing w:after="0" w:line="264" w:lineRule="auto"/>
        <w:tabs>
          <w:tab w:leader="none" w:pos="1954"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The parties to each assignment shall execute and deliver to the Administrative Agent an Assignment and Assumption. The assignee, if it is not a Lender, shall deliver to the Administrative Agent such information, including notice information, as the Administrative Agent shall reasonably require.</w:t>
      </w:r>
    </w:p>
    <w:p>
      <w:pPr>
        <w:spacing w:after="0" w:line="181" w:lineRule="exact"/>
        <w:rPr>
          <w:rFonts w:ascii="Arial" w:cs="Arial" w:eastAsia="Arial" w:hAnsi="Arial"/>
          <w:sz w:val="18"/>
          <w:szCs w:val="18"/>
          <w:color w:val="auto"/>
        </w:rPr>
      </w:pPr>
    </w:p>
    <w:p>
      <w:pPr>
        <w:ind w:left="560" w:right="300" w:firstLine="652"/>
        <w:spacing w:after="0" w:line="286" w:lineRule="auto"/>
        <w:tabs>
          <w:tab w:leader="none" w:pos="1945" w:val="left"/>
        </w:tabs>
        <w:numPr>
          <w:ilvl w:val="1"/>
          <w:numId w:val="177"/>
        </w:numPr>
        <w:rPr>
          <w:rFonts w:ascii="Arial" w:cs="Arial" w:eastAsia="Arial" w:hAnsi="Arial"/>
          <w:sz w:val="17"/>
          <w:szCs w:val="17"/>
          <w:color w:val="auto"/>
        </w:rPr>
      </w:pPr>
      <w:r>
        <w:rPr>
          <w:rFonts w:ascii="Arial" w:cs="Arial" w:eastAsia="Arial" w:hAnsi="Arial"/>
          <w:sz w:val="17"/>
          <w:szCs w:val="17"/>
          <w:u w:val="single" w:color="auto"/>
          <w:color w:val="auto"/>
        </w:rPr>
        <w:t>No Assignment to Certain Persons</w:t>
      </w:r>
      <w:r>
        <w:rPr>
          <w:rFonts w:ascii="Arial" w:cs="Arial" w:eastAsia="Arial" w:hAnsi="Arial"/>
          <w:sz w:val="17"/>
          <w:szCs w:val="17"/>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or (C) to a natural Person.</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 w:right="40" w:firstLine="652"/>
        <w:spacing w:after="0" w:line="284" w:lineRule="auto"/>
        <w:tabs>
          <w:tab w:leader="none" w:pos="1954"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w:t>
      </w:r>
    </w:p>
    <w:p>
      <w:pPr>
        <w:spacing w:after="0" w:line="4" w:lineRule="exact"/>
        <w:rPr>
          <w:rFonts w:ascii="Arial" w:cs="Arial" w:eastAsia="Arial" w:hAnsi="Arial"/>
          <w:sz w:val="16"/>
          <w:szCs w:val="16"/>
          <w:color w:val="auto"/>
        </w:rPr>
      </w:pPr>
    </w:p>
    <w:p>
      <w:pPr>
        <w:ind w:left="560" w:right="140" w:firstLine="4"/>
        <w:spacing w:after="0" w:line="292" w:lineRule="auto"/>
        <w:tabs>
          <w:tab w:leader="none" w:pos="81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11.06</w:t>
      </w:r>
      <w:r>
        <w:rPr>
          <w:rFonts w:ascii="Arial" w:cs="Arial" w:eastAsia="Arial" w:hAnsi="Arial"/>
          <w:sz w:val="17"/>
          <w:szCs w:val="17"/>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11.06</w:t>
      </w:r>
      <w:r>
        <w:rPr>
          <w:rFonts w:ascii="Arial" w:cs="Arial" w:eastAsia="Arial" w:hAnsi="Arial"/>
          <w:sz w:val="17"/>
          <w:szCs w:val="17"/>
          <w:color w:val="auto"/>
        </w:rPr>
        <w:t>.</w:t>
      </w:r>
    </w:p>
    <w:p>
      <w:pPr>
        <w:spacing w:after="0" w:line="178" w:lineRule="exact"/>
        <w:rPr>
          <w:sz w:val="20"/>
          <w:szCs w:val="20"/>
          <w:color w:val="auto"/>
        </w:rPr>
      </w:pPr>
    </w:p>
    <w:p>
      <w:pPr>
        <w:ind w:right="140" w:firstLine="645"/>
        <w:spacing w:after="0" w:line="270" w:lineRule="auto"/>
        <w:tabs>
          <w:tab w:leader="none" w:pos="1307"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spacing w:after="0" w:line="181" w:lineRule="exact"/>
        <w:rPr>
          <w:rFonts w:ascii="Arial" w:cs="Arial" w:eastAsia="Arial" w:hAnsi="Arial"/>
          <w:sz w:val="17"/>
          <w:szCs w:val="17"/>
          <w:color w:val="auto"/>
        </w:rPr>
      </w:pPr>
    </w:p>
    <w:p>
      <w:pPr>
        <w:jc w:val="both"/>
        <w:ind w:right="220" w:firstLine="645"/>
        <w:spacing w:after="0" w:line="342" w:lineRule="auto"/>
        <w:tabs>
          <w:tab w:leader="none" w:pos="1304"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a natural Person, a Defaulting Lender or the Borrower or any of the Borrower’s Affiliates or Subsidiaries)</w:t>
      </w:r>
    </w:p>
    <w:p>
      <w:pPr>
        <w:sectPr>
          <w:pgSz w:w="11900" w:h="16838" w:orient="portrait"/>
          <w:cols w:equalWidth="0" w:num="1">
            <w:col w:w="10760"/>
          </w:cols>
          <w:pgMar w:left="900" w:top="125" w:right="239" w:bottom="0" w:gutter="0" w:footer="0" w:header="0"/>
        </w:sectPr>
      </w:pPr>
    </w:p>
    <w:p>
      <w:pPr>
        <w:spacing w:after="0" w:line="124"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760"/>
          </w:cols>
          <w:pgMar w:left="900" w:top="125" w:right="239" w:bottom="0" w:gutter="0" w:footer="0" w:header="0"/>
          <w:type w:val="continuous"/>
        </w:sectPr>
      </w:pPr>
    </w:p>
    <w:bookmarkStart w:id="92" w:name="page93"/>
    <w:bookmarkEnd w:id="92"/>
    <w:p>
      <w:pPr>
        <w:ind w:left="660"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without regard to the existence of any participation.</w:t>
      </w:r>
    </w:p>
    <w:p>
      <w:pPr>
        <w:spacing w:after="0" w:line="193" w:lineRule="exact"/>
        <w:rPr>
          <w:sz w:val="20"/>
          <w:szCs w:val="20"/>
          <w:color w:val="auto"/>
        </w:rPr>
      </w:pPr>
    </w:p>
    <w:p>
      <w:pPr>
        <w:ind w:left="660" w:firstLine="648"/>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agreement or instrument may provide that such Lender will not, without the consent of the Participant, agree to any amendment, waiver or other modification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11.01(a)</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(subject to the requirements and limitations therein (it being understood that the documentation required under </w:t>
      </w:r>
      <w:r>
        <w:rPr>
          <w:rFonts w:ascii="Arial" w:cs="Arial" w:eastAsia="Arial" w:hAnsi="Arial"/>
          <w:sz w:val="16"/>
          <w:szCs w:val="16"/>
          <w:u w:val="single" w:color="auto"/>
          <w:color w:val="auto"/>
        </w:rPr>
        <w:t>Sections 3.01(c) and (d)</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To the fullest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Participant shall not be entitled to receive any greater payment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11.13 with respect to any Participant.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or, if different, under Sections 871(h) or 881(c)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0" w:lineRule="exact"/>
        <w:rPr>
          <w:sz w:val="20"/>
          <w:szCs w:val="20"/>
          <w:color w:val="auto"/>
        </w:rPr>
      </w:pPr>
    </w:p>
    <w:p>
      <w:pPr>
        <w:ind w:left="660" w:right="40" w:firstLine="645"/>
        <w:spacing w:after="0" w:line="259" w:lineRule="auto"/>
        <w:tabs>
          <w:tab w:leader="none" w:pos="1967"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such pledge or assignment shall release such Lender from any of its obligations hereunder or substitute any such pledgee or assignee for such Lender as a party hereto.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11.07</w:t>
      </w:r>
      <w:r>
        <w:rPr>
          <w:sz w:val="20"/>
          <w:szCs w:val="20"/>
          <w:color w:val="auto"/>
        </w:rPr>
        <w:tab/>
      </w:r>
      <w:r>
        <w:rPr>
          <w:rFonts w:ascii="Arial" w:cs="Arial" w:eastAsia="Arial" w:hAnsi="Arial"/>
          <w:sz w:val="16"/>
          <w:szCs w:val="16"/>
          <w:u w:val="single" w:color="auto"/>
          <w:color w:val="auto"/>
        </w:rPr>
        <w:t>Treatment of Certain Information; Confidentiality.</w:t>
      </w:r>
    </w:p>
    <w:p>
      <w:pPr>
        <w:spacing w:after="0" w:line="225" w:lineRule="exact"/>
        <w:rPr>
          <w:sz w:val="20"/>
          <w:szCs w:val="20"/>
          <w:color w:val="auto"/>
        </w:rPr>
      </w:pPr>
    </w:p>
    <w:p>
      <w:pPr>
        <w:ind w:right="200" w:firstLine="648"/>
        <w:spacing w:after="0" w:line="285" w:lineRule="auto"/>
        <w:rPr>
          <w:sz w:val="20"/>
          <w:szCs w:val="20"/>
          <w:color w:val="auto"/>
        </w:rPr>
      </w:pPr>
      <w:r>
        <w:rPr>
          <w:rFonts w:ascii="Arial" w:cs="Arial" w:eastAsia="Arial" w:hAnsi="Arial"/>
          <w:sz w:val="16"/>
          <w:szCs w:val="16"/>
          <w:color w:val="auto"/>
        </w:rPr>
        <w:t>Each of the Administrative Agent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will be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w:t>
      </w:r>
    </w:p>
    <w:p>
      <w:pPr>
        <w:spacing w:after="0" w:line="2" w:lineRule="exact"/>
        <w:rPr>
          <w:sz w:val="20"/>
          <w:szCs w:val="20"/>
          <w:color w:val="auto"/>
        </w:rPr>
      </w:pPr>
    </w:p>
    <w:p>
      <w:pPr>
        <w:jc w:val="both"/>
        <w:ind w:right="720" w:firstLine="8"/>
        <w:spacing w:after="0" w:line="281" w:lineRule="auto"/>
        <w:tabs>
          <w:tab w:leader="none" w:pos="25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to any other party hereto, (e) as may be reasonably necessary in connection with the exercise of any remedies hereunder or under any other Loan Document or any action or proceeding relating to this Agreement or any other Loan Document or the enforcement of rights hereunder or thereunder,</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subject to an agreement containing provisions substantially the same as those of this Section, to (i) any assignee of or Participant in, or any prospective</w:t>
      </w:r>
    </w:p>
    <w:p>
      <w:pPr>
        <w:spacing w:after="0" w:line="32" w:lineRule="exact"/>
        <w:rPr>
          <w:rFonts w:ascii="Arial" w:cs="Arial" w:eastAsia="Arial" w:hAnsi="Arial"/>
          <w:sz w:val="16"/>
          <w:szCs w:val="16"/>
          <w:color w:val="auto"/>
        </w:rPr>
      </w:pPr>
    </w:p>
    <w:p>
      <w:pPr>
        <w:jc w:val="both"/>
        <w:ind w:right="100"/>
        <w:spacing w:after="0" w:line="281" w:lineRule="auto"/>
        <w:rPr>
          <w:rFonts w:ascii="Arial" w:cs="Arial" w:eastAsia="Arial" w:hAnsi="Arial"/>
          <w:sz w:val="16"/>
          <w:szCs w:val="16"/>
          <w:color w:val="auto"/>
        </w:rPr>
      </w:pPr>
      <w:r>
        <w:rPr>
          <w:rFonts w:ascii="Arial" w:cs="Arial" w:eastAsia="Arial" w:hAnsi="Arial"/>
          <w:sz w:val="16"/>
          <w:szCs w:val="16"/>
          <w:color w:val="auto"/>
        </w:rPr>
        <w:t>assignee of or Participant in, any of its rights and obligations under this Agreement or (ii) any actual or prospective party (or its Related Parties) to any swap, derivative or other transaction under which payments are to be made by reference to a Loan Party and its obligations, this Agreement or payments hereunder,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on a confidential basis to (i) any rating agency in connection with rating the Borrower or its Subsidiaries or the credit facilities provided hereunder or</w:t>
      </w:r>
    </w:p>
    <w:p>
      <w:pPr>
        <w:spacing w:after="0" w:line="20" w:lineRule="exact"/>
        <w:rPr>
          <w:rFonts w:ascii="Arial" w:cs="Arial" w:eastAsia="Arial" w:hAnsi="Arial"/>
          <w:sz w:val="17"/>
          <w:szCs w:val="17"/>
          <w:color w:val="auto"/>
        </w:rPr>
      </w:pPr>
    </w:p>
    <w:p>
      <w:pPr>
        <w:ind w:right="20" w:firstLine="8"/>
        <w:spacing w:after="0" w:line="281" w:lineRule="auto"/>
        <w:tabs>
          <w:tab w:leader="none" w:pos="26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CUSIP Service Bureau or any similar agency in connection with the issuance and monitoring of CUSIP numbers or other market identifiers with respect to the credit facilities provided hereunder, (h) with the consent of the Borrower, (i) to the members of its investment committee and its limited partners (it being understood that the Persons to whom such disclosure is made will be informed of the confidential nature of such Information and instructed to keep such Information confidential) or (j) to the extent such Information (x) becomes publicly available other than as a result of a breach of this Section or</w:t>
      </w:r>
    </w:p>
    <w:p>
      <w:pPr>
        <w:spacing w:after="0" w:line="2" w:lineRule="exact"/>
        <w:rPr>
          <w:rFonts w:ascii="Arial" w:cs="Arial" w:eastAsia="Arial" w:hAnsi="Arial"/>
          <w:sz w:val="16"/>
          <w:szCs w:val="16"/>
          <w:color w:val="auto"/>
        </w:rPr>
      </w:pPr>
    </w:p>
    <w:p>
      <w:pPr>
        <w:ind w:right="300" w:firstLine="8"/>
        <w:spacing w:after="0" w:line="261" w:lineRule="auto"/>
        <w:tabs>
          <w:tab w:leader="none" w:pos="25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becomes available to the Administrative Agent, any Lender or any of their respective Affiliates on a nonconfidential basis from a source other than the Borrower.</w:t>
      </w:r>
    </w:p>
    <w:p>
      <w:pPr>
        <w:spacing w:after="0" w:line="184"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a Loan Party or any Subsidiary relating to the Loan Parties or any Subsidiary or any of their respective businesses, other than any such information that is available to the Administrative Agent or any Lender on a nonconfidential basis prior to disclosure by such Loan Party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in the case of information received from a Loan Party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11.08</w:t>
      </w:r>
      <w:r>
        <w:rPr>
          <w:sz w:val="20"/>
          <w:szCs w:val="20"/>
          <w:color w:val="auto"/>
        </w:rPr>
        <w:tab/>
      </w:r>
      <w:r>
        <w:rPr>
          <w:rFonts w:ascii="Arial" w:cs="Arial" w:eastAsia="Arial" w:hAnsi="Arial"/>
          <w:sz w:val="16"/>
          <w:szCs w:val="16"/>
          <w:u w:val="single" w:color="auto"/>
          <w:color w:val="auto"/>
        </w:rPr>
        <w:t>Set-off.</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If an Event of Default shall have occurred and be continuing, each Lender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or its</w:t>
      </w:r>
    </w:p>
    <w:p>
      <w:pPr>
        <w:sectPr>
          <w:pgSz w:w="11900" w:h="16838" w:orient="portrait"/>
          <w:cols w:equalWidth="0" w:num="1">
            <w:col w:w="11420"/>
          </w:cols>
          <w:pgMar w:left="240" w:top="733" w:right="239" w:bottom="0" w:gutter="0" w:footer="0" w:header="0"/>
        </w:sectPr>
      </w:pPr>
    </w:p>
    <w:bookmarkStart w:id="93" w:name="page94"/>
    <w:bookmarkEnd w:id="93"/>
    <w:p>
      <w:pPr>
        <w:ind w:right="240"/>
        <w:spacing w:after="0" w:line="312" w:lineRule="auto"/>
        <w:rPr>
          <w:sz w:val="20"/>
          <w:szCs w:val="20"/>
          <w:color w:val="auto"/>
        </w:rPr>
      </w:pPr>
      <w:r>
        <w:rPr>
          <w:rFonts w:ascii="Arial" w:cs="Arial" w:eastAsia="Arial" w:hAnsi="Arial"/>
          <w:sz w:val="16"/>
          <w:szCs w:val="16"/>
          <w:color w:val="auto"/>
        </w:rPr>
        <w:t xml:space="preserve">Affiliates, irrespective of whether or not such Lender or Affiliate shall have made any demand under this Agreement or any other Loan Document and although such obligations of the Borrower or such Loan Party may be contingent or unmatured or are owed to a branch office or Affiliate of such Lender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the event that any Defaulting Lender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failure to give such notice shall not affect the validity of such setoff and application.</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11.09</w:t>
      </w:r>
      <w:r>
        <w:rPr>
          <w:sz w:val="20"/>
          <w:szCs w:val="20"/>
          <w:color w:val="auto"/>
        </w:rPr>
        <w:tab/>
      </w:r>
      <w:r>
        <w:rPr>
          <w:rFonts w:ascii="Arial" w:cs="Arial" w:eastAsia="Arial" w:hAnsi="Arial"/>
          <w:sz w:val="16"/>
          <w:szCs w:val="16"/>
          <w:u w:val="single" w:color="auto"/>
          <w:color w:val="auto"/>
        </w:rPr>
        <w:t>Interest Rate Limitation.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u w:val="single" w:color="auto"/>
          <w:color w:val="auto"/>
        </w:rPr>
        <w:t>Counterparts; Integration; Effectiveness.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5.01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Survival of Representations and Warranties.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All representations and warranties made hereunder and in any other Loan Document or other document delivered pursuant hereto or thereto or in connection herewith or therewith shall survive the execution and delivery hereof and thereof and shall continue in full force and effect as long as any Loan or other Obligation hereunder shall remain unpaid or unsatisfied.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and shall continue in full force and effect as long as any Loan or any other Obligation hereunder shall remain unpaid or unsatisfied.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7"/>
          <w:szCs w:val="17"/>
          <w:u w:val="single" w:color="auto"/>
          <w:color w:val="auto"/>
        </w:rPr>
        <w:t>Section 11.12</w:t>
      </w:r>
      <w:r>
        <w:rPr>
          <w:rFonts w:ascii="Arial" w:cs="Arial" w:eastAsia="Arial" w:hAnsi="Arial"/>
          <w:sz w:val="17"/>
          <w:szCs w:val="17"/>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u w:val="single" w:color="auto"/>
          <w:color w:val="auto"/>
        </w:rPr>
        <w:t>Replacement of Lenders.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w:t>
      </w:r>
    </w:p>
    <w:p>
      <w:pPr>
        <w:spacing w:after="0" w:line="188" w:lineRule="exact"/>
        <w:rPr>
          <w:sz w:val="20"/>
          <w:szCs w:val="20"/>
          <w:color w:val="auto"/>
        </w:rPr>
      </w:pPr>
    </w:p>
    <w:p>
      <w:pPr>
        <w:ind w:left="820" w:right="120" w:firstLine="647"/>
        <w:spacing w:after="0" w:line="297" w:lineRule="auto"/>
        <w:tabs>
          <w:tab w:leader="none" w:pos="211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one hundred percent (100%) of (x) the outstanding principal of its Loans, accrued interest thereon and all other amounts payable to it hereunder and under the other Loan Documents (other than prepayment premium) from the assignee (to the extent of such outstanding principal and accrued interest) or the Borrower (in the case of all other amounts) and (y) the prepayment premium required by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from the Borrower, as if such assignment was a prepayment of one hundred percent (100%) of the outstanding principal amount of such assignor’s Loans on the effective date of such assignment;</w:t>
      </w:r>
    </w:p>
    <w:p>
      <w:pPr>
        <w:spacing w:after="0" w:line="158" w:lineRule="exact"/>
        <w:rPr>
          <w:rFonts w:ascii="Arial" w:cs="Arial" w:eastAsia="Arial" w:hAnsi="Arial"/>
          <w:sz w:val="16"/>
          <w:szCs w:val="16"/>
          <w:color w:val="auto"/>
        </w:rPr>
      </w:pPr>
    </w:p>
    <w:p>
      <w:pPr>
        <w:ind w:left="2120" w:hanging="653"/>
        <w:spacing w:after="0"/>
        <w:tabs>
          <w:tab w:leader="none" w:pos="2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ectPr>
          <w:pgSz w:w="11900" w:h="16838" w:orient="portrait"/>
          <w:cols w:equalWidth="0" w:num="1">
            <w:col w:w="11400"/>
          </w:cols>
          <w:pgMar w:left="240" w:top="125" w:right="259" w:bottom="0" w:gutter="0" w:footer="0" w:header="0"/>
        </w:sectPr>
      </w:pPr>
    </w:p>
    <w:bookmarkStart w:id="94" w:name="page95"/>
    <w:bookmarkEnd w:id="94"/>
    <w:p>
      <w:pPr>
        <w:spacing w:after="0" w:line="82" w:lineRule="exact"/>
        <w:rPr>
          <w:sz w:val="20"/>
          <w:szCs w:val="20"/>
          <w:color w:val="auto"/>
        </w:rPr>
      </w:pPr>
    </w:p>
    <w:p>
      <w:pPr>
        <w:ind w:left="820" w:firstLine="647"/>
        <w:spacing w:after="0" w:line="255" w:lineRule="auto"/>
        <w:tabs>
          <w:tab w:leader="none" w:pos="212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pursuant to this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shall nevertheless be effective without the execution by such Non-Consenting Lender of an Assignment and Assumption.</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u w:val="single" w:color="auto"/>
          <w:color w:val="auto"/>
        </w:rPr>
        <w:t>Governing Law; Jurisdiction; Etc.</w:t>
      </w:r>
    </w:p>
    <w:p>
      <w:pPr>
        <w:spacing w:after="0" w:line="225" w:lineRule="exact"/>
        <w:rPr>
          <w:sz w:val="20"/>
          <w:szCs w:val="20"/>
          <w:color w:val="auto"/>
        </w:rPr>
      </w:pPr>
    </w:p>
    <w:p>
      <w:pPr>
        <w:ind w:left="660" w:right="20" w:firstLine="645"/>
        <w:spacing w:after="0" w:line="255" w:lineRule="auto"/>
        <w:tabs>
          <w:tab w:leader="none" w:pos="1954"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93" w:lineRule="exact"/>
        <w:rPr>
          <w:rFonts w:ascii="Arial" w:cs="Arial" w:eastAsia="Arial" w:hAnsi="Arial"/>
          <w:sz w:val="18"/>
          <w:szCs w:val="18"/>
          <w:color w:val="auto"/>
        </w:rPr>
      </w:pPr>
    </w:p>
    <w:p>
      <w:pPr>
        <w:ind w:left="660" w:right="40" w:firstLine="645"/>
        <w:spacing w:after="0" w:line="268" w:lineRule="auto"/>
        <w:tabs>
          <w:tab w:leader="none" w:pos="1964"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OTHER FORUM OTHER THAN THE COURTS OF THE STATE OF NEW YORK AND ANY UNITED STATES DISTRICT COURT IN THE STATE OF NEW YORK, IN EACH CASE LOCATED IN NEW YORK COUNTY,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LOAN PARTY OR ITS PROPERTIES IN THE COURTS OF ANY JURISDICTION.</w:t>
      </w:r>
    </w:p>
    <w:p>
      <w:pPr>
        <w:spacing w:after="0" w:line="180" w:lineRule="exact"/>
        <w:rPr>
          <w:rFonts w:ascii="Arial" w:cs="Arial" w:eastAsia="Arial" w:hAnsi="Arial"/>
          <w:sz w:val="17"/>
          <w:szCs w:val="17"/>
          <w:color w:val="auto"/>
        </w:rPr>
      </w:pPr>
    </w:p>
    <w:p>
      <w:pPr>
        <w:ind w:left="660" w:firstLine="645"/>
        <w:spacing w:after="0" w:line="273" w:lineRule="auto"/>
        <w:tabs>
          <w:tab w:leader="none" w:pos="1967"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WAIVER OF VENUE</w:t>
      </w:r>
      <w:r>
        <w:rPr>
          <w:rFonts w:ascii="Arial" w:cs="Arial" w:eastAsia="Arial" w:hAnsi="Arial"/>
          <w:sz w:val="17"/>
          <w:szCs w:val="17"/>
          <w:color w:val="auto"/>
        </w:rPr>
        <w:t xml:space="preserv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w:t>
      </w:r>
      <w:r>
        <w:rPr>
          <w:rFonts w:ascii="Arial" w:cs="Arial" w:eastAsia="Arial" w:hAnsi="Arial"/>
          <w:sz w:val="17"/>
          <w:szCs w:val="17"/>
          <w:u w:val="single" w:color="auto"/>
          <w:color w:val="auto"/>
        </w:rPr>
        <w:t>SECTION 11.14</w:t>
      </w:r>
      <w:r>
        <w:rPr>
          <w:rFonts w:ascii="Arial" w:cs="Arial" w:eastAsia="Arial" w:hAnsi="Arial"/>
          <w:sz w:val="17"/>
          <w:szCs w:val="17"/>
          <w:color w:val="auto"/>
        </w:rPr>
        <w:t>. EACH OF THE PARTIES HERETO HEREBY IRREVOCABLY WAIVES, TO THE FULLEST EXTENT PERMITTED BY APPLICABLE LAW, THE DEFENSE OF AN INCONVENIENT FORUM TO THE MAINTENANCE OF SUCH ACTION OR PROCEEDING IN ANY SUCH COURT.</w:t>
      </w:r>
    </w:p>
    <w:p>
      <w:pPr>
        <w:spacing w:after="0" w:line="178" w:lineRule="exact"/>
        <w:rPr>
          <w:rFonts w:ascii="Arial" w:cs="Arial" w:eastAsia="Arial" w:hAnsi="Arial"/>
          <w:sz w:val="17"/>
          <w:szCs w:val="17"/>
          <w:color w:val="auto"/>
        </w:rPr>
      </w:pPr>
    </w:p>
    <w:p>
      <w:pPr>
        <w:ind w:left="660" w:right="560" w:firstLine="645"/>
        <w:spacing w:after="0" w:line="277" w:lineRule="auto"/>
        <w:tabs>
          <w:tab w:leader="none" w:pos="1964"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EACH PARTY HERETO IRREVOCABLY CONSENTS TO SERVICE OF PROCESS IN THE MANNER PROVIDED FOR NOTICES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u w:val="single" w:color="auto"/>
          <w:color w:val="auto"/>
        </w:rPr>
        <w:t>Waiver of Right to Trial by Jury.</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Arial" w:cs="Arial" w:eastAsia="Arial" w:hAnsi="Arial"/>
          <w:sz w:val="18"/>
          <w:szCs w:val="18"/>
          <w:u w:val="single" w:color="auto"/>
          <w:color w:val="auto"/>
        </w:rPr>
        <w:t>SECTION 11.15</w:t>
      </w:r>
      <w:r>
        <w:rPr>
          <w:rFonts w:ascii="Arial" w:cs="Arial" w:eastAsia="Arial" w:hAnsi="Arial"/>
          <w:sz w:val="18"/>
          <w:szCs w:val="18"/>
          <w:color w:val="auto"/>
        </w:rPr>
        <w:t>.</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u w:val="single" w:color="auto"/>
          <w:color w:val="auto"/>
        </w:rPr>
        <w:t>Electronic Execution of Assignments and Certain Other Documents.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ectPr>
          <w:pgSz w:w="11900" w:h="16921" w:orient="portrait"/>
          <w:cols w:equalWidth="0" w:num="1">
            <w:col w:w="11420"/>
          </w:cols>
          <w:pgMar w:left="240" w:top="125" w:right="239" w:bottom="0" w:gutter="0" w:footer="0" w:header="0"/>
        </w:sectPr>
      </w:pPr>
    </w:p>
    <w:bookmarkStart w:id="95" w:name="page96"/>
    <w:bookmarkEnd w:id="95"/>
    <w:p>
      <w:pPr>
        <w:ind w:left="660"/>
        <w:spacing w:after="0"/>
        <w:tabs>
          <w:tab w:leader="none" w:pos="126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7"/>
          <w:szCs w:val="17"/>
          <w:u w:val="single" w:color="auto"/>
          <w:color w:val="auto"/>
        </w:rPr>
        <w:t>USA PATRIOT Act.</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Each Lender that is subject to the PATRIOT Act (as hereinafter defined) and the Administrative Agent (for itself and not on behalf of any Lender) hereby notifies the Borrower and the other Loan Parties that pursuant to the requirements of the USA PATRIOT Act (Title III of Pub. L. 107-56 (signed into law October 26, 2001)) (the “</w:t>
      </w:r>
      <w:r>
        <w:rPr>
          <w:rFonts w:ascii="Arial" w:cs="Arial" w:eastAsia="Arial" w:hAnsi="Arial"/>
          <w:sz w:val="16"/>
          <w:szCs w:val="16"/>
          <w:u w:val="single" w:color="auto"/>
          <w:color w:val="auto"/>
        </w:rPr>
        <w:t>PATRIOT Act</w:t>
      </w:r>
      <w:r>
        <w:rPr>
          <w:rFonts w:ascii="Arial" w:cs="Arial" w:eastAsia="Arial" w:hAnsi="Arial"/>
          <w:sz w:val="16"/>
          <w:szCs w:val="16"/>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The Borrower and the Loan Parties agree to,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spacing w:after="0" w:line="16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u w:val="single" w:color="auto"/>
          <w:color w:val="auto"/>
        </w:rPr>
        <w:t>No Advisory or Fiduciary Relationship.</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Administrative Agent and the Lenders are arm’s-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length commercial transactions between the Borrower and its Affiliates, on the one hand, and the Administrative Agent, the Lenders and their respective Affiliates on the other hand, (ii) the Borrower has consulted its own legal, accounting, regulatory and tax advisors to the extent it has deemed appropriate and</w:t>
      </w:r>
    </w:p>
    <w:p>
      <w:pPr>
        <w:ind w:right="40" w:firstLine="8"/>
        <w:spacing w:after="0" w:line="286" w:lineRule="auto"/>
        <w:tabs>
          <w:tab w:leader="none" w:pos="31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Borrower is capable of evaluating, and understands and accepts, the terms, risks and conditions of the transactions contemplated hereby and by the other Loan Documents; (b)(i) the Administrative Agent, each Lender and each of their respective Affiliates is and has been acting solely as a principal and, except as expressly agreed in writing by the relevant parties, has not been, is not and will not be acting as an advisor, agent or fiduciary, for the Borrower or any of Affiliates or any other Person and (ii) neither the Administrative Agent, any Lender nor any of their respective Affiliates has any obligation to the Borrower or any of its Affiliates with respect to the transactions contemplated hereby except those obligations expressly set forth herein and in the other Loan Documents; and (c) the Administrative Agent, the Lenders and their respective Affiliates may be engaged in a broad range of transactions that involve interests that differ from those of the Borrower and its Affiliates, and neither the Administrative Agent nor any Lender nor any of their respective Affiliates has any obligation to disclose any of such interests to the Borrower or its Affiliates. To the fullest extent permitted by law, the Borrower hereby waives and releases, any claims that it may have against the Administrative Agent, any Lender or any of their respective Affiliates with respect to any breach or alleged breach of agency or fiduciary duty in connection with any aspect of any transaction contemplated hereby.</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6"/>
          <w:szCs w:val="16"/>
          <w:u w:val="single" w:color="auto"/>
          <w:color w:val="auto"/>
        </w:rPr>
        <w:t>Facility Termination Date.</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the Facility Termination Date, all security interests granted to the Administrative Agent, the Secured Parties and/or the Lenders in the Collateral pursuant to the Collateral Documents shall automatically terminate. Upon the request of the Borrower on or after the occurrence of the Facility Termination Date, the Administrative Agent shall promptly deliver (all at the expense of the Borrower) such executed notices, terminations, releases or other documentation as the Borrower shall request to evidence the termination of the security interests granted to the Administrative Agent pursuant to the Collateral Documents.</w:t>
      </w:r>
    </w:p>
    <w:p>
      <w:pPr>
        <w:spacing w:after="0" w:line="18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u w:val="single" w:color="auto"/>
          <w:color w:val="auto"/>
        </w:rPr>
        <w:t>Funding Date.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parties hereto agree that if the Funding Date does not occur on or before May 30, 2016, this Agreement and all other Loan Documents shall be automatically terminated.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hereto have caused this Agreement to be duly executed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BORROWER:</w:t>
            </w:r>
          </w:p>
        </w:tc>
        <w:tc>
          <w:tcPr>
            <w:tcW w:w="7980" w:type="dxa"/>
            <w:vAlign w:val="bottom"/>
            <w:gridSpan w:val="2"/>
          </w:tcPr>
          <w:p>
            <w:pPr>
              <w:ind w:left="2380"/>
              <w:spacing w:after="0"/>
              <w:rPr>
                <w:sz w:val="20"/>
                <w:szCs w:val="20"/>
                <w:color w:val="auto"/>
              </w:rPr>
            </w:pPr>
            <w:r>
              <w:rPr>
                <w:rFonts w:ascii="Arial" w:cs="Arial" w:eastAsia="Arial" w:hAnsi="Arial"/>
                <w:sz w:val="18"/>
                <w:szCs w:val="18"/>
                <w:color w:val="auto"/>
              </w:rPr>
              <w:t>VERACYTE, INC.,</w:t>
            </w:r>
          </w:p>
        </w:tc>
      </w:tr>
      <w:tr>
        <w:trPr>
          <w:trHeight w:val="230"/>
        </w:trPr>
        <w:tc>
          <w:tcPr>
            <w:tcW w:w="3440" w:type="dxa"/>
            <w:vAlign w:val="bottom"/>
          </w:tcPr>
          <w:p>
            <w:pPr>
              <w:spacing w:after="0"/>
              <w:rPr>
                <w:sz w:val="20"/>
                <w:szCs w:val="20"/>
                <w:color w:val="auto"/>
              </w:rPr>
            </w:pPr>
          </w:p>
        </w:tc>
        <w:tc>
          <w:tcPr>
            <w:tcW w:w="7980" w:type="dxa"/>
            <w:vAlign w:val="bottom"/>
            <w:gridSpan w:val="2"/>
          </w:tcPr>
          <w:p>
            <w:pPr>
              <w:ind w:left="2380"/>
              <w:spacing w:after="0"/>
              <w:rPr>
                <w:sz w:val="20"/>
                <w:szCs w:val="20"/>
                <w:color w:val="auto"/>
              </w:rPr>
            </w:pPr>
            <w:r>
              <w:rPr>
                <w:rFonts w:ascii="Arial" w:cs="Arial" w:eastAsia="Arial" w:hAnsi="Arial"/>
                <w:sz w:val="18"/>
                <w:szCs w:val="18"/>
                <w:color w:val="auto"/>
              </w:rPr>
              <w:t>a Delaware corporation</w:t>
            </w:r>
          </w:p>
        </w:tc>
      </w:tr>
      <w:tr>
        <w:trPr>
          <w:trHeight w:val="648"/>
        </w:trPr>
        <w:tc>
          <w:tcPr>
            <w:tcW w:w="3440" w:type="dxa"/>
            <w:vAlign w:val="bottom"/>
          </w:tcPr>
          <w:p>
            <w:pPr>
              <w:spacing w:after="0"/>
              <w:rPr>
                <w:sz w:val="24"/>
                <w:szCs w:val="24"/>
                <w:color w:val="auto"/>
              </w:rPr>
            </w:pPr>
          </w:p>
        </w:tc>
        <w:tc>
          <w:tcPr>
            <w:tcW w:w="7980" w:type="dxa"/>
            <w:vAlign w:val="bottom"/>
            <w:gridSpan w:val="2"/>
          </w:tcPr>
          <w:p>
            <w:pPr>
              <w:ind w:left="2380"/>
              <w:spacing w:after="0"/>
              <w:rPr>
                <w:sz w:val="20"/>
                <w:szCs w:val="20"/>
                <w:color w:val="auto"/>
              </w:rPr>
            </w:pPr>
            <w:r>
              <w:rPr>
                <w:rFonts w:ascii="Arial" w:cs="Arial" w:eastAsia="Arial" w:hAnsi="Arial"/>
                <w:sz w:val="18"/>
                <w:szCs w:val="18"/>
                <w:color w:val="auto"/>
              </w:rPr>
              <w:t>By:  /s/ Bonnie Anderson</w:t>
            </w:r>
          </w:p>
        </w:tc>
      </w:tr>
      <w:tr>
        <w:trPr>
          <w:trHeight w:val="182"/>
        </w:trPr>
        <w:tc>
          <w:tcPr>
            <w:tcW w:w="3440" w:type="dxa"/>
            <w:vAlign w:val="bottom"/>
          </w:tcPr>
          <w:p>
            <w:pPr>
              <w:spacing w:after="0"/>
              <w:rPr>
                <w:sz w:val="15"/>
                <w:szCs w:val="15"/>
                <w:color w:val="auto"/>
              </w:rPr>
            </w:pPr>
          </w:p>
        </w:tc>
        <w:tc>
          <w:tcPr>
            <w:tcW w:w="2760" w:type="dxa"/>
            <w:vAlign w:val="bottom"/>
          </w:tcPr>
          <w:p>
            <w:pPr>
              <w:ind w:left="2380"/>
              <w:spacing w:after="0" w:line="182" w:lineRule="exact"/>
              <w:rPr>
                <w:sz w:val="20"/>
                <w:szCs w:val="20"/>
                <w:color w:val="auto"/>
              </w:rPr>
            </w:pPr>
            <w:r>
              <w:rPr>
                <w:rFonts w:ascii="Arial" w:cs="Arial" w:eastAsia="Arial" w:hAnsi="Arial"/>
                <w:sz w:val="17"/>
                <w:szCs w:val="17"/>
                <w:color w:val="auto"/>
                <w:w w:val="71"/>
              </w:rPr>
              <w:t>Name:</w:t>
            </w:r>
          </w:p>
        </w:tc>
        <w:tc>
          <w:tcPr>
            <w:tcW w:w="522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Bonnie Anderson</w:t>
            </w:r>
          </w:p>
        </w:tc>
      </w:tr>
      <w:tr>
        <w:trPr>
          <w:trHeight w:val="230"/>
        </w:trPr>
        <w:tc>
          <w:tcPr>
            <w:tcW w:w="3440" w:type="dxa"/>
            <w:vAlign w:val="bottom"/>
          </w:tcPr>
          <w:p>
            <w:pPr>
              <w:spacing w:after="0"/>
              <w:rPr>
                <w:sz w:val="20"/>
                <w:szCs w:val="20"/>
                <w:color w:val="auto"/>
              </w:rPr>
            </w:pPr>
          </w:p>
        </w:tc>
        <w:tc>
          <w:tcPr>
            <w:tcW w:w="7980" w:type="dxa"/>
            <w:vAlign w:val="bottom"/>
            <w:gridSpan w:val="2"/>
          </w:tcPr>
          <w:p>
            <w:pPr>
              <w:ind w:left="2380"/>
              <w:spacing w:after="0"/>
              <w:rPr>
                <w:sz w:val="20"/>
                <w:szCs w:val="20"/>
                <w:color w:val="auto"/>
              </w:rPr>
            </w:pPr>
            <w:r>
              <w:rPr>
                <w:rFonts w:ascii="Arial" w:cs="Arial" w:eastAsia="Arial" w:hAnsi="Arial"/>
                <w:sz w:val="18"/>
                <w:szCs w:val="18"/>
                <w:color w:val="auto"/>
              </w:rPr>
              <w:t>Title: President &amp; CEO</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VISIUM HEALTHCARE PARTNERS,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00" w:lineRule="exact"/>
        <w:rPr>
          <w:sz w:val="20"/>
          <w:szCs w:val="20"/>
          <w:color w:val="auto"/>
        </w:rPr>
      </w:pPr>
    </w:p>
    <w:p>
      <w:pPr>
        <w:sectPr>
          <w:pgSz w:w="11900" w:h="16838" w:orient="portrait"/>
          <w:cols w:equalWidth="0" w:num="2">
            <w:col w:w="5100" w:space="720"/>
            <w:col w:w="5600"/>
          </w:cols>
          <w:pgMar w:left="240" w:top="341" w:right="239" w:bottom="0" w:gutter="0" w:footer="0" w:header="0"/>
          <w:type w:val="continuous"/>
        </w:sect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VISIUM HEALTHCARE ADVISORS, LP,</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its General Partner</w:t>
      </w:r>
    </w:p>
    <w:p>
      <w:pPr>
        <w:sectPr>
          <w:pgSz w:w="11900" w:h="16838" w:orient="portrait"/>
          <w:cols w:equalWidth="0" w:num="2">
            <w:col w:w="6080" w:space="320"/>
            <w:col w:w="5020"/>
          </w:cols>
          <w:pgMar w:left="240" w:top="341" w:right="239" w:bottom="0" w:gutter="0" w:footer="0" w:header="0"/>
          <w:type w:val="continuous"/>
        </w:sectPr>
      </w:pPr>
    </w:p>
    <w:bookmarkStart w:id="96" w:name="page97"/>
    <w:bookmarkEnd w:id="96"/>
    <w:tbl>
      <w:tblPr>
        <w:tblLayout w:type="fixed"/>
        <w:tblInd w:w="6580" w:type="dxa"/>
        <w:tblCellMar>
          <w:top w:w="0" w:type="dxa"/>
          <w:left w:w="0" w:type="dxa"/>
          <w:bottom w:w="0" w:type="dxa"/>
          <w:right w:w="0" w:type="dxa"/>
        </w:tblCellMar>
      </w:tblP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By:</w:t>
            </w:r>
          </w:p>
        </w:tc>
        <w:tc>
          <w:tcPr>
            <w:tcW w:w="3840" w:type="dxa"/>
            <w:vAlign w:val="bottom"/>
            <w:gridSpan w:val="3"/>
          </w:tcPr>
          <w:p>
            <w:pPr>
              <w:ind w:left="20"/>
              <w:spacing w:after="0"/>
              <w:rPr>
                <w:sz w:val="20"/>
                <w:szCs w:val="20"/>
                <w:color w:val="auto"/>
              </w:rPr>
            </w:pPr>
            <w:r>
              <w:rPr>
                <w:rFonts w:ascii="Arial" w:cs="Arial" w:eastAsia="Arial" w:hAnsi="Arial"/>
                <w:sz w:val="18"/>
                <w:szCs w:val="18"/>
                <w:color w:val="auto"/>
              </w:rPr>
              <w:t>JG ASSET II, LLC,</w:t>
            </w:r>
          </w:p>
        </w:tc>
      </w:tr>
      <w:tr>
        <w:trPr>
          <w:trHeight w:val="230"/>
        </w:trPr>
        <w:tc>
          <w:tcPr>
            <w:tcW w:w="4840" w:type="dxa"/>
            <w:vAlign w:val="bottom"/>
            <w:gridSpan w:val="5"/>
          </w:tcPr>
          <w:p>
            <w:pPr>
              <w:ind w:left="660"/>
              <w:spacing w:after="0"/>
              <w:rPr>
                <w:sz w:val="20"/>
                <w:szCs w:val="20"/>
                <w:color w:val="auto"/>
              </w:rPr>
            </w:pPr>
            <w:r>
              <w:rPr>
                <w:rFonts w:ascii="Arial" w:cs="Arial" w:eastAsia="Arial" w:hAnsi="Arial"/>
                <w:sz w:val="18"/>
                <w:szCs w:val="18"/>
                <w:color w:val="auto"/>
              </w:rPr>
              <w:t>its General Partner</w:t>
            </w:r>
          </w:p>
        </w:tc>
      </w:tr>
      <w:tr>
        <w:trPr>
          <w:trHeight w:val="432"/>
        </w:trPr>
        <w:tc>
          <w:tcPr>
            <w:tcW w:w="4840" w:type="dxa"/>
            <w:vAlign w:val="bottom"/>
            <w:gridSpan w:val="5"/>
          </w:tcPr>
          <w:p>
            <w:pPr>
              <w:ind w:left="480"/>
              <w:spacing w:after="0"/>
              <w:rPr>
                <w:sz w:val="20"/>
                <w:szCs w:val="20"/>
                <w:color w:val="auto"/>
              </w:rPr>
            </w:pPr>
            <w:r>
              <w:rPr>
                <w:rFonts w:ascii="Arial" w:cs="Arial" w:eastAsia="Arial" w:hAnsi="Arial"/>
                <w:sz w:val="18"/>
                <w:szCs w:val="18"/>
                <w:color w:val="auto"/>
              </w:rPr>
              <w:t>By:  /s/ Mark Gottlieb</w:t>
            </w:r>
          </w:p>
        </w:tc>
      </w:tr>
      <w:tr>
        <w:trPr>
          <w:trHeight w:val="210"/>
        </w:trPr>
        <w:tc>
          <w:tcPr>
            <w:tcW w:w="860" w:type="dxa"/>
            <w:vAlign w:val="bottom"/>
          </w:tcPr>
          <w:p>
            <w:pPr>
              <w:ind w:left="480"/>
              <w:spacing w:after="0"/>
              <w:rPr>
                <w:sz w:val="20"/>
                <w:szCs w:val="20"/>
                <w:color w:val="auto"/>
              </w:rPr>
            </w:pPr>
            <w:r>
              <w:rPr>
                <w:rFonts w:ascii="Arial" w:cs="Arial" w:eastAsia="Arial" w:hAnsi="Arial"/>
                <w:sz w:val="17"/>
                <w:szCs w:val="17"/>
                <w:color w:val="auto"/>
                <w:w w:val="71"/>
              </w:rPr>
              <w:t>Name:</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Mark Gottlieb</w:t>
            </w:r>
          </w:p>
        </w:tc>
      </w:tr>
      <w:tr>
        <w:trPr>
          <w:trHeight w:val="196"/>
        </w:trPr>
        <w:tc>
          <w:tcPr>
            <w:tcW w:w="1000" w:type="dxa"/>
            <w:vAlign w:val="bottom"/>
            <w:gridSpan w:val="2"/>
          </w:tcPr>
          <w:p>
            <w:pPr>
              <w:ind w:left="480"/>
              <w:spacing w:after="0" w:line="196" w:lineRule="exact"/>
              <w:rPr>
                <w:sz w:val="20"/>
                <w:szCs w:val="20"/>
                <w:color w:val="auto"/>
              </w:rPr>
            </w:pPr>
            <w:r>
              <w:rPr>
                <w:rFonts w:ascii="Arial" w:cs="Arial" w:eastAsia="Arial" w:hAnsi="Arial"/>
                <w:sz w:val="18"/>
                <w:szCs w:val="18"/>
                <w:color w:val="auto"/>
              </w:rPr>
              <w:t>Title:</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LENDERS: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VISIUM HEALTHCARE PARTNERS,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00" w:lineRule="exact"/>
        <w:rPr>
          <w:sz w:val="20"/>
          <w:szCs w:val="20"/>
          <w:color w:val="auto"/>
        </w:rPr>
      </w:pPr>
    </w:p>
    <w:p>
      <w:pPr>
        <w:sectPr>
          <w:pgSz w:w="11900" w:h="16838" w:orient="portrait"/>
          <w:cols w:equalWidth="0" w:num="2">
            <w:col w:w="5100" w:space="720"/>
            <w:col w:w="5600"/>
          </w:cols>
          <w:pgMar w:left="240" w:top="557" w:right="239" w:bottom="0" w:gutter="0" w:footer="0" w:header="0"/>
          <w:type w:val="continuous"/>
        </w:sect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VISIUM HEALTHCARE ADVISORS, LP,</w:t>
      </w:r>
    </w:p>
    <w:p>
      <w:pPr>
        <w:spacing w:after="0" w:line="35" w:lineRule="exact"/>
        <w:rPr>
          <w:sz w:val="20"/>
          <w:szCs w:val="20"/>
          <w:color w:val="auto"/>
        </w:rPr>
      </w:pPr>
    </w:p>
    <w:p>
      <w:pPr>
        <w:sectPr>
          <w:pgSz w:w="11900" w:h="16838" w:orient="portrait"/>
          <w:cols w:equalWidth="0" w:num="2">
            <w:col w:w="6080" w:space="220"/>
            <w:col w:w="5120"/>
          </w:cols>
          <w:pgMar w:left="240" w:top="557" w:right="239" w:bottom="0" w:gutter="0" w:footer="0" w:header="0"/>
          <w:type w:val="continuous"/>
        </w:sectPr>
      </w:pPr>
    </w:p>
    <w:p>
      <w:pPr>
        <w:ind w:left="64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6480" w:type="dxa"/>
        <w:tblCellMar>
          <w:top w:w="0" w:type="dxa"/>
          <w:left w:w="0" w:type="dxa"/>
          <w:bottom w:w="0" w:type="dxa"/>
          <w:right w:w="0" w:type="dxa"/>
        </w:tblCellMar>
      </w:tblP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3860" w:type="dxa"/>
            <w:vAlign w:val="bottom"/>
            <w:gridSpan w:val="3"/>
          </w:tcPr>
          <w:p>
            <w:pPr>
              <w:ind w:left="20"/>
              <w:spacing w:after="0"/>
              <w:rPr>
                <w:sz w:val="20"/>
                <w:szCs w:val="20"/>
                <w:color w:val="auto"/>
              </w:rPr>
            </w:pPr>
            <w:r>
              <w:rPr>
                <w:rFonts w:ascii="Arial" w:cs="Arial" w:eastAsia="Arial" w:hAnsi="Arial"/>
                <w:sz w:val="18"/>
                <w:szCs w:val="18"/>
                <w:color w:val="auto"/>
              </w:rPr>
              <w:t>JG ASSET II, LLC,</w:t>
            </w:r>
          </w:p>
        </w:tc>
      </w:tr>
      <w:tr>
        <w:trPr>
          <w:trHeight w:val="230"/>
        </w:trPr>
        <w:tc>
          <w:tcPr>
            <w:tcW w:w="4940" w:type="dxa"/>
            <w:vAlign w:val="bottom"/>
            <w:gridSpan w:val="5"/>
          </w:tcPr>
          <w:p>
            <w:pPr>
              <w:ind w:left="740"/>
              <w:spacing w:after="0"/>
              <w:rPr>
                <w:sz w:val="20"/>
                <w:szCs w:val="20"/>
                <w:color w:val="auto"/>
              </w:rPr>
            </w:pPr>
            <w:r>
              <w:rPr>
                <w:rFonts w:ascii="Arial" w:cs="Arial" w:eastAsia="Arial" w:hAnsi="Arial"/>
                <w:sz w:val="18"/>
                <w:szCs w:val="18"/>
                <w:color w:val="auto"/>
              </w:rPr>
              <w:t>its General Partner</w:t>
            </w:r>
          </w:p>
        </w:tc>
      </w:tr>
      <w:tr>
        <w:trPr>
          <w:trHeight w:val="648"/>
        </w:trPr>
        <w:tc>
          <w:tcPr>
            <w:tcW w:w="4940" w:type="dxa"/>
            <w:vAlign w:val="bottom"/>
            <w:gridSpan w:val="5"/>
          </w:tcPr>
          <w:p>
            <w:pPr>
              <w:ind w:left="560"/>
              <w:spacing w:after="0"/>
              <w:rPr>
                <w:sz w:val="20"/>
                <w:szCs w:val="20"/>
                <w:color w:val="auto"/>
              </w:rPr>
            </w:pPr>
            <w:r>
              <w:rPr>
                <w:rFonts w:ascii="Arial" w:cs="Arial" w:eastAsia="Arial" w:hAnsi="Arial"/>
                <w:sz w:val="18"/>
                <w:szCs w:val="18"/>
                <w:color w:val="auto"/>
              </w:rPr>
              <w:t>By:  /s/ Mark Gottlieb</w:t>
            </w:r>
          </w:p>
        </w:tc>
      </w:tr>
      <w:tr>
        <w:trPr>
          <w:trHeight w:val="210"/>
        </w:trPr>
        <w:tc>
          <w:tcPr>
            <w:tcW w:w="940" w:type="dxa"/>
            <w:vAlign w:val="bottom"/>
          </w:tcPr>
          <w:p>
            <w:pPr>
              <w:ind w:left="560"/>
              <w:spacing w:after="0"/>
              <w:rPr>
                <w:sz w:val="20"/>
                <w:szCs w:val="20"/>
                <w:color w:val="auto"/>
              </w:rPr>
            </w:pPr>
            <w:r>
              <w:rPr>
                <w:rFonts w:ascii="Arial" w:cs="Arial" w:eastAsia="Arial" w:hAnsi="Arial"/>
                <w:sz w:val="17"/>
                <w:szCs w:val="17"/>
                <w:color w:val="auto"/>
                <w:w w:val="71"/>
              </w:rPr>
              <w:t>Name:</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Mark Gottlieb</w:t>
            </w:r>
          </w:p>
        </w:tc>
      </w:tr>
      <w:tr>
        <w:trPr>
          <w:trHeight w:val="196"/>
        </w:trPr>
        <w:tc>
          <w:tcPr>
            <w:tcW w:w="108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Title:</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EXHIBIT A</w:t>
            </w:r>
          </w:p>
        </w:tc>
        <w:tc>
          <w:tcPr>
            <w:tcW w:w="4980" w:type="dxa"/>
            <w:vAlign w:val="bottom"/>
            <w:gridSpan w:val="3"/>
          </w:tcPr>
          <w:p>
            <w:pPr>
              <w:spacing w:after="0"/>
              <w:rPr>
                <w:sz w:val="18"/>
                <w:szCs w:val="18"/>
                <w:color w:val="auto"/>
              </w:rPr>
            </w:pPr>
          </w:p>
        </w:tc>
      </w:tr>
      <w:tr>
        <w:trPr>
          <w:trHeight w:val="453"/>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700" w:type="dxa"/>
            <w:vAlign w:val="bottom"/>
            <w:gridSpan w:val="7"/>
          </w:tcPr>
          <w:p>
            <w:pPr>
              <w:jc w:val="center"/>
              <w:ind w:right="1180"/>
              <w:spacing w:after="0"/>
              <w:rPr>
                <w:sz w:val="20"/>
                <w:szCs w:val="20"/>
                <w:color w:val="auto"/>
              </w:rPr>
            </w:pPr>
            <w:r>
              <w:rPr>
                <w:rFonts w:ascii="Arial" w:cs="Arial" w:eastAsia="Arial" w:hAnsi="Arial"/>
                <w:sz w:val="18"/>
                <w:szCs w:val="18"/>
                <w:b w:val="1"/>
                <w:bCs w:val="1"/>
                <w:color w:val="auto"/>
              </w:rPr>
              <w:t>FORM OF LOAN NOTICE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 20</w:t>
            </w: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To:</w:t>
            </w:r>
          </w:p>
        </w:tc>
        <w:tc>
          <w:tcPr>
            <w:tcW w:w="140" w:type="dxa"/>
            <w:vAlign w:val="bottom"/>
          </w:tcPr>
          <w:p>
            <w:pPr>
              <w:spacing w:after="0"/>
              <w:rPr>
                <w:sz w:val="24"/>
                <w:szCs w:val="24"/>
                <w:color w:val="auto"/>
              </w:rPr>
            </w:pPr>
          </w:p>
        </w:tc>
        <w:tc>
          <w:tcPr>
            <w:tcW w:w="10500" w:type="dxa"/>
            <w:vAlign w:val="bottom"/>
            <w:gridSpan w:val="8"/>
          </w:tcPr>
          <w:p>
            <w:pPr>
              <w:ind w:left="40"/>
              <w:spacing w:after="0"/>
              <w:rPr>
                <w:sz w:val="20"/>
                <w:szCs w:val="20"/>
                <w:color w:val="auto"/>
              </w:rPr>
            </w:pPr>
            <w:r>
              <w:rPr>
                <w:rFonts w:ascii="Arial" w:cs="Arial" w:eastAsia="Arial" w:hAnsi="Arial"/>
                <w:sz w:val="18"/>
                <w:szCs w:val="18"/>
                <w:color w:val="auto"/>
              </w:rPr>
              <w:t>Visium Healthcare Partners, LP, as Administrative Agent</w:t>
            </w:r>
          </w:p>
        </w:tc>
      </w:tr>
      <w:tr>
        <w:trPr>
          <w:trHeight w:val="392"/>
        </w:trPr>
        <w:tc>
          <w:tcPr>
            <w:tcW w:w="520" w:type="dxa"/>
            <w:vAlign w:val="bottom"/>
          </w:tcPr>
          <w:p>
            <w:pPr>
              <w:spacing w:after="0"/>
              <w:rPr>
                <w:sz w:val="20"/>
                <w:szCs w:val="20"/>
                <w:color w:val="auto"/>
              </w:rPr>
            </w:pPr>
            <w:r>
              <w:rPr>
                <w:rFonts w:ascii="Arial" w:cs="Arial" w:eastAsia="Arial" w:hAnsi="Arial"/>
                <w:sz w:val="18"/>
                <w:szCs w:val="18"/>
                <w:color w:val="auto"/>
              </w:rPr>
              <w:t>Re:</w:t>
            </w:r>
          </w:p>
        </w:tc>
        <w:tc>
          <w:tcPr>
            <w:tcW w:w="10640" w:type="dxa"/>
            <w:vAlign w:val="bottom"/>
            <w:gridSpan w:val="9"/>
          </w:tcPr>
          <w:p>
            <w:pPr>
              <w:ind w:left="120"/>
              <w:spacing w:after="0"/>
              <w:rPr>
                <w:sz w:val="20"/>
                <w:szCs w:val="20"/>
                <w:color w:val="auto"/>
              </w:rPr>
            </w:pPr>
            <w:r>
              <w:rPr>
                <w:rFonts w:ascii="Arial" w:cs="Arial" w:eastAsia="Arial" w:hAnsi="Arial"/>
                <w:sz w:val="18"/>
                <w:szCs w:val="18"/>
                <w:color w:val="auto"/>
                <w:w w:val="96"/>
              </w:rPr>
              <w:t>Credit Agreement dated as of March 25, 2016 (as amended, modified, restated, supplemented or extended from time to time, the “Credit</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500" w:type="dxa"/>
            <w:vAlign w:val="bottom"/>
            <w:gridSpan w:val="8"/>
          </w:tcPr>
          <w:p>
            <w:pPr>
              <w:spacing w:after="0" w:line="196" w:lineRule="exact"/>
              <w:rPr>
                <w:sz w:val="20"/>
                <w:szCs w:val="20"/>
                <w:color w:val="auto"/>
              </w:rPr>
            </w:pPr>
            <w:r>
              <w:rPr>
                <w:rFonts w:ascii="Arial" w:cs="Arial" w:eastAsia="Arial" w:hAnsi="Arial"/>
                <w:sz w:val="18"/>
                <w:szCs w:val="18"/>
                <w:color w:val="auto"/>
                <w:w w:val="93"/>
              </w:rPr>
              <w:t>Agreement”) among Veracyte, Inc., a Delaware corporation (the “Borrower”), the Guarantors, the Lenders from time to time party thereto and</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r>
      <w:tr>
        <w:trPr>
          <w:trHeight w:val="222"/>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w w:val="90"/>
              </w:rPr>
              <w:t>Visium Healthcare Partners, LP, as Administrative Agent. Capitalized terms used but not otherwise defined herein have the meanings provided in</w:t>
            </w:r>
          </w:p>
        </w:tc>
      </w:tr>
      <w:tr>
        <w:trPr>
          <w:trHeight w:val="230"/>
        </w:trPr>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rPr>
              <w:t>the Credit Agreement.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a Borrowing of [Term A Loans] [Term B Loans]</w:t>
      </w:r>
      <w:r>
        <w:rPr>
          <w:rFonts w:ascii="Arial" w:cs="Arial" w:eastAsia="Arial" w:hAnsi="Arial"/>
          <w:sz w:val="23"/>
          <w:szCs w:val="23"/>
          <w:color w:val="auto"/>
          <w:vertAlign w:val="superscript"/>
        </w:rPr>
        <w:t>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1.</w:t>
            </w:r>
          </w:p>
        </w:tc>
        <w:tc>
          <w:tcPr>
            <w:tcW w:w="2500" w:type="dxa"/>
            <w:vAlign w:val="bottom"/>
          </w:tcPr>
          <w:p>
            <w:pPr>
              <w:ind w:left="280"/>
              <w:spacing w:after="0"/>
              <w:rPr>
                <w:sz w:val="20"/>
                <w:szCs w:val="20"/>
                <w:color w:val="auto"/>
              </w:rPr>
            </w:pPr>
            <w:r>
              <w:rPr>
                <w:rFonts w:ascii="Arial" w:cs="Arial" w:eastAsia="Arial" w:hAnsi="Arial"/>
                <w:sz w:val="18"/>
                <w:szCs w:val="18"/>
                <w:color w:val="auto"/>
              </w:rPr>
              <w:t>on [the Funding Date]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t>
            </w:r>
          </w:p>
        </w:tc>
        <w:tc>
          <w:tcPr>
            <w:tcW w:w="2560" w:type="dxa"/>
            <w:vAlign w:val="bottom"/>
          </w:tcPr>
          <w:p>
            <w:pPr>
              <w:jc w:val="right"/>
              <w:spacing w:after="0"/>
              <w:rPr>
                <w:sz w:val="20"/>
                <w:szCs w:val="20"/>
                <w:color w:val="auto"/>
              </w:rPr>
            </w:pPr>
            <w:r>
              <w:rPr>
                <w:rFonts w:ascii="Arial" w:cs="Arial" w:eastAsia="Arial" w:hAnsi="Arial"/>
                <w:sz w:val="18"/>
                <w:szCs w:val="18"/>
                <w:color w:val="auto"/>
              </w:rPr>
              <w:t>, 20 ] (which is a Business Day)</w:t>
            </w:r>
          </w:p>
        </w:tc>
      </w:tr>
      <w:tr>
        <w:trPr>
          <w:trHeight w:val="350"/>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2.</w:t>
            </w:r>
          </w:p>
        </w:tc>
        <w:tc>
          <w:tcPr>
            <w:tcW w:w="2500" w:type="dxa"/>
            <w:vAlign w:val="bottom"/>
          </w:tcPr>
          <w:p>
            <w:pPr>
              <w:ind w:left="280"/>
              <w:spacing w:after="0"/>
              <w:rPr>
                <w:sz w:val="20"/>
                <w:szCs w:val="20"/>
                <w:color w:val="auto"/>
              </w:rPr>
            </w:pPr>
            <w:r>
              <w:rPr>
                <w:rFonts w:ascii="Arial" w:cs="Arial" w:eastAsia="Arial" w:hAnsi="Arial"/>
                <w:sz w:val="18"/>
                <w:szCs w:val="18"/>
                <w:color w:val="auto"/>
              </w:rPr>
              <w:t>in the principal amount of $</w:t>
            </w:r>
          </w:p>
        </w:tc>
        <w:tc>
          <w:tcPr>
            <w:tcW w:w="2560" w:type="dxa"/>
            <w:vAlign w:val="bottom"/>
          </w:tcPr>
          <w:p>
            <w:pPr>
              <w:jc w:val="right"/>
              <w:ind w:right="169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840"/>
        <w:spacing w:after="0" w:line="292" w:lineRule="auto"/>
        <w:rPr>
          <w:sz w:val="20"/>
          <w:szCs w:val="20"/>
          <w:color w:val="auto"/>
        </w:rPr>
      </w:pPr>
      <w:r>
        <w:rPr>
          <w:rFonts w:ascii="Arial" w:cs="Arial" w:eastAsia="Arial" w:hAnsi="Arial"/>
          <w:sz w:val="18"/>
          <w:szCs w:val="18"/>
          <w:color w:val="auto"/>
        </w:rPr>
        <w:t xml:space="preserve">[The Borrower hereby represents and warrants that each of the conditions set forth in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w:t>
      </w:r>
      <w:r>
        <w:rPr>
          <w:rFonts w:ascii="Arial" w:cs="Arial" w:eastAsia="Arial" w:hAnsi="Arial"/>
          <w:sz w:val="18"/>
          <w:szCs w:val="18"/>
          <w:color w:val="auto"/>
        </w:rPr>
        <w:t xml:space="preserve">, </w:t>
      </w:r>
      <w:r>
        <w:rPr>
          <w:rFonts w:ascii="Arial" w:cs="Arial" w:eastAsia="Arial" w:hAnsi="Arial"/>
          <w:sz w:val="18"/>
          <w:szCs w:val="18"/>
          <w:u w:val="single" w:color="auto"/>
          <w:color w:val="auto"/>
        </w:rPr>
        <w:t>5.03(a)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5.03(e)</w:t>
      </w:r>
      <w:r>
        <w:rPr>
          <w:rFonts w:ascii="Arial" w:cs="Arial" w:eastAsia="Arial" w:hAnsi="Arial"/>
          <w:sz w:val="18"/>
          <w:szCs w:val="18"/>
          <w:color w:val="auto"/>
        </w:rPr>
        <w:t xml:space="preserve"> of the Credit Agreement has been satisfied on and as of the date of such Borrowing.]</w:t>
      </w:r>
      <w:r>
        <w:rPr>
          <w:rFonts w:ascii="Arial" w:cs="Arial" w:eastAsia="Arial" w:hAnsi="Arial"/>
          <w:sz w:val="23"/>
          <w:szCs w:val="23"/>
          <w:color w:val="auto"/>
          <w:vertAlign w:val="superscript"/>
        </w:rPr>
        <w:t>3</w:t>
      </w:r>
    </w:p>
    <w:p>
      <w:pPr>
        <w:spacing w:after="0" w:line="75"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 xml:space="preserve">[The Borrower hereby represents and warrants that each of the conditions set forth in </w:t>
      </w:r>
      <w:r>
        <w:rPr>
          <w:rFonts w:ascii="Arial" w:cs="Arial" w:eastAsia="Arial" w:hAnsi="Arial"/>
          <w:sz w:val="18"/>
          <w:szCs w:val="18"/>
          <w:u w:val="single" w:color="auto"/>
          <w:color w:val="auto"/>
        </w:rPr>
        <w:t>Sections 5.03(a)</w:t>
      </w:r>
      <w:r>
        <w:rPr>
          <w:rFonts w:ascii="Arial" w:cs="Arial" w:eastAsia="Arial" w:hAnsi="Arial"/>
          <w:sz w:val="18"/>
          <w:szCs w:val="18"/>
          <w:color w:val="auto"/>
        </w:rPr>
        <w:t xml:space="preserve">, 5.03(b), </w:t>
      </w:r>
      <w:r>
        <w:rPr>
          <w:rFonts w:ascii="Arial" w:cs="Arial" w:eastAsia="Arial" w:hAnsi="Arial"/>
          <w:sz w:val="18"/>
          <w:szCs w:val="18"/>
          <w:u w:val="single" w:color="auto"/>
          <w:color w:val="auto"/>
        </w:rPr>
        <w:t>5.03(c)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5.03(e)</w:t>
      </w:r>
      <w:r>
        <w:rPr>
          <w:rFonts w:ascii="Arial" w:cs="Arial" w:eastAsia="Arial" w:hAnsi="Arial"/>
          <w:sz w:val="18"/>
          <w:szCs w:val="18"/>
          <w:color w:val="auto"/>
        </w:rPr>
        <w:t xml:space="preserve"> of the Credit Agreement has been satisfied on and as of the date of such Borrowing.]</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-243205</wp:posOffset>
            </wp:positionV>
            <wp:extent cx="3619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61950" cy="8890"/>
                    </a:xfrm>
                    <a:prstGeom prst="rect">
                      <a:avLst/>
                    </a:prstGeom>
                    <a:noFill/>
                  </pic:spPr>
                </pic:pic>
              </a:graphicData>
            </a:graphic>
          </wp:anchor>
        </w:drawing>
      </w: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ind w:left="120" w:hanging="112"/>
        <w:spacing w:after="0"/>
        <w:tabs>
          <w:tab w:leader="none" w:pos="120" w:val="left"/>
        </w:tabs>
        <w:numPr>
          <w:ilvl w:val="0"/>
          <w:numId w:val="190"/>
        </w:numPr>
        <w:rPr>
          <w:rFonts w:ascii="Arial" w:cs="Arial" w:eastAsia="Arial" w:hAnsi="Arial"/>
          <w:sz w:val="23"/>
          <w:szCs w:val="23"/>
          <w:color w:val="auto"/>
          <w:vertAlign w:val="superscript"/>
        </w:rPr>
      </w:pPr>
      <w:r>
        <w:rPr>
          <w:rFonts w:ascii="Arial" w:cs="Arial" w:eastAsia="Arial" w:hAnsi="Arial"/>
          <w:sz w:val="18"/>
          <w:szCs w:val="18"/>
          <w:color w:val="auto"/>
        </w:rPr>
        <w:t>Note: Select appropriate tranche as applicable.</w:t>
      </w:r>
    </w:p>
    <w:p>
      <w:pPr>
        <w:sectPr>
          <w:pgSz w:w="11900" w:h="16838" w:orient="portrait"/>
          <w:cols w:equalWidth="0" w:num="1">
            <w:col w:w="11420"/>
          </w:cols>
          <w:pgMar w:left="240" w:top="557" w:right="239" w:bottom="0" w:gutter="0" w:footer="0" w:header="0"/>
          <w:type w:val="continuous"/>
        </w:sectPr>
      </w:pPr>
    </w:p>
    <w:bookmarkStart w:id="97" w:name="page98"/>
    <w:bookmarkEnd w:id="97"/>
    <w:p>
      <w:pPr>
        <w:ind w:left="120" w:hanging="112"/>
        <w:spacing w:after="0"/>
        <w:tabs>
          <w:tab w:leader="none" w:pos="120" w:val="left"/>
        </w:tabs>
        <w:numPr>
          <w:ilvl w:val="0"/>
          <w:numId w:val="191"/>
        </w:numPr>
        <w:rPr>
          <w:rFonts w:ascii="Arial" w:cs="Arial" w:eastAsia="Arial" w:hAnsi="Arial"/>
          <w:sz w:val="23"/>
          <w:szCs w:val="23"/>
          <w:color w:val="auto"/>
          <w:vertAlign w:val="superscript"/>
        </w:rPr>
      </w:pPr>
      <w:r>
        <w:rPr>
          <w:rFonts w:ascii="Arial" w:cs="Arial" w:eastAsia="Arial" w:hAnsi="Arial"/>
          <w:sz w:val="18"/>
          <w:szCs w:val="18"/>
          <w:color w:val="auto"/>
        </w:rPr>
        <w:t>For Term A Loans only.</w:t>
      </w:r>
    </w:p>
    <w:p>
      <w:pPr>
        <w:spacing w:after="0" w:line="2" w:lineRule="exact"/>
        <w:rPr>
          <w:sz w:val="20"/>
          <w:szCs w:val="20"/>
          <w:color w:val="auto"/>
        </w:rPr>
      </w:pPr>
    </w:p>
    <w:p>
      <w:pPr>
        <w:ind w:right="40" w:firstLine="8"/>
        <w:spacing w:after="0" w:line="219" w:lineRule="auto"/>
        <w:tabs>
          <w:tab w:leader="none" w:pos="103" w:val="left"/>
        </w:tabs>
        <w:numPr>
          <w:ilvl w:val="0"/>
          <w:numId w:val="192"/>
        </w:numPr>
        <w:rPr>
          <w:rFonts w:ascii="Arial" w:cs="Arial" w:eastAsia="Arial" w:hAnsi="Arial"/>
          <w:sz w:val="23"/>
          <w:szCs w:val="23"/>
          <w:color w:val="auto"/>
          <w:vertAlign w:val="superscript"/>
        </w:rPr>
      </w:pPr>
      <w:r>
        <w:rPr>
          <w:rFonts w:ascii="Arial" w:cs="Arial" w:eastAsia="Arial" w:hAnsi="Arial"/>
          <w:sz w:val="18"/>
          <w:szCs w:val="18"/>
          <w:color w:val="auto"/>
        </w:rPr>
        <w:t>Note: For use with the Borrowing of Term A Loans only. Use bracketed language below with applicable modifications for all Borrowings after the Funding Date.</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Note: To be included for Term B Loans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TERM A NOTE</w:t>
      </w:r>
    </w:p>
    <w:p>
      <w:pPr>
        <w:spacing w:after="0" w:line="229"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TERM A NOTE IS ISSUED WITH ORIGINAL ISSUE DISCOUNT (“</w:t>
      </w:r>
      <w:r>
        <w:rPr>
          <w:rFonts w:ascii="Arial" w:cs="Arial" w:eastAsia="Arial" w:hAnsi="Arial"/>
          <w:sz w:val="18"/>
          <w:szCs w:val="18"/>
          <w:u w:val="single" w:color="auto"/>
          <w:color w:val="auto"/>
        </w:rPr>
        <w:t>OID</w:t>
      </w:r>
      <w:r>
        <w:rPr>
          <w:rFonts w:ascii="Arial" w:cs="Arial" w:eastAsia="Arial" w:hAnsi="Arial"/>
          <w:sz w:val="18"/>
          <w:szCs w:val="18"/>
          <w:color w:val="auto"/>
        </w:rPr>
        <w:t>”) FOR U.S. FEDERAL INCOME TAX PURPOSES. THE ISSUE PRICE, AMOUNT OF OID, ISSUE DATE AND YIELD TO MATURITY WITH RESPECT TO THIS TERM A NOTE MAY BE OBTAINED BY WRITING TO THE BORROWER AT THE FOLLOWING ADDRESS: 6000 SHORELINE COURT, SUITE 300, SOUTH SAN FRANCISCO, CALIFORNIA 94080, ATTENTION: SHELLY GUYER, CFO, FACSIMILE: 650-243-6301.</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FOR VALUE RECEIVED, the undersigned (the “</w:t>
      </w:r>
      <w:r>
        <w:rPr>
          <w:rFonts w:ascii="Arial" w:cs="Arial" w:eastAsia="Arial" w:hAnsi="Arial"/>
          <w:sz w:val="17"/>
          <w:szCs w:val="17"/>
          <w:u w:val="single" w:color="auto"/>
          <w:color w:val="auto"/>
        </w:rPr>
        <w:t>Borrower</w:t>
      </w:r>
      <w:r>
        <w:rPr>
          <w:rFonts w:ascii="Arial" w:cs="Arial" w:eastAsia="Arial" w:hAnsi="Arial"/>
          <w:sz w:val="17"/>
          <w:szCs w:val="17"/>
          <w:color w:val="auto"/>
        </w:rPr>
        <w:t>”) promises to pay to or registered assigns (the “</w:t>
      </w:r>
      <w:r>
        <w:rPr>
          <w:rFonts w:ascii="Arial" w:cs="Arial" w:eastAsia="Arial" w:hAnsi="Arial"/>
          <w:sz w:val="17"/>
          <w:szCs w:val="17"/>
          <w:u w:val="single" w:color="auto"/>
          <w:color w:val="auto"/>
        </w:rPr>
        <w:t>Lender</w:t>
      </w:r>
      <w:r>
        <w:rPr>
          <w:rFonts w:ascii="Arial" w:cs="Arial" w:eastAsia="Arial" w:hAnsi="Arial"/>
          <w:sz w:val="17"/>
          <w:szCs w:val="17"/>
          <w:color w:val="auto"/>
        </w:rPr>
        <w:t>”), in accordance with the provisions of the Credit Agreement (as hereinafter defined), the principal amount of the Term A Loans from time to time made by the Lender to the Borrower under that certain Credit Agreement dated as of March 25, 2016 (as amended, modified, restated, supplemented or extended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the Borrower, the Guarantors, the Lenders from time to time party thereto and Visium Healthcare Partners, LP, as Administrative Agent. Capitalized terms used but not otherwise defined herein have the meanings provided in the Credit Agreement.</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Borrower promises to pay interest on the unpaid principal amount of the Term A Loans made by the Lender from the Funding Date until such principal amount is paid in full, at such interest rates and at such times as provided in the Credit Agreement. All payments of principal and interest (except as and to the extent set forth to the contrary in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of the Credit Agreement with respect to payments of Paid-In-Kind Interest) shall be made to the Lender in Dollars in immediately available funds at the Lending Office of the Lender or as otherwise directed by the Lender. With respect to payment of Paid-In-Kind Interest as contemplated by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of the Credit Agreement, such payments of Paid-In-Kind Interest shall be made as described in such section.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6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This Term A Note is one of the Term A Notes referred to in the Credit Agreement, is entitled to the benefits thereof and may be prepaid in whole or in part subject to the terms and conditions provided therein. Upon the occurrence and continuation of one or more of the Events of Default specified in the Credit Agreement, all amounts then remaining unpaid on this Term A Note shall become, or may be declared to be, immediately due and payable all as provided in and subject to the Credit Agreement. The Term A Loans made by the Lender shall be evidenced by one or more loan accounts or records maintained by the Lender in the ordinary course of business. The Lender may also attach schedules to this Term A Note and endorse thereon the date, amount and maturity of the Term A Loans made by the Lender and payments with respect thereto.</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Term A Note.</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Term A Note may only be transferred in accordance with the limitations and restrictions set forth in the Credit Agreement. THIS TERM A NOTE SHALL BE GOVERNED BY, AND CONSTRUED IN ACCORDANCE WITH, THE LAW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WITNESS WHEREOF, the Borrower has caused this Term A Note to be duly executed and delivered by its officer thereunto duly authorized as of the date first above written.</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TERM B NOTE</w:t>
      </w:r>
    </w:p>
    <w:p>
      <w:pPr>
        <w:spacing w:after="0" w:line="229"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THIS TERM B NOTE IS ISSUED WITH ORIGINAL ISSUE DISCOUNT (“</w:t>
      </w:r>
      <w:r>
        <w:rPr>
          <w:rFonts w:ascii="Arial" w:cs="Arial" w:eastAsia="Arial" w:hAnsi="Arial"/>
          <w:sz w:val="17"/>
          <w:szCs w:val="17"/>
          <w:u w:val="single" w:color="auto"/>
          <w:color w:val="auto"/>
        </w:rPr>
        <w:t>OID</w:t>
      </w:r>
      <w:r>
        <w:rPr>
          <w:rFonts w:ascii="Arial" w:cs="Arial" w:eastAsia="Arial" w:hAnsi="Arial"/>
          <w:sz w:val="17"/>
          <w:szCs w:val="17"/>
          <w:color w:val="auto"/>
        </w:rPr>
        <w:t>”) FOR U.S. FEDERAL INCOME TAX PURPOSES. THE ISSUE PRICE, AMOUNT OF OID, ISSUE DATE AND YIELD TO MATURITY WITH RESPECT TO THIS TERM B NOTE MAY BE OBTAINED BY WRITING TO</w:t>
      </w:r>
    </w:p>
    <w:p>
      <w:pPr>
        <w:sectPr>
          <w:pgSz w:w="11900" w:h="16838" w:orient="portrait"/>
          <w:cols w:equalWidth="0" w:num="1">
            <w:col w:w="11400"/>
          </w:cols>
          <w:pgMar w:left="240" w:top="91" w:right="259" w:bottom="0" w:gutter="0" w:footer="0" w:header="0"/>
        </w:sectPr>
      </w:pPr>
    </w:p>
    <w:bookmarkStart w:id="98" w:name="page99"/>
    <w:bookmarkEnd w:id="98"/>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BORROWER AT THE FOLLOWING ADDRESS: 6000 SHORELINE COURT, SUITE 300, SOUTH SAN FRANCISCO, CALIFORNIA 94080,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ATTENTION: SHELLY GUYER, CFO, FACSIMILE: 650-243-6301.</w:t>
      </w:r>
    </w:p>
    <w:p>
      <w:pPr>
        <w:spacing w:after="0" w:line="2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VALUE RECEIVED, the undersigned (the “</w:t>
      </w:r>
      <w:r>
        <w:rPr>
          <w:rFonts w:ascii="Arial" w:cs="Arial" w:eastAsia="Arial" w:hAnsi="Arial"/>
          <w:sz w:val="17"/>
          <w:szCs w:val="17"/>
          <w:u w:val="single" w:color="auto"/>
          <w:color w:val="auto"/>
        </w:rPr>
        <w:t>Borrower</w:t>
      </w:r>
      <w:r>
        <w:rPr>
          <w:rFonts w:ascii="Arial" w:cs="Arial" w:eastAsia="Arial" w:hAnsi="Arial"/>
          <w:sz w:val="17"/>
          <w:szCs w:val="17"/>
          <w:color w:val="auto"/>
        </w:rPr>
        <w:t>”) promises to pay to or registered assigns (the “</w:t>
      </w:r>
      <w:r>
        <w:rPr>
          <w:rFonts w:ascii="Arial" w:cs="Arial" w:eastAsia="Arial" w:hAnsi="Arial"/>
          <w:sz w:val="17"/>
          <w:szCs w:val="17"/>
          <w:u w:val="single" w:color="auto"/>
          <w:color w:val="auto"/>
        </w:rPr>
        <w:t>Lender</w:t>
      </w:r>
      <w:r>
        <w:rPr>
          <w:rFonts w:ascii="Arial" w:cs="Arial" w:eastAsia="Arial" w:hAnsi="Arial"/>
          <w:sz w:val="17"/>
          <w:szCs w:val="17"/>
          <w:color w:val="auto"/>
        </w:rPr>
        <w:t>”), in accordance with the provisions of the Credit Agreement (as hereinafter defined), the principal amount of the Term B Loans from time to time made by the Lender to the Borrower under that certain Credit Agreement dated as of March 25, 2016 (as amended, modified, restated, supplemented or extended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the Borrower, the Guarantors, the Lenders from time to time party thereto and Visium Healthcare Partners, LP, as Administrative Agent. Capitalized terms used but not otherwise defined herein have the meanings provided in the Credit Agreement.</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Borrower promises to pay interest on the unpaid principal amount of each Term B Loan made by the Lender from the date of such Term B Loan until such principal amount is paid in full, at such interest rates and at such times as provided in the Credit Agreement. All payments of principal and interest (except as and to the extent set forth to the contrary in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of the Credit Agreement with respect to payments of Paid-In-Kind Interest) shall be made to the Lender in Dollars in immediately available funds at the Lending Office of the Lender or as otherwise directed by the Lender. With respect to payment of Paid-In-Kind Interest as contemplated by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of the Credit Agreement, such payments of Paid-In-Kind Interest shall be made as described in such section.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6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This Term B Note is one of the Term B Notes referred to in the Credit Agreement, is entitled to the benefits thereof and may be prepaid in whole or in part subject to the terms and conditions provided therein. Upon the occurrence and continuation of one or more of the Events of Default specified in the Credit Agreement, all amounts then remaining unpaid on this Term B Note shall become, or may be declared to be, immediately due and payable all as provided in and subject to the Credit Agreement. The Term B Loans made by the Lender shall be evidenced by one or more loan accounts or records maintained by the Lender in the ordinary course of business. The Lender may also attach schedules to this Term B Note and endorse thereon the date, amount and maturity of the Term B Loans made by the Lender and payments with respect thereto.</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Term B Note.</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Term B Note may only be transferred in accordance with the limitations and restrictions set forth in the Credit Agreement. THIS TERM B NOTE SHALL BE GOVERNED BY, AND CONSTRUED IN ACCORDANCE WITH, THE LAW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WITNESS WHEREOF, the Borrower has caused this Term B Note to be duly executed and delivered by its officer thereunto duly authorized as of the date first above written.</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AGREEMENT</w:t>
      </w:r>
    </w:p>
    <w:p>
      <w:pPr>
        <w:spacing w:after="0" w:line="229" w:lineRule="exact"/>
        <w:rPr>
          <w:sz w:val="20"/>
          <w:szCs w:val="20"/>
          <w:color w:val="auto"/>
        </w:rPr>
      </w:pPr>
    </w:p>
    <w:p>
      <w:pPr>
        <w:ind w:left="660"/>
        <w:spacing w:after="0"/>
        <w:tabs>
          <w:tab w:leader="none" w:pos="5740" w:val="left"/>
          <w:tab w:leader="none" w:pos="7920" w:val="left"/>
          <w:tab w:leader="none" w:pos="8640" w:val="left"/>
        </w:tabs>
        <w:rPr>
          <w:sz w:val="20"/>
          <w:szCs w:val="20"/>
          <w:color w:val="auto"/>
        </w:rPr>
      </w:pPr>
      <w:r>
        <w:rPr>
          <w:rFonts w:ascii="Arial" w:cs="Arial" w:eastAsia="Arial" w:hAnsi="Arial"/>
          <w:sz w:val="18"/>
          <w:szCs w:val="18"/>
          <w:color w:val="auto"/>
        </w:rPr>
        <w:t>THIS JOINDER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w:t>
      </w:r>
      <w:r>
        <w:rPr>
          <w:sz w:val="20"/>
          <w:szCs w:val="20"/>
          <w:color w:val="auto"/>
        </w:rPr>
        <w:tab/>
      </w:r>
      <w:r>
        <w:rPr>
          <w:rFonts w:ascii="Arial" w:cs="Arial" w:eastAsia="Arial" w:hAnsi="Arial"/>
          <w:sz w:val="18"/>
          <w:szCs w:val="18"/>
          <w:color w:val="auto"/>
        </w:rPr>
        <w:t>, 20  is by and between</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New Subsidiary</w:t>
      </w:r>
      <w:r>
        <w:rPr>
          <w:rFonts w:ascii="Arial" w:cs="Arial" w:eastAsia="Arial" w:hAnsi="Arial"/>
          <w:sz w:val="16"/>
          <w:szCs w:val="16"/>
          <w:color w:val="auto"/>
        </w:rPr>
        <w:t>”), and Visium</w:t>
      </w:r>
    </w:p>
    <w:p>
      <w:pPr>
        <w:spacing w:after="0" w:line="2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Healthcare Partners, LP, in its capacity as Administrative Agent under that certain Credit Agreement dated as of March 25, 2016 (as amended, modified, restated, supplemented or extended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Veracyte,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Guarantors, the Lenders from time to time party thereto and Visium Healthcare Partners, LP, as Administrative Agent. Capitalized terms used herein and not otherwise defined herein shall have the meanings assigned to such terms in the Credit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Loan Parties are required by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of the Credit Agreement to cause the New Subsidiary to become a “Guarantor” thereunder.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New Subsidiary hereby agrees as follows with the Administrative Agent, for the benefit of the Secured Parties:</w:t>
      </w:r>
    </w:p>
    <w:p>
      <w:pPr>
        <w:spacing w:after="0" w:line="217" w:lineRule="exact"/>
        <w:rPr>
          <w:sz w:val="20"/>
          <w:szCs w:val="20"/>
          <w:color w:val="auto"/>
        </w:rPr>
      </w:pPr>
    </w:p>
    <w:p>
      <w:pPr>
        <w:ind w:right="60" w:firstLine="656"/>
        <w:spacing w:after="0" w:line="290" w:lineRule="auto"/>
        <w:tabs>
          <w:tab w:leader="none" w:pos="136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The New Subsidiary hereby acknowledges, agrees and confirms that, effective as of the date of this Agreement, by its execution of this Agreement, the New Subsidiary will be deemed to be a party to the Credit Agreement and a “Guarantor” for all purposes of the Credit Agreement, and shall have all of the obligations of a Guarantor thereunder as if it had executed the Credit Agreement. The New Subsidiary hereby ratifies, as of the date hereof, and agrees to be bound by, all of the terms, provisions and conditions applicable to the Guarantors contained in the Credit Agreement. Without limiting the generality of the foregoing terms of this paragraph 1, the New Subsidiary hereby jointly and severally together with the other Guarantors, guarantees to each Lender and the Administrative Agent, as provided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 Credit Agreement, as primary obligor and not as surety, the prompt payment and performance of the Obligations in full when due (whether at stated maturity, as a mandatory prepayment, by acceleration or otherwise) strictly in accordance with the terms thereof.</w:t>
      </w:r>
    </w:p>
    <w:p>
      <w:pPr>
        <w:spacing w:after="0" w:line="172" w:lineRule="exact"/>
        <w:rPr>
          <w:rFonts w:ascii="Arial" w:cs="Arial" w:eastAsia="Arial" w:hAnsi="Arial"/>
          <w:sz w:val="16"/>
          <w:szCs w:val="16"/>
          <w:color w:val="auto"/>
        </w:rPr>
      </w:pPr>
    </w:p>
    <w:p>
      <w:pPr>
        <w:ind w:firstLine="656"/>
        <w:spacing w:after="0" w:line="318" w:lineRule="auto"/>
        <w:tabs>
          <w:tab w:leader="none" w:pos="1368"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New Subsidiary hereby acknowledges, agrees and confirms that, effective as of the date of this Agreement, by its execution of this Agreement, the New Subsidiary will be deemed to be a party to the Security Agreement and a “Grantor” for all purposes of the Security Agreement, and shall have all the obligations of a Grantor thereunder as if it had executed the Security Agreement. The New Subsidiary hereby ratifies, as of the date hereof, and agrees to be bound by, all of the terms, provisions and conditions contained in the Security Agreement. Without limiting the generality of the foregoing terms of this paragraph 2, the New Subsidiary hereby grants to the Administrative Agent, for the benefit of the Secured Parties, a continuing security interest in, and a right</w:t>
      </w:r>
    </w:p>
    <w:p>
      <w:pPr>
        <w:sectPr>
          <w:pgSz w:w="11900" w:h="16951" w:orient="portrait"/>
          <w:cols w:equalWidth="0" w:num="1">
            <w:col w:w="11420"/>
          </w:cols>
          <w:pgMar w:left="240" w:top="125" w:right="239" w:bottom="0" w:gutter="0" w:footer="0" w:header="0"/>
        </w:sectPr>
      </w:pPr>
    </w:p>
    <w:bookmarkStart w:id="99" w:name="page100"/>
    <w:bookmarkEnd w:id="99"/>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 set off against, any and all right, title and interest of the New Subsidiary in and to the Collateral (as defined in the Security Agreement) of the New Subsidiary to secure the prompt payment and performance in full when due, whether by lapse of time, acceleration, mandatory prepayment or otherwise, of the Secured Obligations (as defined in the Security Agreement).</w:t>
      </w:r>
    </w:p>
    <w:p>
      <w:pPr>
        <w:spacing w:after="0" w:line="188" w:lineRule="exact"/>
        <w:rPr>
          <w:sz w:val="20"/>
          <w:szCs w:val="20"/>
          <w:color w:val="auto"/>
        </w:rPr>
      </w:pPr>
    </w:p>
    <w:p>
      <w:pPr>
        <w:ind w:right="120" w:firstLine="656"/>
        <w:spacing w:after="0" w:line="255" w:lineRule="auto"/>
        <w:tabs>
          <w:tab w:leader="none" w:pos="136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New Subsidiary hereby acknowledges, agrees and confirms that, effective as of the date of this Agreement, by its execution of this Agreement, the New Subsidiary will be deemed to be a party to the Pledge Agreement and a “Pledgor” for all purposes of the Pledge Agreement, and shall have all the obligations of a Pledgor thereunder as if it had executed the Pledge Agreement. The New Subsidiary hereby ratifies, as of the date hereof, and agrees to be bound by, all of the terms, provisions and conditions contained in the Pledge Agreement. Without limiting the generality of the foregoing terms of this paragraph 3, the New Subsidiary hereby grants, pledges and assigns to the Administrative Agent, for the benefit of the Secured Parties, a continuing security interest in, and a right of set off against,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and all right, title and interest of the New Subsidiary in and to the Equity Interests identified on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hereto and all other Pledged Collateral (as defined in the Pledge Agreement) of the New Subsidiary to secure the prompt payment and performance in full when due, whether by lapse of time, acceleration, mandatory prepayment or otherwise, of the Secured Obligations (as defined in the Pledge Agreement).</w:t>
      </w:r>
    </w:p>
    <w:p>
      <w:pPr>
        <w:spacing w:after="0" w:line="181" w:lineRule="exact"/>
        <w:rPr>
          <w:sz w:val="20"/>
          <w:szCs w:val="20"/>
          <w:color w:val="auto"/>
        </w:rPr>
      </w:pPr>
    </w:p>
    <w:p>
      <w:pPr>
        <w:ind w:left="1380" w:hanging="724"/>
        <w:spacing w:after="0"/>
        <w:tabs>
          <w:tab w:leader="none" w:pos="1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New Subsidiary hereby represents and warrants to the Administrative Agent and the Lenders that: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New Subsidiary’s exact legal name and state of organization are as set forth on the signature pages hereto.</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The New Subsidiary’s taxpayer identification number and organization number are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left="660" w:right="20" w:firstLine="645"/>
        <w:spacing w:after="0" w:line="342" w:lineRule="auto"/>
        <w:tabs>
          <w:tab w:leader="none" w:pos="2003"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Other than as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the New Subsidiary has not changed its legal name, changed its state of organization, been party to a merger, consolidation or other change in structure or used any tradename in the five years preceding the date hereof.</w:t>
      </w:r>
    </w:p>
    <w:p>
      <w:pPr>
        <w:spacing w:after="0" w:line="123" w:lineRule="exact"/>
        <w:rPr>
          <w:rFonts w:ascii="Arial" w:cs="Arial" w:eastAsia="Arial" w:hAnsi="Arial"/>
          <w:sz w:val="16"/>
          <w:szCs w:val="16"/>
          <w:color w:val="auto"/>
        </w:rPr>
      </w:pPr>
    </w:p>
    <w:p>
      <w:pPr>
        <w:ind w:left="660" w:firstLine="645"/>
        <w:spacing w:after="0" w:line="268" w:lineRule="auto"/>
        <w:tabs>
          <w:tab w:leader="none" w:pos="2013" w:val="left"/>
        </w:tabs>
        <w:numPr>
          <w:ilvl w:val="1"/>
          <w:numId w:val="195"/>
        </w:numPr>
        <w:rPr>
          <w:rFonts w:ascii="Arial" w:cs="Arial" w:eastAsia="Arial" w:hAnsi="Arial"/>
          <w:sz w:val="17"/>
          <w:szCs w:val="17"/>
          <w:color w:val="auto"/>
        </w:rPr>
      </w:pP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hereto sets forth a complete and accurate list of the following as of the date hereof: (i) all Copyrights and all Trademarks of the New Subsidiary that are registered, or in respect of which an application for registration has been filed or recorded, with the United States Patent and Trademark Office or the United States Copyright Office or with any other Governmental Authority (or comparable organization or office established pursuant to an international treaty or similar international agreement for the filing, recordation or registration of interests in intellectual property), together with relevant identifying information with respect to such Copyrights and Trademarks, (ii) all Patents of the New Subsidiary that are issued, or in respect of which an application has been filed or recorded, with the United States Patent and Trademark Office or with any other Governmental Authority (or comparable organization or office established pursuant to an international treaty or similar international agreement for the filing, recordation or registration of interests in intellectual property), together with relevant identifying information with respect to such Patents, (iii) all Domain Names owned by the New Subsidiary or which the New Subsidiary is licensed, authorized or otherwise granted rights under or to, or owned by a Person on behalf of the New Subsidiary, together with relevant identifying information with respect to such Domain Names, (iv) each Copyright License, each Patent License and each Trademark License of the New Subsidiary and (v) each other right or interest in the IP Rights of the New Subsidiary that is material to the New Subsidiary, its properties or the conduct or operation of its businesses (including the generation of future revenues). As of the date hereof, none of the IP Rights of the New Subsidiary set forth in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hereto is subject to any license grant by the New Subsidiary or similar arrangement, except license grants between the Loan Parties or as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hereto.</w:t>
      </w:r>
    </w:p>
    <w:p>
      <w:pPr>
        <w:spacing w:after="0" w:line="183" w:lineRule="exact"/>
        <w:rPr>
          <w:rFonts w:ascii="Arial" w:cs="Arial" w:eastAsia="Arial" w:hAnsi="Arial"/>
          <w:sz w:val="17"/>
          <w:szCs w:val="17"/>
          <w:color w:val="auto"/>
        </w:rPr>
      </w:pPr>
    </w:p>
    <w:p>
      <w:pPr>
        <w:ind w:left="660" w:right="680" w:firstLine="645"/>
        <w:spacing w:after="0" w:line="277" w:lineRule="auto"/>
        <w:tabs>
          <w:tab w:leader="none" w:pos="2003"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hereto includes all Commercial Tort Claims (as defined in the Security Agreement) before any Governmental Authority by or in favor of the New Subsidiary.</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2028"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hereto lists all real property located in the United States that is owned or leased by the New Subsidiary as of the date hereof, together with a designation as to whether such property is owned or leased.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hereto is a complete and accurate list as of the date hereof of each Subsidiary of the New Subsidiary, together with</w:t>
      </w:r>
    </w:p>
    <w:p>
      <w:pPr>
        <w:spacing w:after="0" w:line="46" w:lineRule="exact"/>
        <w:rPr>
          <w:sz w:val="20"/>
          <w:szCs w:val="20"/>
          <w:color w:val="auto"/>
        </w:rPr>
      </w:pPr>
    </w:p>
    <w:p>
      <w:pPr>
        <w:ind w:left="660" w:right="280" w:hanging="4"/>
        <w:spacing w:after="0" w:line="261" w:lineRule="auto"/>
        <w:tabs>
          <w:tab w:leader="none" w:pos="87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jurisdiction of organization, (ii) number of shares of each class of Equity Interests outstanding, (iii) the certificate number(s) of the certificates evidencing such Equity Interests, if certificated, and number and percentage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680"/>
        <w:spacing w:after="0" w:line="342" w:lineRule="auto"/>
        <w:rPr>
          <w:sz w:val="20"/>
          <w:szCs w:val="20"/>
          <w:color w:val="auto"/>
        </w:rPr>
      </w:pPr>
      <w:r>
        <w:rPr>
          <w:rFonts w:ascii="Arial" w:cs="Arial" w:eastAsia="Arial" w:hAnsi="Arial"/>
          <w:sz w:val="16"/>
          <w:szCs w:val="16"/>
          <w:color w:val="auto"/>
        </w:rPr>
        <w:t>outstanding shares of each class owned (directly or indirectly) by the New Subsidiary of such Equity Interests and (iv) number and effect, if exercised, of all outstanding options, warrants, rights of conversion or purchase and all other similar rights with respect thereto.</w:t>
      </w:r>
    </w:p>
    <w:p>
      <w:pPr>
        <w:spacing w:after="0" w:line="124" w:lineRule="exact"/>
        <w:rPr>
          <w:sz w:val="20"/>
          <w:szCs w:val="20"/>
          <w:color w:val="auto"/>
        </w:rPr>
      </w:pPr>
    </w:p>
    <w:p>
      <w:pPr>
        <w:ind w:left="660" w:right="60" w:firstLine="645"/>
        <w:spacing w:after="0" w:line="291" w:lineRule="auto"/>
        <w:tabs>
          <w:tab w:leader="none" w:pos="2013"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Schedule 7</w:t>
      </w:r>
      <w:r>
        <w:rPr>
          <w:rFonts w:ascii="Arial" w:cs="Arial" w:eastAsia="Arial" w:hAnsi="Arial"/>
          <w:sz w:val="16"/>
          <w:szCs w:val="16"/>
          <w:color w:val="auto"/>
        </w:rPr>
        <w:t xml:space="preserve"> hereto is a complete and accurate list as of the date hereof of any (i) employment agreements covering the management of the New Subsidiary, (ii) collective bargaining agreements or other labor agreements covering any employees of the New Subsidiary,</w:t>
      </w:r>
    </w:p>
    <w:p>
      <w:pPr>
        <w:ind w:left="660" w:right="140" w:hanging="4"/>
        <w:spacing w:after="0" w:line="281" w:lineRule="auto"/>
        <w:tabs>
          <w:tab w:leader="none" w:pos="97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agreements for managerial, consulting or similar services to which the New Subsidiary is a party or by which it is bound, (iv) agreements regarding the New Subsidiary, its assets or operations or any investment therein to which any of its equityholders is a party or by which it is bound,</w:t>
      </w:r>
    </w:p>
    <w:p>
      <w:pPr>
        <w:spacing w:after="0" w:line="1" w:lineRule="exact"/>
        <w:rPr>
          <w:rFonts w:ascii="Arial" w:cs="Arial" w:eastAsia="Arial" w:hAnsi="Arial"/>
          <w:sz w:val="16"/>
          <w:szCs w:val="16"/>
          <w:color w:val="auto"/>
        </w:rPr>
      </w:pPr>
    </w:p>
    <w:p>
      <w:pPr>
        <w:ind w:left="660" w:hanging="4"/>
        <w:spacing w:after="0" w:line="269" w:lineRule="auto"/>
        <w:tabs>
          <w:tab w:leader="none" w:pos="91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real estate leases, licenses of IP Rights or other lease or license agreements to which the New Subsidiary is a party, either as lessor or lessee, or as licensor or licensee (other than licenses arising from the purchase of “off the shelf’ products), (vi) customer or supply agreements to which the New Subsidiary is a party, in each case with respect to the preceding clauses (i), (iii), (iv), (v) and (vi) requiring payment by the Borrower and/or any Subsidiary of more than $500,000 in any year or (vii) any other agreements or instruments to which the New Subsidiary is a party, and the breach, nonperformance or cancellation of which, or the failure of which to renew, could reasonably be expected to have a Material Adverse Effect. </w:t>
      </w:r>
      <w:r>
        <w:rPr>
          <w:rFonts w:ascii="Arial" w:cs="Arial" w:eastAsia="Arial" w:hAnsi="Arial"/>
          <w:sz w:val="17"/>
          <w:szCs w:val="17"/>
          <w:u w:val="single" w:color="auto"/>
          <w:color w:val="auto"/>
        </w:rPr>
        <w:t>Schedule 7</w:t>
      </w:r>
      <w:r>
        <w:rPr>
          <w:rFonts w:ascii="Arial" w:cs="Arial" w:eastAsia="Arial" w:hAnsi="Arial"/>
          <w:sz w:val="17"/>
          <w:szCs w:val="17"/>
          <w:color w:val="auto"/>
        </w:rPr>
        <w:t xml:space="preserve"> sets forth, with respect to each real estate lease agreement to which the New Subsidiary is a party as of the date hereof, the address of the subject property and the annual rental rate as of the date hereof.</w:t>
      </w:r>
    </w:p>
    <w:p>
      <w:pPr>
        <w:spacing w:after="0" w:line="181" w:lineRule="exact"/>
        <w:rPr>
          <w:sz w:val="20"/>
          <w:szCs w:val="20"/>
          <w:color w:val="auto"/>
        </w:rPr>
      </w:pPr>
    </w:p>
    <w:p>
      <w:pPr>
        <w:ind w:right="140" w:firstLine="656"/>
        <w:spacing w:after="0" w:line="342" w:lineRule="auto"/>
        <w:tabs>
          <w:tab w:leader="none" w:pos="136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The address of the New Subsidiary for purposes of all notices and other communications is the address designated for all Loan Parties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to the Credit Agreement or such other address as the New Subsidiary may from time to time notify the Administrative Agent in writing.</w:t>
      </w:r>
    </w:p>
    <w:p>
      <w:pPr>
        <w:spacing w:after="0" w:line="123" w:lineRule="exact"/>
        <w:rPr>
          <w:rFonts w:ascii="Arial" w:cs="Arial" w:eastAsia="Arial" w:hAnsi="Arial"/>
          <w:sz w:val="16"/>
          <w:szCs w:val="16"/>
          <w:color w:val="auto"/>
        </w:rPr>
      </w:pPr>
    </w:p>
    <w:p>
      <w:pPr>
        <w:ind w:right="60" w:firstLine="656"/>
        <w:spacing w:after="0" w:line="277" w:lineRule="auto"/>
        <w:tabs>
          <w:tab w:leader="none" w:pos="136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The New Subsidiary hereby waives acceptance by the Administrative Agent and the Lenders of the guaranty by the New Subsidiary under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the Credit Agreement upon the execution of this Agreement by the New Subsidiary.</w:t>
      </w:r>
    </w:p>
    <w:p>
      <w:pPr>
        <w:sectPr>
          <w:pgSz w:w="11900" w:h="16929" w:orient="portrait"/>
          <w:cols w:equalWidth="0" w:num="1">
            <w:col w:w="11400"/>
          </w:cols>
          <w:pgMar w:left="240" w:top="131" w:right="259" w:bottom="0" w:gutter="0" w:footer="0" w:header="0"/>
        </w:sectPr>
      </w:pPr>
    </w:p>
    <w:bookmarkStart w:id="100" w:name="page101"/>
    <w:bookmarkEnd w:id="100"/>
    <w:p>
      <w:pPr>
        <w:ind w:right="120" w:firstLine="656"/>
        <w:spacing w:after="0" w:line="312" w:lineRule="auto"/>
        <w:tabs>
          <w:tab w:leader="none" w:pos="136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facsimile or other electronic imaging means (e.g. “pdf” or “tif”) shall be effective as delivery of a manually executed counterpart of this Agreement.</w:t>
      </w:r>
    </w:p>
    <w:p>
      <w:pPr>
        <w:spacing w:after="0" w:line="146" w:lineRule="exact"/>
        <w:rPr>
          <w:rFonts w:ascii="Arial" w:cs="Arial" w:eastAsia="Arial" w:hAnsi="Arial"/>
          <w:sz w:val="16"/>
          <w:szCs w:val="16"/>
          <w:color w:val="auto"/>
        </w:rPr>
      </w:pPr>
    </w:p>
    <w:p>
      <w:pPr>
        <w:ind w:left="1380" w:hanging="724"/>
        <w:spacing w:after="0"/>
        <w:tabs>
          <w:tab w:leader="none" w:pos="13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 OF THE STATE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NEW YORK.</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WITNESS WHEREOF, the New Subsidiary has caused this Joinder Agreement to be duly executed by its authorized officer, and the Administrative Agent, for the benefit of the Secured Parties, has caused the same to be accepted by its authorized officer, as of the day and year first above written.</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SUBSIDIARY]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VISIUM HEALTHCARE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VISIUM HEALTHCARE ADVISORS, 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ind w:left="880"/>
              <w:spacing w:after="0"/>
              <w:rPr>
                <w:sz w:val="20"/>
                <w:szCs w:val="20"/>
                <w:color w:val="auto"/>
              </w:rPr>
            </w:pPr>
            <w:r>
              <w:rPr>
                <w:rFonts w:ascii="Arial" w:cs="Arial" w:eastAsia="Arial" w:hAnsi="Arial"/>
                <w:sz w:val="18"/>
                <w:szCs w:val="18"/>
                <w:color w:val="auto"/>
              </w:rPr>
              <w:t>By:</w:t>
            </w:r>
          </w:p>
        </w:tc>
        <w:tc>
          <w:tcPr>
            <w:tcW w:w="4520" w:type="dxa"/>
            <w:vAlign w:val="bottom"/>
            <w:gridSpan w:val="4"/>
          </w:tcPr>
          <w:p>
            <w:pPr>
              <w:ind w:left="520"/>
              <w:spacing w:after="0"/>
              <w:rPr>
                <w:sz w:val="20"/>
                <w:szCs w:val="20"/>
                <w:color w:val="auto"/>
              </w:rPr>
            </w:pPr>
            <w:r>
              <w:rPr>
                <w:rFonts w:ascii="Arial" w:cs="Arial" w:eastAsia="Arial" w:hAnsi="Arial"/>
                <w:sz w:val="18"/>
                <w:szCs w:val="18"/>
                <w:color w:val="auto"/>
              </w:rPr>
              <w:t>JG ASSET II, LLC,</w:t>
            </w:r>
          </w:p>
        </w:tc>
        <w:tc>
          <w:tcPr>
            <w:tcW w:w="56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4520" w:type="dxa"/>
            <w:vAlign w:val="bottom"/>
            <w:gridSpan w:val="4"/>
          </w:tcPr>
          <w:p>
            <w:pPr>
              <w:ind w:left="160"/>
              <w:spacing w:after="0"/>
              <w:rPr>
                <w:sz w:val="20"/>
                <w:szCs w:val="20"/>
                <w:color w:val="auto"/>
              </w:rPr>
            </w:pPr>
            <w:r>
              <w:rPr>
                <w:rFonts w:ascii="Arial" w:cs="Arial" w:eastAsia="Arial" w:hAnsi="Arial"/>
                <w:sz w:val="18"/>
                <w:szCs w:val="18"/>
                <w:color w:val="auto"/>
              </w:rPr>
              <w:t>its General Partner</w:t>
            </w:r>
          </w:p>
        </w:tc>
        <w:tc>
          <w:tcPr>
            <w:tcW w:w="5640" w:type="dxa"/>
            <w:vAlign w:val="bottom"/>
          </w:tcPr>
          <w:p>
            <w:pPr>
              <w:spacing w:after="0"/>
              <w:rPr>
                <w:sz w:val="20"/>
                <w:szCs w:val="20"/>
                <w:color w:val="auto"/>
              </w:rPr>
            </w:pPr>
          </w:p>
        </w:tc>
      </w:tr>
      <w:tr>
        <w:trPr>
          <w:trHeight w:val="648"/>
        </w:trPr>
        <w:tc>
          <w:tcPr>
            <w:tcW w:w="1300" w:type="dxa"/>
            <w:vAlign w:val="bottom"/>
          </w:tcPr>
          <w:p>
            <w:pPr>
              <w:spacing w:after="0"/>
              <w:rPr>
                <w:sz w:val="24"/>
                <w:szCs w:val="24"/>
                <w:color w:val="auto"/>
              </w:rPr>
            </w:pPr>
          </w:p>
        </w:tc>
        <w:tc>
          <w:tcPr>
            <w:tcW w:w="4520" w:type="dxa"/>
            <w:vAlign w:val="bottom"/>
            <w:gridSpan w:val="4"/>
          </w:tcPr>
          <w:p>
            <w:pPr>
              <w:ind w:left="160"/>
              <w:spacing w:after="0"/>
              <w:rPr>
                <w:sz w:val="20"/>
                <w:szCs w:val="20"/>
                <w:color w:val="auto"/>
              </w:rPr>
            </w:pPr>
            <w:r>
              <w:rPr>
                <w:rFonts w:ascii="Arial" w:cs="Arial" w:eastAsia="Arial" w:hAnsi="Arial"/>
                <w:sz w:val="18"/>
                <w:szCs w:val="18"/>
                <w:color w:val="auto"/>
              </w:rPr>
              <w:t>By:</w:t>
            </w:r>
          </w:p>
        </w:tc>
        <w:tc>
          <w:tcPr>
            <w:tcW w:w="564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auto"/>
                <w:w w:val="71"/>
              </w:rPr>
              <w:t>Name:</w:t>
            </w:r>
          </w:p>
        </w:tc>
        <w:tc>
          <w:tcPr>
            <w:tcW w:w="3980" w:type="dxa"/>
            <w:vAlign w:val="bottom"/>
            <w:tcBorders>
              <w:top w:val="single" w:sz="8" w:color="auto"/>
            </w:tcBorders>
            <w:gridSpan w:val="3"/>
          </w:tcPr>
          <w:p>
            <w:pPr>
              <w:spacing w:after="0"/>
              <w:rPr>
                <w:sz w:val="17"/>
                <w:szCs w:val="17"/>
                <w:color w:val="auto"/>
              </w:rPr>
            </w:pPr>
          </w:p>
        </w:tc>
        <w:tc>
          <w:tcPr>
            <w:tcW w:w="56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82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Title:</w:t>
            </w:r>
          </w:p>
        </w:tc>
        <w:tc>
          <w:tcPr>
            <w:tcW w:w="3700" w:type="dxa"/>
            <w:vAlign w:val="bottom"/>
            <w:tcBorders>
              <w:top w:val="single" w:sz="8" w:color="auto"/>
            </w:tcBorders>
          </w:tcPr>
          <w:p>
            <w:pPr>
              <w:spacing w:after="0"/>
              <w:rPr>
                <w:sz w:val="17"/>
                <w:szCs w:val="17"/>
                <w:color w:val="auto"/>
              </w:rPr>
            </w:pPr>
          </w:p>
        </w:tc>
        <w:tc>
          <w:tcPr>
            <w:tcW w:w="5640" w:type="dxa"/>
            <w:vAlign w:val="bottom"/>
          </w:tcPr>
          <w:p>
            <w:pPr>
              <w:spacing w:after="0"/>
              <w:rPr>
                <w:sz w:val="17"/>
                <w:szCs w:val="17"/>
                <w:color w:val="auto"/>
              </w:rPr>
            </w:pPr>
          </w:p>
        </w:tc>
      </w:tr>
      <w:tr>
        <w:trPr>
          <w:trHeight w:val="341"/>
        </w:trPr>
        <w:tc>
          <w:tcPr>
            <w:tcW w:w="1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3700" w:type="dxa"/>
            <w:vAlign w:val="bottom"/>
            <w:tcBorders>
              <w:top w:val="single" w:sz="8" w:color="auto"/>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Taxpayer Identification Number; Organization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Changes in Legal Name or State of Organization;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Mergers, Consolidations and other Changes in Structure; Tradenames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IP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Commercial Tort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680" w:gutter="0" w:footer="0" w:header="0"/>
        </w:sectPr>
      </w:pPr>
    </w:p>
    <w:bookmarkStart w:id="101" w:name="page102"/>
    <w:bookmarkEnd w:id="101"/>
    <w:p>
      <w:pPr>
        <w:jc w:val="center"/>
        <w:ind w:right="40"/>
        <w:spacing w:after="0"/>
        <w:rPr>
          <w:sz w:val="20"/>
          <w:szCs w:val="20"/>
          <w:color w:val="auto"/>
        </w:rPr>
      </w:pPr>
      <w:r>
        <w:rPr>
          <w:rFonts w:ascii="Arial" w:cs="Arial" w:eastAsia="Arial" w:hAnsi="Arial"/>
          <w:sz w:val="18"/>
          <w:szCs w:val="18"/>
          <w:color w:val="auto"/>
        </w:rPr>
        <w:t>Schedule 5</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[Insert name of Assignor] (the “</w:t>
      </w:r>
      <w:r>
        <w:rPr>
          <w:rFonts w:ascii="Arial" w:cs="Arial" w:eastAsia="Arial" w:hAnsi="Arial"/>
          <w:sz w:val="18"/>
          <w:szCs w:val="18"/>
          <w:u w:val="single" w:color="auto"/>
          <w:color w:val="auto"/>
        </w:rPr>
        <w:t>Assignor</w:t>
      </w:r>
      <w:r>
        <w:rPr>
          <w:rFonts w:ascii="Arial" w:cs="Arial" w:eastAsia="Arial" w:hAnsi="Arial"/>
          <w:sz w:val="18"/>
          <w:szCs w:val="18"/>
          <w:color w:val="auto"/>
        </w:rPr>
        <w:t>”) and [Insert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have the meanings provided in the Credit Agreement identified below, receipt of a copy of which is hereby acknowledged by the Assignee. The Standard Terms and Conditions set forth in Annex 1 attached hereto (the “</w:t>
      </w:r>
      <w:r>
        <w:rPr>
          <w:rFonts w:ascii="Arial" w:cs="Arial" w:eastAsia="Arial" w:hAnsi="Arial"/>
          <w:sz w:val="18"/>
          <w:szCs w:val="18"/>
          <w:u w:val="single" w:color="auto"/>
          <w:color w:val="auto"/>
        </w:rPr>
        <w:t>Standard Terms and Conditions</w:t>
      </w:r>
      <w:r>
        <w:rPr>
          <w:rFonts w:ascii="Arial" w:cs="Arial" w:eastAsia="Arial" w:hAnsi="Arial"/>
          <w:sz w:val="18"/>
          <w:szCs w:val="18"/>
          <w:color w:val="auto"/>
        </w:rPr>
        <w:t>”) are hereby agreed to and incorporated herein by reference and made a part of this Assignment and Assumption as if set forth herein in full.</w:t>
      </w:r>
    </w:p>
    <w:p>
      <w:pPr>
        <w:spacing w:after="0" w:line="18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as a Lender under the Credit Agreement and any other documents or instruments delivered pursuant thereto to the extent related to the amount[s] and equal to the percentage interest[s]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ind w:left="500" w:hanging="492"/>
        <w:spacing w:after="0"/>
        <w:tabs>
          <w:tab w:leader="none" w:pos="5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Assignor:</w:t>
      </w:r>
    </w:p>
    <w:p>
      <w:pPr>
        <w:spacing w:after="0" w:line="238" w:lineRule="exact"/>
        <w:rPr>
          <w:rFonts w:ascii="Arial" w:cs="Arial" w:eastAsia="Arial" w:hAnsi="Arial"/>
          <w:sz w:val="18"/>
          <w:szCs w:val="18"/>
          <w:color w:val="auto"/>
        </w:rPr>
      </w:pPr>
    </w:p>
    <w:p>
      <w:pPr>
        <w:ind w:left="500" w:hanging="492"/>
        <w:spacing w:after="0"/>
        <w:tabs>
          <w:tab w:leader="none" w:pos="5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63976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-267335</wp:posOffset>
            </wp:positionV>
            <wp:extent cx="48882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8823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3.</w:t>
            </w:r>
          </w:p>
        </w:tc>
        <w:tc>
          <w:tcPr>
            <w:tcW w:w="3640" w:type="dxa"/>
            <w:vAlign w:val="bottom"/>
          </w:tcPr>
          <w:p>
            <w:pPr>
              <w:ind w:left="180"/>
              <w:spacing w:after="0"/>
              <w:rPr>
                <w:sz w:val="20"/>
                <w:szCs w:val="20"/>
                <w:color w:val="auto"/>
              </w:rPr>
            </w:pPr>
            <w:r>
              <w:rPr>
                <w:rFonts w:ascii="Arial" w:cs="Arial" w:eastAsia="Arial" w:hAnsi="Arial"/>
                <w:sz w:val="18"/>
                <w:szCs w:val="18"/>
                <w:color w:val="auto"/>
              </w:rPr>
              <w:t>Borrower:</w:t>
            </w:r>
          </w:p>
        </w:tc>
        <w:tc>
          <w:tcPr>
            <w:tcW w:w="7500" w:type="dxa"/>
            <w:vAlign w:val="bottom"/>
          </w:tcPr>
          <w:p>
            <w:pPr>
              <w:ind w:left="1860"/>
              <w:spacing w:after="0"/>
              <w:rPr>
                <w:sz w:val="20"/>
                <w:szCs w:val="20"/>
                <w:color w:val="auto"/>
              </w:rPr>
            </w:pPr>
            <w:r>
              <w:rPr>
                <w:rFonts w:ascii="Arial" w:cs="Arial" w:eastAsia="Arial" w:hAnsi="Arial"/>
                <w:sz w:val="18"/>
                <w:szCs w:val="18"/>
                <w:color w:val="auto"/>
              </w:rPr>
              <w:t>Veracyte, Inc., a Delaware corporation</w:t>
            </w:r>
          </w:p>
        </w:tc>
      </w:tr>
      <w:tr>
        <w:trPr>
          <w:trHeight w:val="432"/>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4.</w:t>
            </w:r>
          </w:p>
        </w:tc>
        <w:tc>
          <w:tcPr>
            <w:tcW w:w="3640" w:type="dxa"/>
            <w:vAlign w:val="bottom"/>
          </w:tcPr>
          <w:p>
            <w:pPr>
              <w:ind w:left="180"/>
              <w:spacing w:after="0"/>
              <w:rPr>
                <w:sz w:val="20"/>
                <w:szCs w:val="20"/>
                <w:color w:val="auto"/>
              </w:rPr>
            </w:pPr>
            <w:r>
              <w:rPr>
                <w:rFonts w:ascii="Arial" w:cs="Arial" w:eastAsia="Arial" w:hAnsi="Arial"/>
                <w:sz w:val="18"/>
                <w:szCs w:val="18"/>
                <w:color w:val="auto"/>
              </w:rPr>
              <w:t>Administrative Agent:</w:t>
            </w:r>
          </w:p>
        </w:tc>
        <w:tc>
          <w:tcPr>
            <w:tcW w:w="7500" w:type="dxa"/>
            <w:vAlign w:val="bottom"/>
          </w:tcPr>
          <w:p>
            <w:pPr>
              <w:ind w:left="1860"/>
              <w:spacing w:after="0"/>
              <w:rPr>
                <w:sz w:val="20"/>
                <w:szCs w:val="20"/>
                <w:color w:val="auto"/>
              </w:rPr>
            </w:pPr>
            <w:r>
              <w:rPr>
                <w:rFonts w:ascii="Arial" w:cs="Arial" w:eastAsia="Arial" w:hAnsi="Arial"/>
                <w:sz w:val="18"/>
                <w:szCs w:val="18"/>
                <w:color w:val="auto"/>
              </w:rPr>
              <w:t>Visium Healthcare Partners, LP</w:t>
            </w:r>
          </w:p>
        </w:tc>
      </w:tr>
      <w:tr>
        <w:trPr>
          <w:trHeight w:val="418"/>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5.</w:t>
            </w:r>
          </w:p>
        </w:tc>
        <w:tc>
          <w:tcPr>
            <w:tcW w:w="3640" w:type="dxa"/>
            <w:vAlign w:val="bottom"/>
          </w:tcPr>
          <w:p>
            <w:pPr>
              <w:ind w:left="180"/>
              <w:spacing w:after="0"/>
              <w:rPr>
                <w:sz w:val="20"/>
                <w:szCs w:val="20"/>
                <w:color w:val="auto"/>
              </w:rPr>
            </w:pPr>
            <w:r>
              <w:rPr>
                <w:rFonts w:ascii="Arial" w:cs="Arial" w:eastAsia="Arial" w:hAnsi="Arial"/>
                <w:sz w:val="18"/>
                <w:szCs w:val="18"/>
                <w:color w:val="auto"/>
              </w:rPr>
              <w:t>Credit Agreement:</w:t>
            </w:r>
          </w:p>
        </w:tc>
        <w:tc>
          <w:tcPr>
            <w:tcW w:w="7500" w:type="dxa"/>
            <w:vAlign w:val="bottom"/>
          </w:tcPr>
          <w:p>
            <w:pPr>
              <w:ind w:left="1860"/>
              <w:spacing w:after="0"/>
              <w:rPr>
                <w:sz w:val="20"/>
                <w:szCs w:val="20"/>
                <w:color w:val="auto"/>
              </w:rPr>
            </w:pPr>
            <w:r>
              <w:rPr>
                <w:rFonts w:ascii="Arial" w:cs="Arial" w:eastAsia="Arial" w:hAnsi="Arial"/>
                <w:sz w:val="18"/>
                <w:szCs w:val="18"/>
                <w:color w:val="auto"/>
              </w:rPr>
              <w:t>Credit Agreement dated as of March 25, 2016 (as amended, modified,</w:t>
            </w:r>
          </w:p>
        </w:tc>
      </w:tr>
      <w:tr>
        <w:trPr>
          <w:trHeight w:val="216"/>
        </w:trPr>
        <w:tc>
          <w:tcPr>
            <w:tcW w:w="3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500" w:type="dxa"/>
            <w:vAlign w:val="bottom"/>
          </w:tcPr>
          <w:p>
            <w:pPr>
              <w:ind w:left="1860"/>
              <w:spacing w:after="0"/>
              <w:rPr>
                <w:sz w:val="20"/>
                <w:szCs w:val="20"/>
                <w:color w:val="auto"/>
              </w:rPr>
            </w:pPr>
            <w:r>
              <w:rPr>
                <w:rFonts w:ascii="Arial" w:cs="Arial" w:eastAsia="Arial" w:hAnsi="Arial"/>
                <w:sz w:val="18"/>
                <w:szCs w:val="18"/>
                <w:color w:val="auto"/>
              </w:rPr>
              <w:t>restated, supplemented or extended from time to time, the “Credit</w:t>
            </w:r>
          </w:p>
        </w:tc>
      </w:tr>
      <w:tr>
        <w:trPr>
          <w:trHeight w:val="216"/>
        </w:trPr>
        <w:tc>
          <w:tcPr>
            <w:tcW w:w="3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500" w:type="dxa"/>
            <w:vAlign w:val="bottom"/>
          </w:tcPr>
          <w:p>
            <w:pPr>
              <w:ind w:left="1860"/>
              <w:spacing w:after="0"/>
              <w:rPr>
                <w:sz w:val="20"/>
                <w:szCs w:val="20"/>
                <w:color w:val="auto"/>
              </w:rPr>
            </w:pPr>
            <w:r>
              <w:rPr>
                <w:rFonts w:ascii="Arial" w:cs="Arial" w:eastAsia="Arial" w:hAnsi="Arial"/>
                <w:sz w:val="18"/>
                <w:szCs w:val="18"/>
                <w:color w:val="auto"/>
              </w:rPr>
              <w:t>Agreement”) among Veracyte, Inc., a Delaware corporation (the</w:t>
            </w:r>
          </w:p>
        </w:tc>
      </w:tr>
      <w:tr>
        <w:trPr>
          <w:trHeight w:val="216"/>
        </w:trPr>
        <w:tc>
          <w:tcPr>
            <w:tcW w:w="3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500" w:type="dxa"/>
            <w:vAlign w:val="bottom"/>
          </w:tcPr>
          <w:p>
            <w:pPr>
              <w:ind w:left="1860"/>
              <w:spacing w:after="0"/>
              <w:rPr>
                <w:sz w:val="20"/>
                <w:szCs w:val="20"/>
                <w:color w:val="auto"/>
              </w:rPr>
            </w:pPr>
            <w:r>
              <w:rPr>
                <w:rFonts w:ascii="Arial" w:cs="Arial" w:eastAsia="Arial" w:hAnsi="Arial"/>
                <w:sz w:val="18"/>
                <w:szCs w:val="18"/>
                <w:color w:val="auto"/>
                <w:w w:val="92"/>
              </w:rPr>
              <w:t>“Borrower”), the Guarantors, the Lenders from time to time party thereto and</w:t>
            </w:r>
          </w:p>
        </w:tc>
      </w:tr>
      <w:tr>
        <w:trPr>
          <w:trHeight w:val="230"/>
        </w:trPr>
        <w:tc>
          <w:tcPr>
            <w:tcW w:w="3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7500" w:type="dxa"/>
            <w:vAlign w:val="bottom"/>
          </w:tcPr>
          <w:p>
            <w:pPr>
              <w:ind w:left="1860"/>
              <w:spacing w:after="0"/>
              <w:rPr>
                <w:sz w:val="20"/>
                <w:szCs w:val="20"/>
                <w:color w:val="auto"/>
              </w:rPr>
            </w:pPr>
            <w:r>
              <w:rPr>
                <w:rFonts w:ascii="Arial" w:cs="Arial" w:eastAsia="Arial" w:hAnsi="Arial"/>
                <w:sz w:val="18"/>
                <w:szCs w:val="18"/>
                <w:color w:val="auto"/>
              </w:rPr>
              <w:t>the Administrative Agent.</w:t>
            </w:r>
          </w:p>
        </w:tc>
      </w:tr>
      <w:tr>
        <w:trPr>
          <w:trHeight w:val="348"/>
        </w:trPr>
        <w:tc>
          <w:tcPr>
            <w:tcW w:w="3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7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720" w:hanging="712"/>
        <w:spacing w:after="0"/>
        <w:tabs>
          <w:tab w:leader="none" w:pos="7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 Amount of</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 of</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 Assigned of</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Facility Assigned</w:t>
            </w:r>
            <w:r>
              <w:rPr>
                <w:rFonts w:ascii="Arial" w:cs="Arial" w:eastAsia="Arial" w:hAnsi="Arial"/>
                <w:sz w:val="17"/>
                <w:szCs w:val="17"/>
                <w:b w:val="1"/>
                <w:bCs w:val="1"/>
                <w:color w:val="auto"/>
                <w:vertAlign w:val="superscript"/>
              </w:rPr>
              <w:t>5</w:t>
            </w:r>
          </w:p>
        </w:tc>
        <w:tc>
          <w:tcPr>
            <w:tcW w:w="2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Commitment/Loans</w:t>
            </w:r>
          </w:p>
        </w:tc>
        <w:tc>
          <w:tcPr>
            <w:tcW w:w="2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Commitment/Loans</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gridSpan w:val="2"/>
            <w:vMerge w:val="continue"/>
          </w:tcPr>
          <w:p>
            <w:pPr>
              <w:spacing w:after="0"/>
              <w:rPr>
                <w:sz w:val="14"/>
                <w:szCs w:val="14"/>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 all Lenders</w:t>
            </w:r>
          </w:p>
        </w:tc>
        <w:tc>
          <w:tcPr>
            <w:tcW w:w="2560" w:type="dxa"/>
            <w:vAlign w:val="bottom"/>
            <w:gridSpan w:val="2"/>
          </w:tcPr>
          <w:p>
            <w:pPr>
              <w:jc w:val="center"/>
              <w:ind w:right="280"/>
              <w:spacing w:after="0" w:line="172" w:lineRule="exact"/>
              <w:rPr>
                <w:sz w:val="20"/>
                <w:szCs w:val="20"/>
                <w:color w:val="auto"/>
              </w:rPr>
            </w:pPr>
            <w:r>
              <w:rPr>
                <w:rFonts w:ascii="Arial" w:cs="Arial" w:eastAsia="Arial" w:hAnsi="Arial"/>
                <w:sz w:val="14"/>
                <w:szCs w:val="14"/>
                <w:b w:val="1"/>
                <w:bCs w:val="1"/>
                <w:color w:val="auto"/>
                <w:w w:val="86"/>
              </w:rPr>
              <w:t>Assigned</w:t>
            </w:r>
            <w:r>
              <w:rPr>
                <w:rFonts w:ascii="Arial" w:cs="Arial" w:eastAsia="Arial" w:hAnsi="Arial"/>
                <w:sz w:val="17"/>
                <w:szCs w:val="17"/>
                <w:b w:val="1"/>
                <w:bCs w:val="1"/>
                <w:color w:val="auto"/>
                <w:w w:val="86"/>
                <w:vertAlign w:val="superscript"/>
              </w:rPr>
              <w:t>6</w:t>
            </w:r>
          </w:p>
        </w:tc>
        <w:tc>
          <w:tcPr>
            <w:tcW w:w="2280" w:type="dxa"/>
            <w:vAlign w:val="bottom"/>
          </w:tcPr>
          <w:p>
            <w:pPr>
              <w:jc w:val="center"/>
              <w:spacing w:after="0" w:line="172" w:lineRule="exact"/>
              <w:rPr>
                <w:sz w:val="20"/>
                <w:szCs w:val="20"/>
                <w:color w:val="auto"/>
              </w:rPr>
            </w:pPr>
            <w:r>
              <w:rPr>
                <w:rFonts w:ascii="Arial" w:cs="Arial" w:eastAsia="Arial" w:hAnsi="Arial"/>
                <w:sz w:val="14"/>
                <w:szCs w:val="14"/>
                <w:b w:val="1"/>
                <w:bCs w:val="1"/>
                <w:color w:val="auto"/>
                <w:w w:val="93"/>
              </w:rPr>
              <w:t>Commitment/Loans</w:t>
            </w:r>
            <w:r>
              <w:rPr>
                <w:rFonts w:ascii="Arial" w:cs="Arial" w:eastAsia="Arial" w:hAnsi="Arial"/>
                <w:sz w:val="17"/>
                <w:szCs w:val="17"/>
                <w:b w:val="1"/>
                <w:bCs w:val="1"/>
                <w:color w:val="auto"/>
                <w:w w:val="93"/>
                <w:vertAlign w:val="superscript"/>
              </w:rPr>
              <w:t>7</w:t>
            </w:r>
          </w:p>
        </w:tc>
        <w:tc>
          <w:tcPr>
            <w:tcW w:w="0" w:type="dxa"/>
            <w:vAlign w:val="bottom"/>
          </w:tcPr>
          <w:p>
            <w:pPr>
              <w:spacing w:after="0"/>
              <w:rPr>
                <w:sz w:val="1"/>
                <w:szCs w:val="1"/>
                <w:color w:val="auto"/>
              </w:rPr>
            </w:pPr>
          </w:p>
        </w:tc>
      </w:tr>
      <w:tr>
        <w:trPr>
          <w:trHeight w:val="142"/>
        </w:trPr>
        <w:tc>
          <w:tcPr>
            <w:tcW w:w="3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hanging="292"/>
        <w:spacing w:after="0"/>
        <w:tabs>
          <w:tab w:leader="none" w:pos="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Trade Date:</w:t>
      </w:r>
    </w:p>
    <w:p>
      <w:pPr>
        <w:spacing w:after="0" w:line="238" w:lineRule="exact"/>
        <w:rPr>
          <w:rFonts w:ascii="Arial" w:cs="Arial" w:eastAsia="Arial" w:hAnsi="Arial"/>
          <w:sz w:val="18"/>
          <w:szCs w:val="18"/>
          <w:color w:val="auto"/>
        </w:rPr>
      </w:pPr>
    </w:p>
    <w:p>
      <w:pPr>
        <w:ind w:left="300" w:hanging="292"/>
        <w:spacing w:after="0"/>
        <w:tabs>
          <w:tab w:leader="none" w:pos="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14605</wp:posOffset>
            </wp:positionV>
            <wp:extent cx="26244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24455"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-267335</wp:posOffset>
            </wp:positionV>
            <wp:extent cx="26244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1460"/>
          </w:cols>
          <w:pgMar w:left="240" w:top="125" w:right="199" w:bottom="0" w:gutter="0" w:footer="0" w:header="0"/>
        </w:sectPr>
      </w:pPr>
    </w:p>
    <w:bookmarkStart w:id="102" w:name="page103"/>
    <w:bookmarkEnd w:id="102"/>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ind w:right="60" w:firstLine="8"/>
        <w:spacing w:after="0" w:line="227" w:lineRule="auto"/>
        <w:tabs>
          <w:tab w:leader="none" w:pos="103" w:val="left"/>
        </w:tabs>
        <w:numPr>
          <w:ilvl w:val="0"/>
          <w:numId w:val="205"/>
        </w:numPr>
        <w:rPr>
          <w:rFonts w:ascii="Arial" w:cs="Arial" w:eastAsia="Arial" w:hAnsi="Arial"/>
          <w:sz w:val="23"/>
          <w:szCs w:val="23"/>
          <w:color w:val="auto"/>
          <w:vertAlign w:val="superscript"/>
        </w:rPr>
      </w:pPr>
      <w:r>
        <w:rPr>
          <w:rFonts w:ascii="Arial" w:cs="Arial" w:eastAsia="Arial" w:hAnsi="Arial"/>
          <w:sz w:val="18"/>
          <w:szCs w:val="18"/>
          <w:color w:val="auto"/>
        </w:rPr>
        <w:t>Fill in the appropriate terminology for the types of facilities under the Credit Agreement that are being assigned under this Assignment (e.g. “Term A Loan”, “Term A Commitment”, “Term B Loan”, “Term B Commitment”, etc.).</w:t>
      </w:r>
    </w:p>
    <w:p>
      <w:pPr>
        <w:ind w:right="620"/>
        <w:spacing w:after="0" w:line="233"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6</w:t>
      </w:r>
      <w:r>
        <w:rPr>
          <w:rFonts w:ascii="Arial" w:cs="Arial" w:eastAsia="Arial" w:hAnsi="Arial"/>
          <w:sz w:val="18"/>
          <w:szCs w:val="18"/>
          <w:color w:val="auto"/>
        </w:rPr>
        <w:t xml:space="preserve"> Amount to be adjusted by the counterparties to take into account any payments or prepayments made between the Trade Date and the Effective Date.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Set forth, to at least 9 decimals, as a percentage of the Commitment/Loans of all Lenders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gridSpan w:val="3"/>
          </w:tcPr>
          <w:p>
            <w:pPr>
              <w:spacing w:after="0"/>
              <w:rPr>
                <w:sz w:val="20"/>
                <w:szCs w:val="20"/>
                <w:color w:val="auto"/>
              </w:rPr>
            </w:pPr>
            <w:r>
              <w:rPr>
                <w:rFonts w:ascii="Arial" w:cs="Arial" w:eastAsia="Arial" w:hAnsi="Arial"/>
                <w:sz w:val="18"/>
                <w:szCs w:val="18"/>
                <w:color w:val="auto"/>
                <w:w w:val="92"/>
              </w:rPr>
              <w:t>The terms set forth in this Assignment and Assumption are hereby agreed to:</w:t>
            </w:r>
          </w:p>
        </w:tc>
        <w:tc>
          <w:tcPr>
            <w:tcW w:w="5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5680" w:type="dxa"/>
            <w:vAlign w:val="bottom"/>
            <w:gridSpan w:val="3"/>
          </w:tcPr>
          <w:p>
            <w:pPr>
              <w:spacing w:after="0"/>
              <w:rPr>
                <w:sz w:val="20"/>
                <w:szCs w:val="20"/>
                <w:color w:val="auto"/>
              </w:rPr>
            </w:pPr>
            <w:r>
              <w:rPr>
                <w:rFonts w:ascii="Arial" w:cs="Arial" w:eastAsia="Arial" w:hAnsi="Arial"/>
                <w:sz w:val="18"/>
                <w:szCs w:val="18"/>
                <w:color w:val="auto"/>
              </w:rPr>
              <w:t>ASSIGNOR:</w:t>
            </w: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[NAME OF ASSIGNOR]</w:t>
            </w:r>
          </w:p>
        </w:tc>
        <w:tc>
          <w:tcPr>
            <w:tcW w:w="40" w:type="dxa"/>
            <w:vAlign w:val="bottom"/>
          </w:tcPr>
          <w:p>
            <w:pPr>
              <w:spacing w:after="0"/>
              <w:rPr>
                <w:sz w:val="24"/>
                <w:szCs w:val="24"/>
                <w:color w:val="auto"/>
              </w:rPr>
            </w:pPr>
          </w:p>
        </w:tc>
      </w:tr>
      <w:tr>
        <w:trPr>
          <w:trHeight w:val="453"/>
        </w:trPr>
        <w:tc>
          <w:tcPr>
            <w:tcW w:w="9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520" w:type="dxa"/>
            <w:vAlign w:val="bottom"/>
          </w:tcPr>
          <w:p>
            <w:pPr>
              <w:ind w:left="140"/>
              <w:spacing w:after="0" w:line="182" w:lineRule="exact"/>
              <w:rPr>
                <w:sz w:val="20"/>
                <w:szCs w:val="20"/>
                <w:color w:val="auto"/>
              </w:rPr>
            </w:pPr>
            <w:r>
              <w:rPr>
                <w:rFonts w:ascii="Arial" w:cs="Arial" w:eastAsia="Arial" w:hAnsi="Arial"/>
                <w:sz w:val="17"/>
                <w:szCs w:val="17"/>
                <w:color w:val="auto"/>
                <w:w w:val="71"/>
              </w:rPr>
              <w:t>Name:</w:t>
            </w:r>
          </w:p>
        </w:tc>
        <w:tc>
          <w:tcPr>
            <w:tcW w:w="52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0"/>
                <w:szCs w:val="20"/>
                <w:color w:val="auto"/>
              </w:rPr>
            </w:pPr>
          </w:p>
        </w:tc>
      </w:tr>
      <w:tr>
        <w:trPr>
          <w:trHeight w:val="392"/>
        </w:trPr>
        <w:tc>
          <w:tcPr>
            <w:tcW w:w="5680" w:type="dxa"/>
            <w:vAlign w:val="bottom"/>
            <w:gridSpan w:val="3"/>
          </w:tcPr>
          <w:p>
            <w:pPr>
              <w:spacing w:after="0"/>
              <w:rPr>
                <w:sz w:val="20"/>
                <w:szCs w:val="20"/>
                <w:color w:val="auto"/>
              </w:rPr>
            </w:pPr>
            <w:r>
              <w:rPr>
                <w:rFonts w:ascii="Arial" w:cs="Arial" w:eastAsia="Arial" w:hAnsi="Arial"/>
                <w:sz w:val="18"/>
                <w:szCs w:val="18"/>
                <w:color w:val="auto"/>
              </w:rPr>
              <w:t>ASSIGNEE:</w:t>
            </w: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[NAME OF ASSIGNEE]</w:t>
            </w:r>
          </w:p>
        </w:tc>
        <w:tc>
          <w:tcPr>
            <w:tcW w:w="40" w:type="dxa"/>
            <w:vAlign w:val="bottom"/>
          </w:tcPr>
          <w:p>
            <w:pPr>
              <w:spacing w:after="0"/>
              <w:rPr>
                <w:sz w:val="24"/>
                <w:szCs w:val="24"/>
                <w:color w:val="auto"/>
              </w:rPr>
            </w:pPr>
          </w:p>
        </w:tc>
      </w:tr>
      <w:tr>
        <w:trPr>
          <w:trHeight w:val="453"/>
        </w:trPr>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520" w:type="dxa"/>
            <w:vAlign w:val="bottom"/>
          </w:tcPr>
          <w:p>
            <w:pPr>
              <w:ind w:left="140"/>
              <w:spacing w:after="0" w:line="182" w:lineRule="exact"/>
              <w:rPr>
                <w:sz w:val="20"/>
                <w:szCs w:val="20"/>
                <w:color w:val="auto"/>
              </w:rPr>
            </w:pPr>
            <w:r>
              <w:rPr>
                <w:rFonts w:ascii="Arial" w:cs="Arial" w:eastAsia="Arial" w:hAnsi="Arial"/>
                <w:sz w:val="17"/>
                <w:szCs w:val="17"/>
                <w:color w:val="auto"/>
                <w:w w:val="71"/>
              </w:rPr>
              <w:t>Name:</w:t>
            </w:r>
          </w:p>
        </w:tc>
        <w:tc>
          <w:tcPr>
            <w:tcW w:w="52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0"/>
                <w:szCs w:val="20"/>
                <w:color w:val="auto"/>
              </w:rPr>
            </w:pPr>
          </w:p>
        </w:tc>
      </w:tr>
      <w:tr>
        <w:trPr>
          <w:trHeight w:val="348"/>
        </w:trPr>
        <w:tc>
          <w:tcPr>
            <w:tcW w:w="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Accepted: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VISIUM HEALTHCARE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VISIUM HEALTHCARE ADVISORS, 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ind w:left="880"/>
              <w:spacing w:after="0"/>
              <w:rPr>
                <w:sz w:val="20"/>
                <w:szCs w:val="20"/>
                <w:color w:val="auto"/>
              </w:rPr>
            </w:pPr>
            <w:r>
              <w:rPr>
                <w:rFonts w:ascii="Arial" w:cs="Arial" w:eastAsia="Arial" w:hAnsi="Arial"/>
                <w:sz w:val="18"/>
                <w:szCs w:val="18"/>
                <w:color w:val="auto"/>
              </w:rPr>
              <w:t>By:</w:t>
            </w:r>
          </w:p>
        </w:tc>
        <w:tc>
          <w:tcPr>
            <w:tcW w:w="440" w:type="dxa"/>
            <w:vAlign w:val="bottom"/>
          </w:tcPr>
          <w:p>
            <w:pPr>
              <w:spacing w:after="0"/>
              <w:rPr>
                <w:sz w:val="18"/>
                <w:szCs w:val="18"/>
                <w:color w:val="auto"/>
              </w:rPr>
            </w:pPr>
          </w:p>
        </w:tc>
        <w:tc>
          <w:tcPr>
            <w:tcW w:w="4260" w:type="dxa"/>
            <w:vAlign w:val="bottom"/>
            <w:gridSpan w:val="3"/>
          </w:tcPr>
          <w:p>
            <w:pPr>
              <w:ind w:left="20"/>
              <w:spacing w:after="0"/>
              <w:rPr>
                <w:sz w:val="20"/>
                <w:szCs w:val="20"/>
                <w:color w:val="auto"/>
              </w:rPr>
            </w:pPr>
            <w:r>
              <w:rPr>
                <w:rFonts w:ascii="Arial" w:cs="Arial" w:eastAsia="Arial" w:hAnsi="Arial"/>
                <w:sz w:val="18"/>
                <w:szCs w:val="18"/>
                <w:color w:val="auto"/>
              </w:rPr>
              <w:t>JG ASSET II, LLC,</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700" w:type="dxa"/>
            <w:vAlign w:val="bottom"/>
            <w:gridSpan w:val="4"/>
          </w:tcPr>
          <w:p>
            <w:pPr>
              <w:ind w:left="10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700" w:type="dxa"/>
            <w:vAlign w:val="bottom"/>
            <w:gridSpan w:val="4"/>
          </w:tcPr>
          <w:p>
            <w:pPr>
              <w:ind w:left="100"/>
              <w:spacing w:after="0" w:line="196"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196"/>
        </w:trPr>
        <w:tc>
          <w:tcPr>
            <w:tcW w:w="1260" w:type="dxa"/>
            <w:vAlign w:val="bottom"/>
            <w:vMerge w:val="restart"/>
          </w:tcPr>
          <w:p>
            <w:pPr>
              <w:spacing w:after="0"/>
              <w:rPr>
                <w:sz w:val="20"/>
                <w:szCs w:val="20"/>
                <w:color w:val="auto"/>
              </w:rPr>
            </w:pPr>
            <w:r>
              <w:rPr>
                <w:rFonts w:ascii="Arial" w:cs="Arial" w:eastAsia="Arial" w:hAnsi="Arial"/>
                <w:sz w:val="18"/>
                <w:szCs w:val="18"/>
                <w:color w:val="auto"/>
                <w:w w:val="94"/>
              </w:rPr>
              <w:t>[Consented to:]</w:t>
            </w:r>
            <w:r>
              <w:rPr>
                <w:rFonts w:ascii="Arial" w:cs="Arial" w:eastAsia="Arial" w:hAnsi="Arial"/>
                <w:sz w:val="23"/>
                <w:szCs w:val="23"/>
                <w:color w:val="auto"/>
                <w:w w:val="94"/>
                <w:vertAlign w:val="superscript"/>
              </w:rPr>
              <w:t>9</w:t>
            </w:r>
          </w:p>
        </w:tc>
        <w:tc>
          <w:tcPr>
            <w:tcW w:w="76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Title:</w:t>
            </w:r>
          </w:p>
        </w:tc>
        <w:tc>
          <w:tcPr>
            <w:tcW w:w="3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08"/>
        </w:trPr>
        <w:tc>
          <w:tcPr>
            <w:tcW w:w="12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3788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32588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80" w:hanging="72"/>
        <w:spacing w:after="0"/>
        <w:tabs>
          <w:tab w:leader="none" w:pos="80" w:val="left"/>
        </w:tabs>
        <w:numPr>
          <w:ilvl w:val="0"/>
          <w:numId w:val="206"/>
        </w:numPr>
        <w:rPr>
          <w:rFonts w:ascii="Arial" w:cs="Arial" w:eastAsia="Arial" w:hAnsi="Arial"/>
          <w:sz w:val="19"/>
          <w:szCs w:val="19"/>
          <w:color w:val="auto"/>
          <w:vertAlign w:val="superscript"/>
        </w:rPr>
      </w:pPr>
      <w:r>
        <w:rPr>
          <w:rFonts w:ascii="Arial" w:cs="Arial" w:eastAsia="Arial" w:hAnsi="Arial"/>
          <w:sz w:val="15"/>
          <w:szCs w:val="15"/>
          <w:color w:val="auto"/>
        </w:rPr>
        <w:t>To be added only if the consent of the Administrative Agent is required by the terms of the Credit Agreement.</w:t>
      </w:r>
    </w:p>
    <w:p>
      <w:pPr>
        <w:spacing w:after="0" w:line="7"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23"/>
          <w:szCs w:val="23"/>
          <w:color w:val="auto"/>
          <w:vertAlign w:val="superscript"/>
        </w:rPr>
        <w:t>9</w:t>
      </w:r>
      <w:r>
        <w:rPr>
          <w:rFonts w:ascii="Arial" w:cs="Arial" w:eastAsia="Arial" w:hAnsi="Arial"/>
          <w:sz w:val="18"/>
          <w:szCs w:val="18"/>
          <w:color w:val="auto"/>
        </w:rPr>
        <w:t xml:space="preserve"> To be added only if the consent of the Borrower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Annex 1 to Assignment and Assumption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STANDARD TERMS AND CONDITIONS</w:t>
      </w:r>
    </w:p>
    <w:p>
      <w:pPr>
        <w:spacing w:after="0" w:line="225" w:lineRule="exact"/>
        <w:rPr>
          <w:sz w:val="20"/>
          <w:szCs w:val="20"/>
          <w:color w:val="auto"/>
        </w:rPr>
      </w:pPr>
    </w:p>
    <w:p>
      <w:pPr>
        <w:ind w:left="240" w:hanging="232"/>
        <w:spacing w:after="0"/>
        <w:tabs>
          <w:tab w:leader="none" w:pos="24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the requirements to be an assignee under </w:t>
      </w:r>
      <w:r>
        <w:rPr>
          <w:rFonts w:ascii="Arial" w:cs="Arial" w:eastAsia="Arial" w:hAnsi="Arial"/>
          <w:sz w:val="16"/>
          <w:szCs w:val="16"/>
          <w:u w:val="single" w:color="auto"/>
          <w:color w:val="auto"/>
        </w:rPr>
        <w:t>Sections 11.06(b)(iii)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the Credit Agreement (subject to such consents, if any, as may be required under</w:t>
      </w:r>
    </w:p>
    <w:p>
      <w:pPr>
        <w:sectPr>
          <w:pgSz w:w="11900" w:h="16952" w:orient="portrait"/>
          <w:cols w:equalWidth="0" w:num="1">
            <w:col w:w="11460"/>
          </w:cols>
          <w:pgMar w:left="240" w:top="247" w:right="199" w:bottom="0" w:gutter="0" w:footer="0" w:header="0"/>
        </w:sectPr>
      </w:pPr>
    </w:p>
    <w:bookmarkStart w:id="103" w:name="page104"/>
    <w:bookmarkEnd w:id="103"/>
    <w:p>
      <w:pPr>
        <w:ind w:right="40"/>
        <w:spacing w:after="0" w:line="284" w:lineRule="auto"/>
        <w:rPr>
          <w:sz w:val="20"/>
          <w:szCs w:val="20"/>
          <w:color w:val="auto"/>
        </w:rPr>
      </w:pPr>
      <w:r>
        <w:rPr>
          <w:rFonts w:ascii="Arial" w:cs="Arial" w:eastAsia="Arial" w:hAnsi="Arial"/>
          <w:sz w:val="16"/>
          <w:szCs w:val="16"/>
          <w:u w:val="single" w:color="auto"/>
          <w:color w:val="auto"/>
        </w:rPr>
        <w:t>Section 11.06(b)(iii)</w:t>
      </w:r>
      <w:r>
        <w:rPr>
          <w:rFonts w:ascii="Arial" w:cs="Arial" w:eastAsia="Arial" w:hAnsi="Arial"/>
          <w:sz w:val="16"/>
          <w:szCs w:val="16"/>
          <w:color w:val="auto"/>
        </w:rPr>
        <w:t xml:space="preserve"> of the Credit Agreement),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Assigned Interest and</w:t>
      </w:r>
    </w:p>
    <w:p>
      <w:pPr>
        <w:spacing w:after="0" w:line="1" w:lineRule="exact"/>
        <w:rPr>
          <w:sz w:val="20"/>
          <w:szCs w:val="20"/>
          <w:color w:val="auto"/>
        </w:rPr>
      </w:pPr>
    </w:p>
    <w:p>
      <w:pPr>
        <w:ind w:firstLine="8"/>
        <w:spacing w:after="0" w:line="253" w:lineRule="auto"/>
        <w:tabs>
          <w:tab w:leader="none" w:pos="35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it is a Foreign Lender, attached hereto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1" w:lineRule="exact"/>
        <w:rPr>
          <w:sz w:val="20"/>
          <w:szCs w:val="20"/>
          <w:color w:val="auto"/>
        </w:rPr>
      </w:pPr>
    </w:p>
    <w:p>
      <w:pPr>
        <w:jc w:val="both"/>
        <w:ind w:right="100" w:firstLine="8"/>
        <w:spacing w:after="0" w:line="279" w:lineRule="auto"/>
        <w:tabs>
          <w:tab w:leader="none" w:pos="225"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Effective Date, the Borrower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Notwithstanding the foregoing, the Assignor shall not receive any accrued, but not yet capitalized Paid-In-Kind Interest existing as of the Effective Date and such interest shall be capitalized on the next Interest Payment Date.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7" w:lineRule="exact"/>
        <w:rPr>
          <w:rFonts w:ascii="Arial" w:cs="Arial" w:eastAsia="Arial" w:hAnsi="Arial"/>
          <w:sz w:val="17"/>
          <w:szCs w:val="17"/>
          <w:color w:val="auto"/>
        </w:rPr>
      </w:pPr>
    </w:p>
    <w:p>
      <w:pPr>
        <w:ind w:right="20" w:firstLine="8"/>
        <w:spacing w:after="0" w:line="255" w:lineRule="auto"/>
        <w:tabs>
          <w:tab w:leader="none" w:pos="225"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counterparts (and by different parties hereto in different counterparts), each of which shall constitute an original, but all of which when taken together shall constitute a single contract. Delivery of an executed counterpart of a signature page of this Assignment and Assumption by facsimile or other electronic imaging means (e.g. “pdf” or “tif”)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-1216025</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EXHIBIT E</w:t>
            </w:r>
          </w:p>
        </w:tc>
        <w:tc>
          <w:tcPr>
            <w:tcW w:w="4980" w:type="dxa"/>
            <w:vAlign w:val="bottom"/>
            <w:gridSpan w:val="3"/>
          </w:tcPr>
          <w:p>
            <w:pPr>
              <w:spacing w:after="0"/>
              <w:rPr>
                <w:sz w:val="18"/>
                <w:szCs w:val="18"/>
                <w:color w:val="auto"/>
              </w:rPr>
            </w:pPr>
          </w:p>
        </w:tc>
      </w:tr>
      <w:tr>
        <w:trPr>
          <w:trHeight w:val="453"/>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700" w:type="dxa"/>
            <w:vAlign w:val="bottom"/>
            <w:gridSpan w:val="7"/>
          </w:tcPr>
          <w:p>
            <w:pPr>
              <w:jc w:val="center"/>
              <w:ind w:right="1200"/>
              <w:spacing w:after="0"/>
              <w:rPr>
                <w:sz w:val="20"/>
                <w:szCs w:val="20"/>
                <w:color w:val="auto"/>
              </w:rPr>
            </w:pPr>
            <w:r>
              <w:rPr>
                <w:rFonts w:ascii="Arial" w:cs="Arial" w:eastAsia="Arial" w:hAnsi="Arial"/>
                <w:sz w:val="18"/>
                <w:szCs w:val="18"/>
                <w:b w:val="1"/>
                <w:bCs w:val="1"/>
                <w:color w:val="auto"/>
              </w:rPr>
              <w:t>FORM OF COMPLIANCE CERTIFICATE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 20</w:t>
            </w: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To:</w:t>
            </w:r>
          </w:p>
        </w:tc>
        <w:tc>
          <w:tcPr>
            <w:tcW w:w="10640" w:type="dxa"/>
            <w:vAlign w:val="bottom"/>
            <w:gridSpan w:val="9"/>
          </w:tcPr>
          <w:p>
            <w:pPr>
              <w:ind w:left="120"/>
              <w:spacing w:after="0"/>
              <w:rPr>
                <w:sz w:val="20"/>
                <w:szCs w:val="20"/>
                <w:color w:val="auto"/>
              </w:rPr>
            </w:pPr>
            <w:r>
              <w:rPr>
                <w:rFonts w:ascii="Arial" w:cs="Arial" w:eastAsia="Arial" w:hAnsi="Arial"/>
                <w:sz w:val="18"/>
                <w:szCs w:val="18"/>
                <w:color w:val="auto"/>
              </w:rPr>
              <w:t>Visium Healthcare Partners, LP, as Administrative Agent</w:t>
            </w:r>
          </w:p>
        </w:tc>
      </w:tr>
      <w:tr>
        <w:trPr>
          <w:trHeight w:val="392"/>
        </w:trPr>
        <w:tc>
          <w:tcPr>
            <w:tcW w:w="520" w:type="dxa"/>
            <w:vAlign w:val="bottom"/>
          </w:tcPr>
          <w:p>
            <w:pPr>
              <w:spacing w:after="0"/>
              <w:rPr>
                <w:sz w:val="20"/>
                <w:szCs w:val="20"/>
                <w:color w:val="auto"/>
              </w:rPr>
            </w:pPr>
            <w:r>
              <w:rPr>
                <w:rFonts w:ascii="Arial" w:cs="Arial" w:eastAsia="Arial" w:hAnsi="Arial"/>
                <w:sz w:val="18"/>
                <w:szCs w:val="18"/>
                <w:color w:val="auto"/>
              </w:rPr>
              <w:t>Re:</w:t>
            </w:r>
          </w:p>
        </w:tc>
        <w:tc>
          <w:tcPr>
            <w:tcW w:w="10640" w:type="dxa"/>
            <w:vAlign w:val="bottom"/>
            <w:gridSpan w:val="9"/>
          </w:tcPr>
          <w:p>
            <w:pPr>
              <w:ind w:left="120"/>
              <w:spacing w:after="0"/>
              <w:rPr>
                <w:sz w:val="20"/>
                <w:szCs w:val="20"/>
                <w:color w:val="auto"/>
              </w:rPr>
            </w:pPr>
            <w:r>
              <w:rPr>
                <w:rFonts w:ascii="Arial" w:cs="Arial" w:eastAsia="Arial" w:hAnsi="Arial"/>
                <w:sz w:val="18"/>
                <w:szCs w:val="18"/>
                <w:color w:val="auto"/>
                <w:w w:val="96"/>
              </w:rPr>
              <w:t>Credit Agreement dated as of March 25, 2016 (as amended, modified, restated, supplemented or extended from time to time, the “Credit</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500" w:type="dxa"/>
            <w:vAlign w:val="bottom"/>
            <w:gridSpan w:val="8"/>
          </w:tcPr>
          <w:p>
            <w:pPr>
              <w:spacing w:after="0" w:line="196" w:lineRule="exact"/>
              <w:rPr>
                <w:sz w:val="20"/>
                <w:szCs w:val="20"/>
                <w:color w:val="auto"/>
              </w:rPr>
            </w:pPr>
            <w:r>
              <w:rPr>
                <w:rFonts w:ascii="Arial" w:cs="Arial" w:eastAsia="Arial" w:hAnsi="Arial"/>
                <w:sz w:val="18"/>
                <w:szCs w:val="18"/>
                <w:color w:val="auto"/>
                <w:w w:val="93"/>
              </w:rPr>
              <w:t>Agreement”) among Veracyte, Inc., a Delaware corporation (the “Borrower”), the Guarantors, the Lenders from time to time party thereto and</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r>
      <w:tr>
        <w:trPr>
          <w:trHeight w:val="222"/>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w w:val="90"/>
              </w:rPr>
              <w:t>Visium Healthcare Partners, LP, as Administrative Agent. Capitalized terms used but not otherwise defined herein have the meanings provided in</w:t>
            </w:r>
          </w:p>
        </w:tc>
      </w:tr>
      <w:tr>
        <w:trPr>
          <w:trHeight w:val="230"/>
        </w:trPr>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rPr>
              <w:t>the Credit Agreement.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undersigned Responsible Officer hereby certifies as of the date hereof that [he/she] is the [Chief Executive Officer, Chief Financial Officer, Treasurer or Controller] of the Borrower, and that, in [his/her] capacity as such, [he/she] is authorized to execute and deliver this Compliance Certificate to the Administrative Agent on the behalf of the Borrower, and that: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[Use following paragraph 1 for financial statements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[1.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are the year-end audited financial statements of the Borrower and its Subsidiaries, together with the report and opinion of an independent certified public accountant]/[Attached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is the Annual Report for the Borrower on Form 10-K]/[Rather than being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Borrower has delivered the [year-end audited financial statements and the report and opinion of an independent certified public accountant]/[Annual Report for the Borrower on Form 10-K] electronically, pursuant to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of the Credit Agreement,] in satisfaction of its requirements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of the Credit Agreement for the fiscal year of the Borrower ended as of the above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[Use following paragraph 1 for financial statements delivered pursuant to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 xml:space="preserve">[1. [Attached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are the unaudited financial statements of the Borrower and its Subsidiaries]/[Attached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is the Quarterly Report for the Borrower on Form 10-Q]/[ Rather than being 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Borrower has delivered the [unaudited financial statements of the Borrower and its Subsidiaries]/[Quarterly Report for the Borrower on Form 10-Q] electronically, pursuant to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of the Credit Agreement,] in satisfaction of its requirements under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of the Credit Agreement for the fiscal quarter of the Borrower ended as of the above date. Such [financial statements]/[Quarterly Report on Form 10-Q] fairly present[s] in all material respects the financial condition, results of operations, Consolidated Revenues, shareholders’ equity and cash flows of the Borrower and its Subsidiaries in accordance with GAAP as at such date and for such period, subject only to normal year end audit adjustments and the absence of footnotes.]</w:t>
      </w:r>
    </w:p>
    <w:p>
      <w:pPr>
        <w:spacing w:after="0" w:line="178" w:lineRule="exact"/>
        <w:rPr>
          <w:sz w:val="20"/>
          <w:szCs w:val="20"/>
          <w:color w:val="auto"/>
        </w:rPr>
      </w:pPr>
    </w:p>
    <w:p>
      <w:pPr>
        <w:ind w:firstLine="8"/>
        <w:spacing w:after="0" w:line="342" w:lineRule="auto"/>
        <w:tabs>
          <w:tab w:leader="none" w:pos="72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undersigned has reviewed and is familiar with the terms of the Credit Agreement and has made, or has caused to be made, a reasonably detailed review of the transactions and condition (financial or otherwise) of the Loan Parties during the accounting period covered by the [attached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79"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 xml:space="preserve">statements]/[Quarterly Report on Form 10-Q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]/[Annual Report on Form 10-K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w:t>
      </w:r>
    </w:p>
    <w:p>
      <w:pPr>
        <w:spacing w:after="0" w:line="225" w:lineRule="exact"/>
        <w:rPr>
          <w:sz w:val="20"/>
          <w:szCs w:val="20"/>
          <w:color w:val="auto"/>
        </w:rPr>
      </w:pPr>
    </w:p>
    <w:p>
      <w:pPr>
        <w:ind w:right="360" w:firstLine="8"/>
        <w:spacing w:after="0" w:line="259" w:lineRule="auto"/>
        <w:tabs>
          <w:tab w:leader="none" w:pos="7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A review of the activities of the Loan Parties during the accounting period covered by the [attached financial statements]/[Quarterly Report on Form 10-Q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]/[Annual Report on Form 10-K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 has been made under the supervision of the undersigned with a view to determining whether during such fiscal period the Loan Parties performed and observed all of their respective obligations under the Loan Documents, 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[select one:]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knowledge of the undersigned during such fiscal period, the Loan Parties performed and observed each covenant and condition of the Loan Documents applicable to them, and no Default has occurred and is continuing.]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covenants or conditions have not been performed or observed and the following is a list of each such Default and its nature and status:]</w:t>
      </w:r>
    </w:p>
    <w:p>
      <w:pPr>
        <w:spacing w:after="0" w:line="237" w:lineRule="exact"/>
        <w:rPr>
          <w:sz w:val="20"/>
          <w:szCs w:val="20"/>
          <w:color w:val="auto"/>
        </w:rPr>
      </w:pPr>
    </w:p>
    <w:p>
      <w:pPr>
        <w:ind w:right="560" w:firstLine="8"/>
        <w:spacing w:after="0" w:line="277" w:lineRule="auto"/>
        <w:tabs>
          <w:tab w:leader="none" w:pos="7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financial covenant analyses and calculation of Consolidated Revenues and Liquidity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are true and accurate on and as of the date of this Compliance Certificate.</w:t>
      </w:r>
    </w:p>
    <w:p>
      <w:pPr>
        <w:spacing w:after="0" w:line="170" w:lineRule="exact"/>
        <w:rPr>
          <w:rFonts w:ascii="Arial" w:cs="Arial" w:eastAsia="Arial" w:hAnsi="Arial"/>
          <w:sz w:val="18"/>
          <w:szCs w:val="18"/>
          <w:color w:val="auto"/>
        </w:rPr>
      </w:pPr>
    </w:p>
    <w:p>
      <w:pPr>
        <w:ind w:right="260" w:firstLine="8"/>
        <w:spacing w:after="0" w:line="264" w:lineRule="auto"/>
        <w:tabs>
          <w:tab w:leader="none" w:pos="7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is a supplement setting forth information regarding the amount of all Dispositions, Involuntary Dispositions, Debt Issuances and Acquisitions that occurred during the period covered by the [attached financial statements]/[Quarterly Report on Form 10-Q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]/[Annual Report on Form 10-K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40" w:firstLine="8"/>
        <w:spacing w:after="0" w:line="286" w:lineRule="auto"/>
        <w:tabs>
          <w:tab w:leader="none" w:pos="7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is (i) a list of (A) all applications by any Loan Party, if any, for Copyrights, Patents or Trademarks made since [the Effective Date] [the date of the prior Compliance Certificate], (B) all issuances of registrations or letters on existing applications by any Loan Party for Copyrights, Patents and Trademarks received since [the Effective Date] [the date of the prior Compliance Certificate], (C) all Trademark Licenses, Copyright Licenses and Patent Licenses entered into by any Loan Party since [the Effective Date] [the date of the prior Compliance Certificate] and (D) such supplements to </w:t>
      </w:r>
      <w:r>
        <w:rPr>
          <w:rFonts w:ascii="Arial" w:cs="Arial" w:eastAsia="Arial" w:hAnsi="Arial"/>
          <w:sz w:val="16"/>
          <w:szCs w:val="16"/>
          <w:u w:val="single" w:color="auto"/>
          <w:color w:val="auto"/>
        </w:rPr>
        <w:t>Schedule 6.17</w:t>
      </w:r>
      <w:r>
        <w:rPr>
          <w:rFonts w:ascii="Arial" w:cs="Arial" w:eastAsia="Arial" w:hAnsi="Arial"/>
          <w:sz w:val="16"/>
          <w:szCs w:val="16"/>
          <w:color w:val="auto"/>
        </w:rPr>
        <w:t xml:space="preserve"> of the Credit Agreement as are necessary to cause such schedule to be true and complete as of the date of this Compliance Certificate, (ii) the insurance binder or other evidence of insurance for any insurance coverage of any Loan Party or any Subsidiary that was renewed, replaced or modified during the period covered by the [attached financial statements]/[Quarterly Report on Form 10-Q referenced in </w:t>
      </w:r>
      <w:r>
        <w:rPr>
          <w:rFonts w:ascii="Arial" w:cs="Arial" w:eastAsia="Arial" w:hAnsi="Arial"/>
          <w:sz w:val="16"/>
          <w:szCs w:val="16"/>
          <w:u w:val="single" w:color="auto"/>
          <w:color w:val="auto"/>
        </w:rPr>
        <w:t>Paragraph 1</w:t>
      </w:r>
      <w:r>
        <w:rPr>
          <w:rFonts w:ascii="Arial" w:cs="Arial" w:eastAsia="Arial" w:hAnsi="Arial"/>
          <w:sz w:val="16"/>
          <w:szCs w:val="16"/>
          <w:color w:val="auto"/>
        </w:rPr>
        <w:t xml:space="preserve">]/[Annual Report on Form 10-K referenced in </w:t>
      </w:r>
      <w:r>
        <w:rPr>
          <w:rFonts w:ascii="Arial" w:cs="Arial" w:eastAsia="Arial" w:hAnsi="Arial"/>
          <w:sz w:val="16"/>
          <w:szCs w:val="16"/>
          <w:u w:val="single" w:color="auto"/>
          <w:color w:val="auto"/>
        </w:rPr>
        <w:t>Paragraph 1</w:t>
      </w:r>
      <w:r>
        <w:rPr>
          <w:rFonts w:ascii="Arial" w:cs="Arial" w:eastAsia="Arial" w:hAnsi="Arial"/>
          <w:sz w:val="16"/>
          <w:szCs w:val="16"/>
          <w:color w:val="auto"/>
        </w:rPr>
        <w:t>], (iii) a copy of management’s discussion &amp; analysis (“</w:t>
      </w:r>
      <w:r>
        <w:rPr>
          <w:rFonts w:ascii="Arial" w:cs="Arial" w:eastAsia="Arial" w:hAnsi="Arial"/>
          <w:sz w:val="16"/>
          <w:szCs w:val="16"/>
          <w:u w:val="single" w:color="auto"/>
          <w:color w:val="auto"/>
        </w:rPr>
        <w:t>MD&amp;A</w:t>
      </w:r>
      <w:r>
        <w:rPr>
          <w:rFonts w:ascii="Arial" w:cs="Arial" w:eastAsia="Arial" w:hAnsi="Arial"/>
          <w:sz w:val="16"/>
          <w:szCs w:val="16"/>
          <w:color w:val="auto"/>
        </w:rPr>
        <w:t xml:space="preserve">”) with respect to the financial statements or report referenced in </w:t>
      </w:r>
      <w:r>
        <w:rPr>
          <w:rFonts w:ascii="Arial" w:cs="Arial" w:eastAsia="Arial" w:hAnsi="Arial"/>
          <w:sz w:val="16"/>
          <w:szCs w:val="16"/>
          <w:u w:val="single" w:color="auto"/>
          <w:color w:val="auto"/>
        </w:rPr>
        <w:t>Paragraph 1</w:t>
      </w:r>
      <w:r>
        <w:rPr>
          <w:rFonts w:ascii="Arial" w:cs="Arial" w:eastAsia="Arial" w:hAnsi="Arial"/>
          <w:sz w:val="16"/>
          <w:szCs w:val="16"/>
          <w:color w:val="auto"/>
        </w:rPr>
        <w:t xml:space="preserve"> (unless the MD&amp;A has been delivered electronically pursuant to Section 7.02 of the Credit Agreement), (iv) a list of all litigations, arbitrations or governmental investigations or proceedings which were instituted since [the Effective Date] [the date of the prior Compliance Certificate] or which, to the knowledge of the Borrower, are threatened against any Loan Party or any Subsidiary which, in any case, could reasonably be expected to result in losses and/or expenses (other than, for the avoidance of doubt, legal and court fees, costs and expenses) in excess of the Threshold Amount, together with a description setting forth the details thereof and stating what action the applicable Loan Party or Subsidiary has taken and proposes to take with respect thereto and (v) a list of any and all material changes in accounting policies or financial reporting practices by the Borrower or any Subsidiary since [the Effective Date] [the date of the prior Compliance Certificate], together with a description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forth the details thereof and stating what action the applicable Loan Party or Subsidiary has taken and proposes to take with respect thereto.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w w:val="94"/>
              </w:rPr>
              <w:t>IN WITNESS WHEREOF, the undersigned has executed this Compliance Certificate as of</w:t>
            </w:r>
          </w:p>
        </w:tc>
        <w:tc>
          <w:tcPr>
            <w:tcW w:w="66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Schedule 1</w:t>
      </w:r>
    </w:p>
    <w:p>
      <w:pPr>
        <w:spacing w:after="0" w:line="225" w:lineRule="exact"/>
        <w:rPr>
          <w:sz w:val="20"/>
          <w:szCs w:val="20"/>
          <w:color w:val="auto"/>
        </w:rPr>
      </w:pPr>
    </w:p>
    <w:p>
      <w:pPr>
        <w:jc w:val="center"/>
        <w:ind w:left="260" w:right="100"/>
        <w:spacing w:after="0" w:line="277" w:lineRule="auto"/>
        <w:rPr>
          <w:sz w:val="20"/>
          <w:szCs w:val="20"/>
          <w:color w:val="auto"/>
        </w:rPr>
      </w:pPr>
      <w:r>
        <w:rPr>
          <w:rFonts w:ascii="Arial" w:cs="Arial" w:eastAsia="Arial" w:hAnsi="Arial"/>
          <w:sz w:val="18"/>
          <w:szCs w:val="18"/>
          <w:u w:val="single" w:color="auto"/>
          <w:color w:val="auto"/>
        </w:rPr>
        <w:t>[[Audited][Unaudited] Financial Statements of the Borrower and its Subsidiaries][Annual Report for the Borrower on Form 10-K][Quarterly Report for the Borrower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Schedule 2</w:t>
      </w:r>
    </w:p>
    <w:p>
      <w:pPr>
        <w:spacing w:after="0" w:line="225" w:lineRule="exact"/>
        <w:rPr>
          <w:sz w:val="20"/>
          <w:szCs w:val="20"/>
          <w:color w:val="auto"/>
        </w:rPr>
      </w:pPr>
    </w:p>
    <w:p>
      <w:pPr>
        <w:ind w:left="780" w:hanging="448"/>
        <w:spacing w:after="0"/>
        <w:tabs>
          <w:tab w:leader="none" w:pos="780" w:val="left"/>
        </w:tabs>
        <w:numPr>
          <w:ilvl w:val="0"/>
          <w:numId w:val="213"/>
        </w:numPr>
        <w:rPr>
          <w:rFonts w:ascii="Arial" w:cs="Arial" w:eastAsia="Arial" w:hAnsi="Arial"/>
          <w:sz w:val="18"/>
          <w:szCs w:val="18"/>
          <w:u w:val="single" w:color="auto"/>
          <w:color w:val="auto"/>
        </w:rPr>
      </w:pPr>
      <w:r>
        <w:rPr>
          <w:rFonts w:ascii="Arial" w:cs="Arial" w:eastAsia="Arial" w:hAnsi="Arial"/>
          <w:sz w:val="18"/>
          <w:szCs w:val="18"/>
          <w:color w:val="auto"/>
        </w:rPr>
        <w:t>Consolidated Revenues.</w:t>
      </w:r>
    </w:p>
    <w:p>
      <w:pPr>
        <w:spacing w:after="0" w:line="225" w:lineRule="exact"/>
        <w:rPr>
          <w:sz w:val="20"/>
          <w:szCs w:val="20"/>
          <w:color w:val="auto"/>
        </w:rPr>
      </w:pPr>
    </w:p>
    <w:p>
      <w:pPr>
        <w:ind w:left="780"/>
        <w:spacing w:after="0"/>
        <w:tabs>
          <w:tab w:leader="none" w:pos="10360" w:val="left"/>
        </w:tabs>
        <w:rPr>
          <w:sz w:val="20"/>
          <w:szCs w:val="20"/>
          <w:color w:val="auto"/>
        </w:rPr>
      </w:pPr>
      <w:r>
        <w:rPr>
          <w:rFonts w:ascii="Arial" w:cs="Arial" w:eastAsia="Arial" w:hAnsi="Arial"/>
          <w:sz w:val="18"/>
          <w:szCs w:val="18"/>
          <w:color w:val="auto"/>
        </w:rPr>
        <w:t>Consolidated Revenues for the four consecutive fiscal quarter</w:t>
      </w:r>
      <w:r>
        <w:rPr>
          <w:sz w:val="20"/>
          <w:szCs w:val="20"/>
          <w:color w:val="auto"/>
        </w:rPr>
        <w:tab/>
      </w:r>
      <w:r>
        <w:rPr>
          <w:rFonts w:ascii="Arial" w:cs="Arial" w:eastAsia="Arial" w:hAnsi="Arial"/>
          <w:sz w:val="17"/>
          <w:szCs w:val="17"/>
          <w:color w:val="auto"/>
        </w:rPr>
        <w:t>$</w:t>
      </w:r>
    </w:p>
    <w:p>
      <w:pPr>
        <w:sectPr>
          <w:pgSz w:w="11900" w:h="16838" w:orient="portrait"/>
          <w:cols w:equalWidth="0" w:num="1">
            <w:col w:w="11420"/>
          </w:cols>
          <w:pgMar w:left="240" w:top="125" w:right="239" w:bottom="0" w:gutter="0" w:footer="0" w:header="0"/>
        </w:sectPr>
      </w:pPr>
    </w:p>
    <w:bookmarkStart w:id="105" w:name="page106"/>
    <w:bookmarkEnd w:id="105"/>
    <w:p>
      <w:pPr>
        <w:ind w:left="780"/>
        <w:spacing w:after="0"/>
        <w:rPr>
          <w:sz w:val="20"/>
          <w:szCs w:val="20"/>
          <w:color w:val="auto"/>
        </w:rPr>
      </w:pPr>
      <w:r>
        <w:rPr>
          <w:rFonts w:ascii="Arial" w:cs="Arial" w:eastAsia="Arial" w:hAnsi="Arial"/>
          <w:sz w:val="18"/>
          <w:szCs w:val="18"/>
          <w:color w:val="auto"/>
        </w:rPr>
        <w:t>period most recently ended on or prior to the date of this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Compliance Certificate: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gridSpan w:val="8"/>
          </w:tcPr>
          <w:p>
            <w:pPr>
              <w:spacing w:after="0"/>
              <w:rPr>
                <w:sz w:val="20"/>
                <w:szCs w:val="20"/>
                <w:color w:val="auto"/>
              </w:rPr>
            </w:pPr>
            <w:r>
              <w:rPr>
                <w:rFonts w:ascii="Arial" w:cs="Arial" w:eastAsia="Arial" w:hAnsi="Arial"/>
                <w:sz w:val="18"/>
                <w:szCs w:val="18"/>
                <w:color w:val="auto"/>
              </w:rPr>
              <w:t>Amount required by Section 8.16 of the Credit Agreement for such four</w:t>
            </w:r>
          </w:p>
        </w:tc>
        <w:tc>
          <w:tcPr>
            <w:tcW w:w="36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37"/>
        </w:trPr>
        <w:tc>
          <w:tcPr>
            <w:tcW w:w="7840" w:type="dxa"/>
            <w:vAlign w:val="bottom"/>
            <w:gridSpan w:val="8"/>
          </w:tcPr>
          <w:p>
            <w:pPr>
              <w:spacing w:after="0"/>
              <w:rPr>
                <w:sz w:val="20"/>
                <w:szCs w:val="20"/>
                <w:color w:val="auto"/>
              </w:rPr>
            </w:pPr>
            <w:r>
              <w:rPr>
                <w:rFonts w:ascii="Arial" w:cs="Arial" w:eastAsia="Arial" w:hAnsi="Arial"/>
                <w:sz w:val="18"/>
                <w:szCs w:val="18"/>
                <w:color w:val="auto"/>
              </w:rPr>
              <w:t>consecutive fiscal quarter period:</w:t>
            </w:r>
          </w:p>
        </w:tc>
        <w:tc>
          <w:tcPr>
            <w:tcW w:w="3620" w:type="dxa"/>
            <w:vAlign w:val="bottom"/>
          </w:tcPr>
          <w:p>
            <w:pPr>
              <w:jc w:val="right"/>
              <w:ind w:right="890"/>
              <w:spacing w:after="0"/>
              <w:rPr>
                <w:sz w:val="20"/>
                <w:szCs w:val="20"/>
                <w:color w:val="auto"/>
              </w:rPr>
            </w:pPr>
            <w:r>
              <w:rPr>
                <w:rFonts w:ascii="Arial" w:cs="Arial" w:eastAsia="Arial" w:hAnsi="Arial"/>
                <w:sz w:val="18"/>
                <w:szCs w:val="18"/>
                <w:color w:val="auto"/>
              </w:rPr>
              <w:t>$</w:t>
            </w:r>
          </w:p>
        </w:tc>
      </w:tr>
      <w:tr>
        <w:trPr>
          <w:trHeight w:val="432"/>
        </w:trPr>
        <w:tc>
          <w:tcPr>
            <w:tcW w:w="7840" w:type="dxa"/>
            <w:vAlign w:val="bottom"/>
            <w:gridSpan w:val="8"/>
          </w:tcPr>
          <w:p>
            <w:pPr>
              <w:spacing w:after="0"/>
              <w:rPr>
                <w:sz w:val="20"/>
                <w:szCs w:val="20"/>
                <w:color w:val="auto"/>
              </w:rPr>
            </w:pPr>
            <w:r>
              <w:rPr>
                <w:rFonts w:ascii="Arial" w:cs="Arial" w:eastAsia="Arial" w:hAnsi="Arial"/>
                <w:sz w:val="18"/>
                <w:szCs w:val="18"/>
                <w:color w:val="auto"/>
              </w:rPr>
              <w:t>Compliance:</w:t>
            </w:r>
          </w:p>
        </w:tc>
        <w:tc>
          <w:tcPr>
            <w:tcW w:w="3620" w:type="dxa"/>
            <w:vAlign w:val="bottom"/>
          </w:tcPr>
          <w:p>
            <w:pPr>
              <w:jc w:val="right"/>
              <w:spacing w:after="0"/>
              <w:rPr>
                <w:sz w:val="20"/>
                <w:szCs w:val="20"/>
                <w:color w:val="auto"/>
              </w:rPr>
            </w:pPr>
            <w:r>
              <w:rPr>
                <w:rFonts w:ascii="Arial" w:cs="Arial" w:eastAsia="Arial" w:hAnsi="Arial"/>
                <w:sz w:val="18"/>
                <w:szCs w:val="18"/>
                <w:color w:val="auto"/>
              </w:rPr>
              <w:t>[Yes] [No]</w:t>
            </w:r>
          </w:p>
        </w:tc>
      </w:tr>
      <w:tr>
        <w:trPr>
          <w:trHeight w:val="392"/>
        </w:trPr>
        <w:tc>
          <w:tcPr>
            <w:tcW w:w="620" w:type="dxa"/>
            <w:vAlign w:val="bottom"/>
            <w:gridSpan w:val="3"/>
          </w:tcPr>
          <w:p>
            <w:pPr>
              <w:ind w:left="340"/>
              <w:spacing w:after="0"/>
              <w:rPr>
                <w:sz w:val="20"/>
                <w:szCs w:val="20"/>
                <w:color w:val="auto"/>
              </w:rPr>
            </w:pPr>
            <w:r>
              <w:rPr>
                <w:rFonts w:ascii="Arial" w:cs="Arial" w:eastAsia="Arial" w:hAnsi="Arial"/>
                <w:sz w:val="18"/>
                <w:szCs w:val="18"/>
                <w:color w:val="auto"/>
              </w:rPr>
              <w:t>2.</w:t>
            </w:r>
          </w:p>
        </w:tc>
        <w:tc>
          <w:tcPr>
            <w:tcW w:w="7220" w:type="dxa"/>
            <w:vAlign w:val="bottom"/>
            <w:gridSpan w:val="5"/>
          </w:tcPr>
          <w:p>
            <w:pPr>
              <w:ind w:left="160"/>
              <w:spacing w:after="0"/>
              <w:rPr>
                <w:sz w:val="20"/>
                <w:szCs w:val="20"/>
                <w:color w:val="auto"/>
              </w:rPr>
            </w:pPr>
            <w:r>
              <w:rPr>
                <w:rFonts w:ascii="Arial" w:cs="Arial" w:eastAsia="Arial" w:hAnsi="Arial"/>
                <w:sz w:val="18"/>
                <w:szCs w:val="18"/>
                <w:color w:val="auto"/>
              </w:rPr>
              <w:t>Liquidity.</w:t>
            </w:r>
          </w:p>
        </w:tc>
        <w:tc>
          <w:tcPr>
            <w:tcW w:w="3620" w:type="dxa"/>
            <w:vAlign w:val="bottom"/>
          </w:tcPr>
          <w:p>
            <w:pPr>
              <w:spacing w:after="0"/>
              <w:rPr>
                <w:sz w:val="24"/>
                <w:szCs w:val="24"/>
                <w:color w:val="auto"/>
              </w:rPr>
            </w:pPr>
          </w:p>
        </w:tc>
      </w:tr>
      <w:tr>
        <w:trPr>
          <w:trHeight w:val="453"/>
        </w:trPr>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220" w:type="dxa"/>
            <w:vAlign w:val="bottom"/>
            <w:gridSpan w:val="5"/>
          </w:tcPr>
          <w:p>
            <w:pPr>
              <w:ind w:left="160"/>
              <w:spacing w:after="0"/>
              <w:rPr>
                <w:sz w:val="20"/>
                <w:szCs w:val="20"/>
                <w:color w:val="auto"/>
              </w:rPr>
            </w:pPr>
            <w:r>
              <w:rPr>
                <w:rFonts w:ascii="Arial" w:cs="Arial" w:eastAsia="Arial" w:hAnsi="Arial"/>
                <w:sz w:val="18"/>
                <w:szCs w:val="18"/>
                <w:color w:val="auto"/>
              </w:rPr>
              <w:t>Unrestricted Cash as of the date of this Compliance Certificate</w:t>
            </w:r>
          </w:p>
        </w:tc>
        <w:tc>
          <w:tcPr>
            <w:tcW w:w="3620" w:type="dxa"/>
            <w:vAlign w:val="bottom"/>
          </w:tcPr>
          <w:p>
            <w:pPr>
              <w:jc w:val="right"/>
              <w:ind w:right="890"/>
              <w:spacing w:after="0"/>
              <w:rPr>
                <w:sz w:val="20"/>
                <w:szCs w:val="20"/>
                <w:color w:val="auto"/>
              </w:rPr>
            </w:pPr>
            <w:r>
              <w:rPr>
                <w:rFonts w:ascii="Arial" w:cs="Arial" w:eastAsia="Arial" w:hAnsi="Arial"/>
                <w:sz w:val="18"/>
                <w:szCs w:val="18"/>
                <w:color w:val="auto"/>
              </w:rPr>
              <w:t>$</w:t>
            </w:r>
          </w:p>
        </w:tc>
      </w:tr>
      <w:tr>
        <w:trPr>
          <w:trHeight w:val="392"/>
        </w:trPr>
        <w:tc>
          <w:tcPr>
            <w:tcW w:w="7840" w:type="dxa"/>
            <w:vAlign w:val="bottom"/>
            <w:gridSpan w:val="8"/>
          </w:tcPr>
          <w:p>
            <w:pPr>
              <w:spacing w:after="0"/>
              <w:rPr>
                <w:sz w:val="20"/>
                <w:szCs w:val="20"/>
                <w:color w:val="auto"/>
              </w:rPr>
            </w:pPr>
            <w:r>
              <w:rPr>
                <w:rFonts w:ascii="Arial" w:cs="Arial" w:eastAsia="Arial" w:hAnsi="Arial"/>
                <w:sz w:val="18"/>
                <w:szCs w:val="18"/>
                <w:color w:val="auto"/>
              </w:rPr>
              <w:t>Minimum Amount required by Section 8.17 of the Credit Agreement:</w:t>
            </w:r>
          </w:p>
        </w:tc>
        <w:tc>
          <w:tcPr>
            <w:tcW w:w="362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453"/>
        </w:trPr>
        <w:tc>
          <w:tcPr>
            <w:tcW w:w="2280" w:type="dxa"/>
            <w:vAlign w:val="bottom"/>
            <w:gridSpan w:val="5"/>
          </w:tcPr>
          <w:p>
            <w:pPr>
              <w:spacing w:after="0"/>
              <w:rPr>
                <w:sz w:val="20"/>
                <w:szCs w:val="20"/>
                <w:color w:val="auto"/>
              </w:rPr>
            </w:pPr>
            <w:r>
              <w:rPr>
                <w:rFonts w:ascii="Arial" w:cs="Arial" w:eastAsia="Arial" w:hAnsi="Arial"/>
                <w:sz w:val="18"/>
                <w:szCs w:val="18"/>
                <w:color w:val="auto"/>
              </w:rPr>
              <w:t>Compliance:</w:t>
            </w:r>
          </w:p>
        </w:tc>
        <w:tc>
          <w:tcPr>
            <w:tcW w:w="900" w:type="dxa"/>
            <w:vAlign w:val="bottom"/>
            <w:tcBorders>
              <w:top w:val="single" w:sz="8" w:color="auto"/>
            </w:tcBorders>
            <w:gridSpan w:val="2"/>
          </w:tcPr>
          <w:p>
            <w:pPr>
              <w:spacing w:after="0"/>
              <w:rPr>
                <w:sz w:val="24"/>
                <w:szCs w:val="24"/>
                <w:color w:val="auto"/>
              </w:rPr>
            </w:pPr>
          </w:p>
        </w:tc>
        <w:tc>
          <w:tcPr>
            <w:tcW w:w="466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[Yes] [No]</w:t>
            </w:r>
          </w:p>
        </w:tc>
      </w:tr>
      <w:tr>
        <w:trPr>
          <w:trHeight w:val="348"/>
        </w:trPr>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Schedule 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Dispositions, Involuntary Dispositions, Debt Issuances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Schedule 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IP Schedule Updates; Insurance Binders; MD&amp;A; Litigation; Accounting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AGREEMENT</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THIS SECURITY AGREEMENT </w:t>
      </w:r>
      <w:r>
        <w:rPr>
          <w:rFonts w:ascii="Arial" w:cs="Arial" w:eastAsia="Arial" w:hAnsi="Arial"/>
          <w:sz w:val="18"/>
          <w:szCs w:val="18"/>
          <w:color w:val="auto"/>
        </w:rPr>
        <w:t>dated as of March 30, 2016 (as amended, modified, restated or supplemented from time to time, this “</w:t>
      </w:r>
      <w:r>
        <w:rPr>
          <w:rFonts w:ascii="Arial" w:cs="Arial" w:eastAsia="Arial" w:hAnsi="Arial"/>
          <w:sz w:val="18"/>
          <w:szCs w:val="18"/>
          <w:u w:val="single" w:color="auto"/>
          <w:color w:val="auto"/>
        </w:rPr>
        <w:t>Security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among the parties identified as “Grantors” on the signature pages hereto and such other parties as may become Grantors hereunder after the date hereof (individually a “</w:t>
      </w:r>
      <w:r>
        <w:rPr>
          <w:rFonts w:ascii="Arial" w:cs="Arial" w:eastAsia="Arial" w:hAnsi="Arial"/>
          <w:sz w:val="18"/>
          <w:szCs w:val="18"/>
          <w:u w:val="single" w:color="auto"/>
          <w:color w:val="auto"/>
        </w:rPr>
        <w:t>Grantor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Grantors</w:t>
      </w:r>
      <w:r>
        <w:rPr>
          <w:rFonts w:ascii="Arial" w:cs="Arial" w:eastAsia="Arial" w:hAnsi="Arial"/>
          <w:sz w:val="18"/>
          <w:szCs w:val="18"/>
          <w:color w:val="auto"/>
        </w:rPr>
        <w:t>”) and Visium Healthcare Partners, LP,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Secured Parties (defined below).</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 I T N E S S E T H</w:t>
      </w:r>
    </w:p>
    <w:p>
      <w:pPr>
        <w:spacing w:after="0" w:line="221"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 credit facility has been established in favor of Veracyte,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pursuant to the terms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Credit Agreement dated as of March 25, 2016 (as amended, modified, restated, supplemented or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Borrower, the Guarantors, the Lenders from time to time party thereto and the Administrative Agent;</w:t>
      </w:r>
    </w:p>
    <w:p>
      <w:pPr>
        <w:spacing w:after="0" w:line="17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required under the terms of the Credit Agreement that the Grantors shall have granted the security interests and undertaken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contemplated by this Security Agreement;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Security Agreement is required under the terms of the Credit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these premises and other good and valuable consideration,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166" w:lineRule="exact"/>
        <w:rPr>
          <w:sz w:val="20"/>
          <w:szCs w:val="20"/>
          <w:color w:val="auto"/>
        </w:rPr>
      </w:pPr>
    </w:p>
    <w:p>
      <w:pPr>
        <w:ind w:left="1300" w:hanging="644"/>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Capitalized terms used and not otherwise defined herein shall have the meanings provided in the Credit Agreement.</w:t>
      </w:r>
    </w:p>
    <w:p>
      <w:pPr>
        <w:spacing w:after="0" w:line="225" w:lineRule="exact"/>
        <w:rPr>
          <w:rFonts w:ascii="Arial" w:cs="Arial" w:eastAsia="Arial" w:hAnsi="Arial"/>
          <w:sz w:val="18"/>
          <w:szCs w:val="18"/>
          <w:color w:val="auto"/>
        </w:rPr>
      </w:pPr>
    </w:p>
    <w:p>
      <w:pPr>
        <w:ind w:left="660" w:right="380" w:firstLine="645"/>
        <w:spacing w:after="0" w:line="257" w:lineRule="auto"/>
        <w:tabs>
          <w:tab w:leader="none" w:pos="1964"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following terms shall have the meanings assigned thereto in the UCC (defined below): Accession, Account, As-Extracted Collateral, Chattel Paper, Commercial Tort Claim, Consumer Goods, Deposit Account, Document, Electronic Chattel Paper, Equipment, Farm Products, Fixtures, General Intangible, Goods, Instrument, Inventory, Investment Property, Letter-of-Credit Right, Manufactured Home, Money, Payment Intangibles, Proceeds, Securities Account, Securities Entitlement, Securities Intermediary, Software, Standing Timber, Supporting Obligation and Tangible Chattel Paper.</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As used herein, the following terms shall have the meanings set forth below:</w:t>
      </w:r>
    </w:p>
    <w:p>
      <w:pPr>
        <w:spacing w:after="0" w:line="225" w:lineRule="exact"/>
        <w:rPr>
          <w:rFonts w:ascii="Arial" w:cs="Arial" w:eastAsia="Arial" w:hAnsi="Arial"/>
          <w:sz w:val="18"/>
          <w:szCs w:val="18"/>
          <w:color w:val="auto"/>
        </w:rPr>
      </w:pPr>
    </w:p>
    <w:p>
      <w:pPr>
        <w:ind w:left="1960" w:right="3180"/>
        <w:spacing w:after="0" w:line="50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provided in the introductory paragraph hereof. “</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provided in the recitals hereof.</w:t>
      </w:r>
    </w:p>
    <w:p>
      <w:pPr>
        <w:ind w:left="19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ectPr>
          <w:pgSz w:w="11900" w:h="16838" w:orient="portrait"/>
          <w:cols w:equalWidth="0" w:num="1">
            <w:col w:w="11460"/>
          </w:cols>
          <w:pgMar w:left="240" w:top="125" w:right="199" w:bottom="0" w:gutter="0" w:footer="0" w:header="0"/>
        </w:sectPr>
      </w:pPr>
    </w:p>
    <w:bookmarkStart w:id="106" w:name="page107"/>
    <w:bookmarkEnd w:id="106"/>
    <w:p>
      <w:pPr>
        <w:ind w:left="1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has the meaning provided in the recitals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60" w:right="2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IP Rights</w:t>
      </w:r>
      <w:r>
        <w:rPr>
          <w:rFonts w:ascii="Arial" w:cs="Arial" w:eastAsia="Arial" w:hAnsi="Arial"/>
          <w:sz w:val="16"/>
          <w:szCs w:val="16"/>
          <w:color w:val="auto"/>
        </w:rPr>
        <w:t>” means IP Rights that (a) are material to the operations, business, property or condition (financial or otherwise) of the Grantors or their licensee(s) or (b) the loss of which could reasonably be expected to have a Material Adverse Effect.</w:t>
      </w:r>
    </w:p>
    <w:p>
      <w:pPr>
        <w:spacing w:after="0" w:line="124" w:lineRule="exact"/>
        <w:rPr>
          <w:sz w:val="20"/>
          <w:szCs w:val="20"/>
          <w:color w:val="auto"/>
        </w:rPr>
      </w:pPr>
    </w:p>
    <w:p>
      <w:pPr>
        <w:ind w:left="1160"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without duplication, (a) all Obligations and (b) all costs and expenses incurred in connection with enforcement and collection of the Obligations, including the fees, charges and disbursements of counsel.</w:t>
      </w:r>
    </w:p>
    <w:p>
      <w:pPr>
        <w:spacing w:after="0" w:line="170" w:lineRule="exact"/>
        <w:rPr>
          <w:sz w:val="20"/>
          <w:szCs w:val="20"/>
          <w:color w:val="auto"/>
        </w:rPr>
      </w:pPr>
    </w:p>
    <w:p>
      <w:pPr>
        <w:ind w:left="1160"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the Administrative Agent, the Lenders and any holder of the Secured Obligations, and “</w:t>
      </w:r>
      <w:r>
        <w:rPr>
          <w:rFonts w:ascii="Arial" w:cs="Arial" w:eastAsia="Arial" w:hAnsi="Arial"/>
          <w:sz w:val="18"/>
          <w:szCs w:val="18"/>
          <w:u w:val="single" w:color="auto"/>
          <w:color w:val="auto"/>
        </w:rPr>
        <w:t>Secured Party</w:t>
      </w:r>
      <w:r>
        <w:rPr>
          <w:rFonts w:ascii="Arial" w:cs="Arial" w:eastAsia="Arial" w:hAnsi="Arial"/>
          <w:sz w:val="18"/>
          <w:szCs w:val="18"/>
          <w:color w:val="auto"/>
        </w:rPr>
        <w:t>” means any one of them.</w:t>
      </w:r>
    </w:p>
    <w:p>
      <w:pPr>
        <w:spacing w:after="0" w:line="17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has the meaning provided in the introductory paragraph hereof.</w:t>
      </w:r>
    </w:p>
    <w:p>
      <w:pPr>
        <w:spacing w:after="0" w:line="225" w:lineRule="exact"/>
        <w:rPr>
          <w:sz w:val="20"/>
          <w:szCs w:val="20"/>
          <w:color w:val="auto"/>
        </w:rPr>
      </w:pPr>
    </w:p>
    <w:p>
      <w:pPr>
        <w:ind w:left="1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except as such term may be used in connection with the perfection of the Collateral and then the applicable jurisdiction with respect to such affected Collateral shall apply.</w:t>
      </w:r>
    </w:p>
    <w:p>
      <w:pPr>
        <w:spacing w:after="0" w:line="181" w:lineRule="exact"/>
        <w:rPr>
          <w:sz w:val="20"/>
          <w:szCs w:val="20"/>
          <w:color w:val="auto"/>
        </w:rPr>
      </w:pPr>
    </w:p>
    <w:p>
      <w:pPr>
        <w:ind w:left="-140" w:right="20" w:firstLine="656"/>
        <w:spacing w:after="0" w:line="259" w:lineRule="auto"/>
        <w:tabs>
          <w:tab w:leader="none" w:pos="1156"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in the Collateral</w:t>
      </w:r>
      <w:r>
        <w:rPr>
          <w:rFonts w:ascii="Arial" w:cs="Arial" w:eastAsia="Arial" w:hAnsi="Arial"/>
          <w:sz w:val="18"/>
          <w:szCs w:val="18"/>
          <w:color w:val="auto"/>
        </w:rPr>
        <w:t>. To secure the prompt payment and performance in full when due, whether by lapse of time, acceleration, mandatory prepayment or otherwise, of the Secured Obligations, each Grantor hereby grants to the Administrative Agent, for the benefit of the Secured Parties, a continuing security interest in any and all right, title and interest of such Grantor in and to all of the following, whether now owned or existing or owned, acquired or arising hereafter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800" w:hanging="635"/>
        <w:spacing w:after="0"/>
        <w:tabs>
          <w:tab w:leader="none" w:pos="18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all Commercial Tort Claims, including those identified on </w:t>
      </w:r>
      <w:r>
        <w:rPr>
          <w:rFonts w:ascii="Arial" w:cs="Arial" w:eastAsia="Arial" w:hAnsi="Arial"/>
          <w:sz w:val="18"/>
          <w:szCs w:val="18"/>
          <w:u w:val="single" w:color="auto"/>
          <w:color w:val="auto"/>
        </w:rPr>
        <w:t>Schedule 2(c)</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Confidential Information;</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Copyrights;</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Copyright Licenses;</w:t>
      </w:r>
    </w:p>
    <w:p>
      <w:pPr>
        <w:spacing w:after="0" w:line="225" w:lineRule="exact"/>
        <w:rPr>
          <w:rFonts w:ascii="Arial" w:cs="Arial" w:eastAsia="Arial" w:hAnsi="Arial"/>
          <w:sz w:val="18"/>
          <w:szCs w:val="18"/>
          <w:color w:val="auto"/>
        </w:rPr>
      </w:pPr>
    </w:p>
    <w:p>
      <w:pPr>
        <w:ind w:left="1840" w:hanging="675"/>
        <w:spacing w:after="0"/>
        <w:tabs>
          <w:tab w:leader="none" w:pos="18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1840" w:hanging="675"/>
        <w:spacing w:after="0"/>
        <w:tabs>
          <w:tab w:leader="none" w:pos="18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Domain Names;</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Drug Applications;</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25" w:lineRule="exact"/>
        <w:rPr>
          <w:rFonts w:ascii="Arial" w:cs="Arial" w:eastAsia="Arial" w:hAnsi="Arial"/>
          <w:sz w:val="18"/>
          <w:szCs w:val="18"/>
          <w:color w:val="auto"/>
        </w:rPr>
      </w:pPr>
    </w:p>
    <w:p>
      <w:pPr>
        <w:ind w:left="1840" w:hanging="675"/>
        <w:spacing w:after="0"/>
        <w:tabs>
          <w:tab w:leader="none" w:pos="18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20" w:hanging="655"/>
        <w:spacing w:after="0"/>
        <w:tabs>
          <w:tab w:leader="none" w:pos="18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Goods;</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Governmental Licenses;</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1840" w:hanging="675"/>
        <w:spacing w:after="0"/>
        <w:tabs>
          <w:tab w:leader="none" w:pos="18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IP Rights;</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Letter-of-Credit Rights;</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Money;</w:t>
      </w:r>
    </w:p>
    <w:p>
      <w:pPr>
        <w:spacing w:after="0" w:line="225" w:lineRule="exact"/>
        <w:rPr>
          <w:rFonts w:ascii="Arial" w:cs="Arial" w:eastAsia="Arial" w:hAnsi="Arial"/>
          <w:sz w:val="18"/>
          <w:szCs w:val="18"/>
          <w:color w:val="auto"/>
        </w:rPr>
      </w:pPr>
    </w:p>
    <w:p>
      <w:pPr>
        <w:ind w:left="1820" w:hanging="655"/>
        <w:spacing w:after="0"/>
        <w:tabs>
          <w:tab w:leader="none" w:pos="18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Other Intellectual Property;</w:t>
      </w:r>
    </w:p>
    <w:p>
      <w:pPr>
        <w:spacing w:after="0" w:line="225" w:lineRule="exact"/>
        <w:rPr>
          <w:rFonts w:ascii="Arial" w:cs="Arial" w:eastAsia="Arial" w:hAnsi="Arial"/>
          <w:sz w:val="18"/>
          <w:szCs w:val="18"/>
          <w:color w:val="auto"/>
        </w:rPr>
      </w:pPr>
    </w:p>
    <w:p>
      <w:pPr>
        <w:ind w:left="1840" w:hanging="675"/>
        <w:spacing w:after="0"/>
        <w:tabs>
          <w:tab w:leader="none" w:pos="18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Other IP Agreements;</w:t>
      </w:r>
    </w:p>
    <w:p>
      <w:pPr>
        <w:sectPr>
          <w:pgSz w:w="11900" w:h="16838" w:orient="portrait"/>
          <w:cols w:equalWidth="0" w:num="1">
            <w:col w:w="11140"/>
          </w:cols>
          <w:pgMar w:left="380" w:top="125" w:right="379" w:bottom="0" w:gutter="0" w:footer="0" w:header="0"/>
        </w:sectPr>
      </w:pPr>
    </w:p>
    <w:bookmarkStart w:id="107" w:name="page108"/>
    <w:bookmarkEnd w:id="107"/>
    <w:p>
      <w:pPr>
        <w:spacing w:after="0" w:line="50" w:lineRule="exact"/>
        <w:rPr>
          <w:sz w:val="20"/>
          <w:szCs w:val="20"/>
          <w:color w:val="auto"/>
        </w:rPr>
      </w:pPr>
    </w:p>
    <w:p>
      <w:pPr>
        <w:ind w:left="1960" w:hanging="655"/>
        <w:spacing w:after="0"/>
        <w:tabs>
          <w:tab w:leader="none" w:pos="1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Patents;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Patent Licenses;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Payment Intangibles;</w:t>
      </w:r>
    </w:p>
    <w:p>
      <w:pPr>
        <w:spacing w:after="0" w:line="225" w:lineRule="exact"/>
        <w:rPr>
          <w:sz w:val="20"/>
          <w:szCs w:val="20"/>
          <w:color w:val="auto"/>
        </w:rPr>
      </w:pPr>
    </w:p>
    <w:p>
      <w:pPr>
        <w:ind w:left="1940" w:hanging="635"/>
        <w:spacing w:after="0"/>
        <w:tabs>
          <w:tab w:leader="none" w:pos="19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Proprietary Databases;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Proprietary Software;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Software;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Trademarks;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Trademark Licenses;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Trade Secrets;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Websites;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Website Agreements;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Accessions and all Proceeds of any and all of the foregoing.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to the contrary contained herein, the security interests granted under this Security Agreement shall not extend to (i)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Excluded Property, (ii) any Pledged Collateral (as defined in the Pledge Agreement) and (iii) any General Intangible, permit, lease, license, contract or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Instrument of a Grantor if the grant of a security interest in such General Intangible, permit, lease, license,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 xml:space="preserve">contract or other Instrument in the manner contemplated by this Security Agreement, under the terms thereof or under applicable Law, is prohibited and would result in the termination thereof or give the other parties thereto the right to terminate, accelerate or otherwise alter such Grantor’s rights, titles and interests thereunder (including upon the giving of notice or the lapse of time or both);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such limitation described in the foregoing clause</w:t>
      </w:r>
    </w:p>
    <w:p>
      <w:pPr>
        <w:ind w:firstLine="8"/>
        <w:spacing w:after="0" w:line="270" w:lineRule="auto"/>
        <w:tabs>
          <w:tab w:leader="none" w:pos="26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on the security interests granted hereunder shall only apply to the extent that any such prohibition could not be rendered ineffective pursuant to the UCC or any other applicable Law (including Debtor Relief Laws) or principles of equity and (b) in the event of the termination or elimination of any such prohibition or the requirement for any consent contained in any applicable Law, General Intangible, permit, lease, license, contract or other Instrument, to the extent sufficient to permit any such item to become Collateral hereunder, or upon the granting of any such consent, or waiving or terminating any requirement for such consent, a security interest in such General Intangible, permit, lease, license, contract or other Instrument shall be automatically and simultaneously granted hereunder and shall be included as Collateral hereunder.</w:t>
      </w:r>
    </w:p>
    <w:p>
      <w:pPr>
        <w:spacing w:after="0" w:line="1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Grantors and the Administrative Agent, on behalf of the Secured Parties, hereby acknowledge and agree that the security interest created hereby in the Collateral (i) constitutes continuing collateral security for all of the Secured Obligations, whether now existing or hereafter arising and (ii) is not and shall not be construed as an assignment of any Copyrights, Copyright Licenses, Patents, Patent Licenses, Trademarks, Trademark Licenses, IP Rights, Other Intellectual Property or Other IP Agreements.</w:t>
      </w:r>
    </w:p>
    <w:p>
      <w:pPr>
        <w:spacing w:after="0" w:line="187" w:lineRule="exact"/>
        <w:rPr>
          <w:sz w:val="20"/>
          <w:szCs w:val="20"/>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Provisions Relating to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89" w:lineRule="auto"/>
        <w:tabs>
          <w:tab w:leader="none" w:pos="1954"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Anything herein to the contrary notwithstanding, each of the Grantors shall remain liable under each of the Accounts to observe and perform all the conditions and obligations to be observed and performed by it thereunder, all in accordance with the terms of any agreement giving rise to each such Account. Neither the Administrative Agent nor any Secured Party shall have any obligation or liability under any Account (or any agreement giving rise thereto) by reason of or arising out of this Security Agreement or the receipt by the Administrative Agent or any Secured Party of any payment relating to such Account pursuant hereto, nor shall the Administrative Agent or any Secured Party be obligated in any manner to perform any of the obligations of a Grantor under or pursuant to any Account (or any agreement giving rise thereto), to make any payment, to make any inquiry as to the nature or the sufficiency of any payment received by it or as to the sufficiency of any performance by any party under any Account (or any agreement giving rise thereto), to present or file any claim, to take any action to enforce any performance or to collect the payment of any amounts that may have been assigned to it or to which it may be entitled at any time or times.</w:t>
      </w:r>
    </w:p>
    <w:p>
      <w:pPr>
        <w:spacing w:after="0" w:line="166" w:lineRule="exact"/>
        <w:rPr>
          <w:rFonts w:ascii="Arial" w:cs="Arial" w:eastAsia="Arial" w:hAnsi="Arial"/>
          <w:sz w:val="16"/>
          <w:szCs w:val="16"/>
          <w:color w:val="auto"/>
        </w:rPr>
      </w:pPr>
    </w:p>
    <w:p>
      <w:pPr>
        <w:ind w:left="660" w:right="80" w:firstLine="645"/>
        <w:spacing w:after="0" w:line="254" w:lineRule="auto"/>
        <w:tabs>
          <w:tab w:leader="none" w:pos="196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At any time upon the occurrence of an Event of Default and during the continuation thereof, (i) the Administrative Agent shall have the right, but not the obligation, to make test verifications of the Accounts in any manner and through any medium that it reasonably considers advisable, and the Grantors shall furnish all such assistance and information as the Administrative Agent may reasonably require in connection with such test verifications, (ii) upon the Administrative Agent’s request and at the expense of the Grantors, the Grantors shall cause independent public accountants or others satisfactory to the Administrative Agent to furnish to the Administrative Agent reports showing reconciliations, aging and test verifications of, and trial balances for, the Accounts and (iii) the Administrative Agent in its own name or in the name of others may communicate with account debtors on the Accounts to verify with them to the Administrative Agent’s satisfaction the existence, amount and terms of any Accounts.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Grantor hereby represents and warrants to the Administrative Agent, for the benefit of the Secured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that:</w:t>
      </w:r>
    </w:p>
    <w:p>
      <w:pPr>
        <w:sectPr>
          <w:pgSz w:w="11900" w:h="16888" w:orient="portrait"/>
          <w:cols w:equalWidth="0" w:num="1">
            <w:col w:w="11400"/>
          </w:cols>
          <w:pgMar w:left="240" w:top="125" w:right="259" w:bottom="0" w:gutter="0" w:footer="0" w:header="0"/>
        </w:sectPr>
      </w:pPr>
    </w:p>
    <w:bookmarkStart w:id="108" w:name="page109"/>
    <w:bookmarkEnd w:id="108"/>
    <w:p>
      <w:pPr>
        <w:ind w:left="620" w:right="160" w:firstLine="645"/>
        <w:spacing w:after="0" w:line="277" w:lineRule="auto"/>
        <w:tabs>
          <w:tab w:leader="none" w:pos="1914"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Each Grantor is the legal and beneficial owner of, or has rights to use, its Collateral and has the right to pledge, sell, assign or transfer the same.</w:t>
      </w:r>
    </w:p>
    <w:p>
      <w:pPr>
        <w:spacing w:after="0" w:line="170" w:lineRule="exact"/>
        <w:rPr>
          <w:rFonts w:ascii="Arial" w:cs="Arial" w:eastAsia="Arial" w:hAnsi="Arial"/>
          <w:sz w:val="18"/>
          <w:szCs w:val="18"/>
          <w:color w:val="auto"/>
        </w:rPr>
      </w:pPr>
    </w:p>
    <w:p>
      <w:pPr>
        <w:ind w:left="620" w:firstLine="645"/>
        <w:spacing w:after="0" w:line="272" w:lineRule="auto"/>
        <w:tabs>
          <w:tab w:leader="none" w:pos="1924" w:val="left"/>
        </w:tabs>
        <w:numPr>
          <w:ilvl w:val="1"/>
          <w:numId w:val="222"/>
        </w:numPr>
        <w:rPr>
          <w:rFonts w:ascii="Arial" w:cs="Arial" w:eastAsia="Arial" w:hAnsi="Arial"/>
          <w:sz w:val="17"/>
          <w:szCs w:val="17"/>
          <w:color w:val="auto"/>
        </w:rPr>
      </w:pPr>
      <w:r>
        <w:rPr>
          <w:rFonts w:ascii="Arial" w:cs="Arial" w:eastAsia="Arial" w:hAnsi="Arial"/>
          <w:sz w:val="17"/>
          <w:szCs w:val="17"/>
          <w:u w:val="single" w:color="auto"/>
          <w:color w:val="auto"/>
        </w:rPr>
        <w:t>Security Interest/Priority</w:t>
      </w:r>
      <w:r>
        <w:rPr>
          <w:rFonts w:ascii="Arial" w:cs="Arial" w:eastAsia="Arial" w:hAnsi="Arial"/>
          <w:sz w:val="17"/>
          <w:szCs w:val="17"/>
          <w:color w:val="auto"/>
        </w:rPr>
        <w:t>. This Security Agreement creates a valid security interest in favor of the Administrative Agent, for the benefit of the Secured Parties, in the Collateral of such Grantor and, when properly perfected by filing of a UCC financing statement shall constitute a valid, perfected, first priority security interest in such Collateral, to the extent such security interest can be perfected by filing a financing statement under the UCC, free and clear of all Liens except for Permitted Liens. With respect to any Collateral consisting of a Deposit Account, Securities Entitlement or held in a Securities Account, upon execution and delivery by the applicable Grantor, the applicable depository bank or Securities Intermediary and the Administrative Agent of an agreement granting control to the Administrative Agent over such Collateral, the Administrative Agent shall have a valid and perfected, first priority security interest in such Collateral.</w:t>
      </w:r>
    </w:p>
    <w:p>
      <w:pPr>
        <w:spacing w:after="0" w:line="177" w:lineRule="exact"/>
        <w:rPr>
          <w:rFonts w:ascii="Arial" w:cs="Arial" w:eastAsia="Arial" w:hAnsi="Arial"/>
          <w:sz w:val="17"/>
          <w:szCs w:val="17"/>
          <w:color w:val="auto"/>
        </w:rPr>
      </w:pPr>
    </w:p>
    <w:p>
      <w:pPr>
        <w:ind w:left="620" w:firstLine="645"/>
        <w:spacing w:after="0" w:line="277" w:lineRule="auto"/>
        <w:tabs>
          <w:tab w:leader="none" w:pos="1927"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Types of Collateral</w:t>
      </w:r>
      <w:r>
        <w:rPr>
          <w:rFonts w:ascii="Arial" w:cs="Arial" w:eastAsia="Arial" w:hAnsi="Arial"/>
          <w:sz w:val="18"/>
          <w:szCs w:val="18"/>
          <w:color w:val="auto"/>
        </w:rPr>
        <w:t>. None of the Collateral consists of, or is the Accessions or the Proceeds of, As-Extracted Collateral, Consumer Goods, Farm Products, Manufactured Homes or Standing Timber.</w:t>
      </w:r>
    </w:p>
    <w:p>
      <w:pPr>
        <w:spacing w:after="0" w:line="170" w:lineRule="exact"/>
        <w:rPr>
          <w:rFonts w:ascii="Arial" w:cs="Arial" w:eastAsia="Arial" w:hAnsi="Arial"/>
          <w:sz w:val="18"/>
          <w:szCs w:val="18"/>
          <w:color w:val="auto"/>
        </w:rPr>
      </w:pPr>
    </w:p>
    <w:p>
      <w:pPr>
        <w:ind w:left="620" w:right="40" w:firstLine="645"/>
        <w:spacing w:after="0" w:line="255" w:lineRule="auto"/>
        <w:tabs>
          <w:tab w:leader="none" w:pos="1924"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Accounts</w:t>
      </w:r>
      <w:r>
        <w:rPr>
          <w:rFonts w:ascii="Arial" w:cs="Arial" w:eastAsia="Arial" w:hAnsi="Arial"/>
          <w:sz w:val="18"/>
          <w:szCs w:val="18"/>
          <w:color w:val="auto"/>
        </w:rPr>
        <w:t>. (i) Each Account of the Grantors and the papers and documents relating thereto are genuine and in all material respects accurate and what they purport to be, (ii) each Account arises out of (A) a bona fide sale of goods sold and delivered by such Grantor (or is in the process of being delivered) or (B) services theretofore actually rendered by such Grantor to, the account debtor named therein, (iii) no Account of a Grantor is evidenced by any Instrument or Chattel Paper unless such Instrument or Chattel Paper, to the extent requested by the Administrative Agent, has been endorsed over and delivered to, or submitted to the control of, the Administrative Agent, (iv) no surety bond was required or given in connection with any Account of a Grantor or the contracts or purchase orders out of which they arose and (v) the right to receive payment under each Account is assignable.</w:t>
      </w:r>
    </w:p>
    <w:p>
      <w:pPr>
        <w:spacing w:after="0" w:line="189" w:lineRule="exact"/>
        <w:rPr>
          <w:rFonts w:ascii="Arial" w:cs="Arial" w:eastAsia="Arial" w:hAnsi="Arial"/>
          <w:sz w:val="18"/>
          <w:szCs w:val="18"/>
          <w:color w:val="auto"/>
        </w:rPr>
      </w:pPr>
    </w:p>
    <w:p>
      <w:pPr>
        <w:ind w:left="620" w:right="640" w:firstLine="645"/>
        <w:spacing w:after="0" w:line="291" w:lineRule="auto"/>
        <w:tabs>
          <w:tab w:leader="none" w:pos="1927"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Equipment and Inventory</w:t>
      </w:r>
      <w:r>
        <w:rPr>
          <w:rFonts w:ascii="Arial" w:cs="Arial" w:eastAsia="Arial" w:hAnsi="Arial"/>
          <w:sz w:val="16"/>
          <w:szCs w:val="16"/>
          <w:color w:val="auto"/>
        </w:rPr>
        <w:t>. With respect to any Equipment and/or Inventory of a Grantor, each such Grantor has exclusive possession and control of such Equipment and Inventory of such Grantor except for (i) Equipment leased by such Grantor as a lessee or</w:t>
      </w:r>
    </w:p>
    <w:p>
      <w:pPr>
        <w:ind w:left="620" w:right="640" w:hanging="4"/>
        <w:spacing w:after="0" w:line="261" w:lineRule="auto"/>
        <w:tabs>
          <w:tab w:leader="none" w:pos="88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Equipment or Inventory in transit with common carriers. No Inventory of a Grantor is held by a Person other than a Grantor pursuant to consignment, sale or return, sale on approval or similar arrangement.</w:t>
      </w:r>
    </w:p>
    <w:p>
      <w:pPr>
        <w:spacing w:after="0" w:line="183" w:lineRule="exact"/>
        <w:rPr>
          <w:rFonts w:ascii="Arial" w:cs="Arial" w:eastAsia="Arial" w:hAnsi="Arial"/>
          <w:sz w:val="18"/>
          <w:szCs w:val="18"/>
          <w:color w:val="auto"/>
        </w:rPr>
      </w:pPr>
    </w:p>
    <w:p>
      <w:pPr>
        <w:jc w:val="both"/>
        <w:ind w:left="620" w:right="400" w:firstLine="645"/>
        <w:spacing w:after="0" w:line="312" w:lineRule="auto"/>
        <w:tabs>
          <w:tab w:leader="none" w:pos="1921"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No Other Instruments, Etc.</w:t>
      </w:r>
      <w:r>
        <w:rPr>
          <w:rFonts w:ascii="Arial" w:cs="Arial" w:eastAsia="Arial" w:hAnsi="Arial"/>
          <w:sz w:val="16"/>
          <w:szCs w:val="16"/>
          <w:color w:val="auto"/>
        </w:rPr>
        <w:t xml:space="preserve"> As of the Funding Date, no Grantor holds any Instruments, Documents or Tangible Chattel Paper required to be pledged and delivered to the Administrative Agent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of this Security Agreement other than as set forth on </w:t>
      </w:r>
      <w:r>
        <w:rPr>
          <w:rFonts w:ascii="Arial" w:cs="Arial" w:eastAsia="Arial" w:hAnsi="Arial"/>
          <w:sz w:val="16"/>
          <w:szCs w:val="16"/>
          <w:u w:val="single" w:color="auto"/>
          <w:color w:val="auto"/>
        </w:rPr>
        <w:t>Schedule 4(f)</w:t>
      </w:r>
      <w:r>
        <w:rPr>
          <w:rFonts w:ascii="Arial" w:cs="Arial" w:eastAsia="Arial" w:hAnsi="Arial"/>
          <w:sz w:val="16"/>
          <w:szCs w:val="16"/>
          <w:color w:val="auto"/>
        </w:rPr>
        <w:t xml:space="preserve"> hereto. All such Instruments, Documents and Tangible Chattel Paper have been delivered to the Administrative Agent.</w:t>
      </w:r>
    </w:p>
    <w:p>
      <w:pPr>
        <w:spacing w:after="0" w:line="146" w:lineRule="exact"/>
        <w:rPr>
          <w:rFonts w:ascii="Arial" w:cs="Arial" w:eastAsia="Arial" w:hAnsi="Arial"/>
          <w:sz w:val="16"/>
          <w:szCs w:val="16"/>
          <w:color w:val="auto"/>
        </w:rPr>
      </w:pPr>
    </w:p>
    <w:p>
      <w:pPr>
        <w:ind w:left="620" w:right="40" w:firstLine="645"/>
        <w:spacing w:after="0" w:line="264" w:lineRule="auto"/>
        <w:tabs>
          <w:tab w:leader="none" w:pos="1937"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Contracts; Agreements; Licenses</w:t>
      </w:r>
      <w:r>
        <w:rPr>
          <w:rFonts w:ascii="Arial" w:cs="Arial" w:eastAsia="Arial" w:hAnsi="Arial"/>
          <w:sz w:val="18"/>
          <w:szCs w:val="18"/>
          <w:color w:val="auto"/>
        </w:rPr>
        <w:t xml:space="preserve">. The Grantors have no material inbound licenses which are non-assignable by their terms (other than those certain licenses set forth in </w:t>
      </w:r>
      <w:r>
        <w:rPr>
          <w:rFonts w:ascii="Arial" w:cs="Arial" w:eastAsia="Arial" w:hAnsi="Arial"/>
          <w:sz w:val="18"/>
          <w:szCs w:val="18"/>
          <w:u w:val="single" w:color="auto"/>
          <w:color w:val="auto"/>
        </w:rPr>
        <w:t>Schedule 4(g)</w:t>
      </w:r>
      <w:r>
        <w:rPr>
          <w:rFonts w:ascii="Arial" w:cs="Arial" w:eastAsia="Arial" w:hAnsi="Arial"/>
          <w:sz w:val="18"/>
          <w:szCs w:val="18"/>
          <w:color w:val="auto"/>
        </w:rPr>
        <w:t xml:space="preserve"> attached hereto), or as a matter of law, or which prevent the granting of a security interest therein.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firstLine="645"/>
        <w:spacing w:after="0" w:line="287" w:lineRule="auto"/>
        <w:tabs>
          <w:tab w:leader="none" w:pos="1924"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Consents; Etc.</w:t>
      </w:r>
      <w:r>
        <w:rPr>
          <w:rFonts w:ascii="Arial" w:cs="Arial" w:eastAsia="Arial" w:hAnsi="Arial"/>
          <w:sz w:val="16"/>
          <w:szCs w:val="16"/>
          <w:color w:val="auto"/>
        </w:rPr>
        <w:t xml:space="preserve"> Except for (i) the filing or recording of UCC financing statements, (ii) the filing of appropriate notices with the United States Patent and Trademark Office and the United States Copyright Office and patent, trademark and copyright offices and other appropriate Governmental Authorities in other countries or political subdivisions thereof, (iii) obtaining control to perfect the Liens created by this Security Agreement (to the extent required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hereof) and (iv) consents, authorizations, filings or other actions which have been obtained or made, no consent or authorization of, filing with, or other act by or in respect of, any arbitrator or Governmental Authority and no consent of any other Person (including, without limitation, any stockholder, member or creditor of such Grantor), is required for (A) the grant by such Grantor of the security interest in the Collateral granted hereby or for the execution, delivery or performance of this Security Agreement by such Grantor, (B) the perfection of such security interest (to the extent such security interest can be perfected by filing under the UCC, the granting of control (to the extent required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hereof) or by filing an appropriate notice with the United States Patent and Trademark Office or the United States Copyright Office or patent, trademark and copyright offices and other appropriate Governmental Authorities in other countries or political subdivisions thereof) or (C) other than with respect to the licenses set forth on </w:t>
      </w:r>
      <w:r>
        <w:rPr>
          <w:rFonts w:ascii="Arial" w:cs="Arial" w:eastAsia="Arial" w:hAnsi="Arial"/>
          <w:sz w:val="16"/>
          <w:szCs w:val="16"/>
          <w:u w:val="single" w:color="auto"/>
          <w:color w:val="auto"/>
        </w:rPr>
        <w:t>Schedule 4(g)</w:t>
      </w:r>
      <w:r>
        <w:rPr>
          <w:rFonts w:ascii="Arial" w:cs="Arial" w:eastAsia="Arial" w:hAnsi="Arial"/>
          <w:sz w:val="16"/>
          <w:szCs w:val="16"/>
          <w:color w:val="auto"/>
        </w:rPr>
        <w:t xml:space="preserve"> attached hereto, the exercise by the Administrative Agent or the holders of the Secured Obligations of the rights and remedies provided for in this Security Agreement.</w:t>
      </w:r>
    </w:p>
    <w:p>
      <w:pPr>
        <w:spacing w:after="0" w:line="168" w:lineRule="exact"/>
        <w:rPr>
          <w:rFonts w:ascii="Arial" w:cs="Arial" w:eastAsia="Arial" w:hAnsi="Arial"/>
          <w:sz w:val="16"/>
          <w:szCs w:val="16"/>
          <w:color w:val="auto"/>
        </w:rPr>
      </w:pPr>
    </w:p>
    <w:p>
      <w:pPr>
        <w:ind w:left="1940" w:hanging="675"/>
        <w:spacing w:after="0"/>
        <w:tabs>
          <w:tab w:leader="none" w:pos="1940"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Such Grantor has no Commercial Tort Claims other than those listed on </w:t>
      </w:r>
      <w:r>
        <w:rPr>
          <w:rFonts w:ascii="Arial" w:cs="Arial" w:eastAsia="Arial" w:hAnsi="Arial"/>
          <w:sz w:val="18"/>
          <w:szCs w:val="18"/>
          <w:u w:val="single" w:color="auto"/>
          <w:color w:val="auto"/>
        </w:rPr>
        <w:t>Schedule 2(c)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140" w:firstLine="656"/>
        <w:spacing w:after="0" w:line="342" w:lineRule="auto"/>
        <w:tabs>
          <w:tab w:leader="none" w:pos="1256"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Covenants</w:t>
      </w:r>
      <w:r>
        <w:rPr>
          <w:rFonts w:ascii="Arial" w:cs="Arial" w:eastAsia="Arial" w:hAnsi="Arial"/>
          <w:sz w:val="16"/>
          <w:szCs w:val="16"/>
          <w:color w:val="auto"/>
        </w:rPr>
        <w:t>. Each Grantor covenants that, so long as any of the Secured Obligations (other than contingent indemnification obligations for which no claim has been asserted) remains outstanding and until all of the Commitments relating thereto have been terminated, such Grantor shall:</w:t>
      </w:r>
    </w:p>
    <w:p>
      <w:pPr>
        <w:spacing w:after="0" w:line="123" w:lineRule="exact"/>
        <w:rPr>
          <w:rFonts w:ascii="Arial" w:cs="Arial" w:eastAsia="Arial" w:hAnsi="Arial"/>
          <w:sz w:val="16"/>
          <w:szCs w:val="16"/>
          <w:color w:val="auto"/>
        </w:rPr>
      </w:pPr>
    </w:p>
    <w:p>
      <w:pPr>
        <w:ind w:left="1900" w:hanging="635"/>
        <w:spacing w:after="0"/>
        <w:tabs>
          <w:tab w:leader="none" w:pos="1900"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Other Liens</w:t>
      </w:r>
      <w:r>
        <w:rPr>
          <w:rFonts w:ascii="Arial" w:cs="Arial" w:eastAsia="Arial" w:hAnsi="Arial"/>
          <w:sz w:val="18"/>
          <w:szCs w:val="18"/>
          <w:color w:val="auto"/>
        </w:rPr>
        <w:t>. Defend the Collateral against Liens thereon other than Permitted Liens.</w:t>
      </w:r>
    </w:p>
    <w:p>
      <w:pPr>
        <w:spacing w:after="0" w:line="225" w:lineRule="exact"/>
        <w:rPr>
          <w:rFonts w:ascii="Arial" w:cs="Arial" w:eastAsia="Arial" w:hAnsi="Arial"/>
          <w:sz w:val="18"/>
          <w:szCs w:val="18"/>
          <w:color w:val="auto"/>
        </w:rPr>
      </w:pPr>
    </w:p>
    <w:p>
      <w:pPr>
        <w:ind w:left="620" w:right="40" w:firstLine="645"/>
        <w:spacing w:after="0" w:line="293" w:lineRule="auto"/>
        <w:tabs>
          <w:tab w:leader="none" w:pos="1924" w:val="left"/>
        </w:tabs>
        <w:numPr>
          <w:ilvl w:val="1"/>
          <w:numId w:val="225"/>
        </w:numPr>
        <w:rPr>
          <w:rFonts w:ascii="Arial" w:cs="Arial" w:eastAsia="Arial" w:hAnsi="Arial"/>
          <w:sz w:val="16"/>
          <w:szCs w:val="16"/>
          <w:color w:val="auto"/>
        </w:rPr>
      </w:pPr>
      <w:r>
        <w:rPr>
          <w:rFonts w:ascii="Arial" w:cs="Arial" w:eastAsia="Arial" w:hAnsi="Arial"/>
          <w:sz w:val="16"/>
          <w:szCs w:val="16"/>
          <w:u w:val="single" w:color="auto"/>
          <w:color w:val="auto"/>
        </w:rPr>
        <w:t>Instruments/Tangible Chattel Paper/Documents</w:t>
      </w:r>
      <w:r>
        <w:rPr>
          <w:rFonts w:ascii="Arial" w:cs="Arial" w:eastAsia="Arial" w:hAnsi="Arial"/>
          <w:sz w:val="16"/>
          <w:szCs w:val="16"/>
          <w:color w:val="auto"/>
        </w:rPr>
        <w:t>. If any amount in excess of $250,000 payable under or in connection with any of the Collateral shall be or become evidenced by any Instrument or Tangible Chattel Paper, or if any property constituting Collateral shall be stored or shipped subject to a Document, ensure that such Instrument, Tangible Chattel Paper or Document is either in the possession of such Grantor at all times or, if requested by the Administrative Agent to perfect its security interest in such Collateral, is delivered to the Administrative Agent, duly endorsed in a manner satisfactory to the Administrative Agent. Such Grantor shall ensure that any Collateral consisting of Tangible Chattel Paper is marked with a legend acceptable to the Administrative Agent indicating the Administrative Agent’s security interest in such Tangible Chattel Paper.</w:t>
      </w:r>
    </w:p>
    <w:p>
      <w:pPr>
        <w:spacing w:after="0" w:line="164" w:lineRule="exact"/>
        <w:rPr>
          <w:rFonts w:ascii="Arial" w:cs="Arial" w:eastAsia="Arial" w:hAnsi="Arial"/>
          <w:sz w:val="16"/>
          <w:szCs w:val="16"/>
          <w:color w:val="auto"/>
        </w:rPr>
      </w:pPr>
    </w:p>
    <w:p>
      <w:pPr>
        <w:ind w:left="620" w:firstLine="645"/>
        <w:spacing w:after="0" w:line="290" w:lineRule="auto"/>
        <w:tabs>
          <w:tab w:leader="none" w:pos="1927" w:val="left"/>
        </w:tabs>
        <w:numPr>
          <w:ilvl w:val="1"/>
          <w:numId w:val="225"/>
        </w:numPr>
        <w:rPr>
          <w:rFonts w:ascii="Arial" w:cs="Arial" w:eastAsia="Arial" w:hAnsi="Arial"/>
          <w:sz w:val="16"/>
          <w:szCs w:val="16"/>
          <w:color w:val="auto"/>
        </w:rPr>
      </w:pPr>
      <w:r>
        <w:rPr>
          <w:rFonts w:ascii="Arial" w:cs="Arial" w:eastAsia="Arial" w:hAnsi="Arial"/>
          <w:sz w:val="16"/>
          <w:szCs w:val="16"/>
          <w:u w:val="single" w:color="auto"/>
          <w:color w:val="auto"/>
        </w:rPr>
        <w:t>Perfection of Security Interest</w:t>
      </w:r>
      <w:r>
        <w:rPr>
          <w:rFonts w:ascii="Arial" w:cs="Arial" w:eastAsia="Arial" w:hAnsi="Arial"/>
          <w:sz w:val="16"/>
          <w:szCs w:val="16"/>
          <w:color w:val="auto"/>
        </w:rPr>
        <w:t xml:space="preserve">. Execute and deliver to the Administrative Agent such agreements, assignments or instruments (including affidavits, notices, reaffirmations and amendments and restatements of existing documents, as the Administrative Agent shall reasonably request) and do all such other things as the Administrative Agent may reasonably deem necessary, appropriate or convenient (i) to assure to the Administrative Agent the effectiveness, perfection and priority of its security interests in the Collateral hereunder, including (A) such instruments as the Administrative Agent may from time to time reasonably request in order to perfect and maintain the security interests granted hereunder in accordance with the UCC, (B) with regard to Copyrights and Copyright Licenses, a Notice of Grant of Security Interest in Copyrights for filing with the United States Copyright Office in the form of </w:t>
      </w:r>
      <w:r>
        <w:rPr>
          <w:rFonts w:ascii="Arial" w:cs="Arial" w:eastAsia="Arial" w:hAnsi="Arial"/>
          <w:sz w:val="16"/>
          <w:szCs w:val="16"/>
          <w:u w:val="single" w:color="auto"/>
          <w:color w:val="auto"/>
        </w:rPr>
        <w:t>Exhibit 5(c)(i)</w:t>
      </w:r>
      <w:r>
        <w:rPr>
          <w:rFonts w:ascii="Arial" w:cs="Arial" w:eastAsia="Arial" w:hAnsi="Arial"/>
          <w:sz w:val="16"/>
          <w:szCs w:val="16"/>
          <w:color w:val="auto"/>
        </w:rPr>
        <w:t xml:space="preserve"> attached hereto, (C) with regard to Patents and Patent Licenses, a Notice of Grant of Security Interest in Patents for filing with the United States Patent and Trademark Office in the form of </w:t>
      </w:r>
      <w:r>
        <w:rPr>
          <w:rFonts w:ascii="Arial" w:cs="Arial" w:eastAsia="Arial" w:hAnsi="Arial"/>
          <w:sz w:val="16"/>
          <w:szCs w:val="16"/>
          <w:u w:val="single" w:color="auto"/>
          <w:color w:val="auto"/>
        </w:rPr>
        <w:t>Exhibit</w:t>
      </w:r>
    </w:p>
    <w:p>
      <w:pPr>
        <w:sectPr>
          <w:pgSz w:w="11900" w:h="16838" w:orient="portrait"/>
          <w:cols w:equalWidth="0" w:num="1">
            <w:col w:w="11340"/>
          </w:cols>
          <w:pgMar w:left="280" w:top="341" w:right="279" w:bottom="0" w:gutter="0" w:footer="0" w:header="0"/>
        </w:sectPr>
      </w:pPr>
    </w:p>
    <w:bookmarkStart w:id="109" w:name="page110"/>
    <w:bookmarkEnd w:id="109"/>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0"/>
        <w:spacing w:after="0" w:line="284" w:lineRule="auto"/>
        <w:rPr>
          <w:sz w:val="20"/>
          <w:szCs w:val="20"/>
          <w:color w:val="auto"/>
        </w:rPr>
      </w:pPr>
      <w:r>
        <w:rPr>
          <w:rFonts w:ascii="Arial" w:cs="Arial" w:eastAsia="Arial" w:hAnsi="Arial"/>
          <w:sz w:val="16"/>
          <w:szCs w:val="16"/>
          <w:u w:val="single" w:color="auto"/>
          <w:color w:val="auto"/>
        </w:rPr>
        <w:t>5(c)(ii)</w:t>
      </w:r>
      <w:r>
        <w:rPr>
          <w:rFonts w:ascii="Arial" w:cs="Arial" w:eastAsia="Arial" w:hAnsi="Arial"/>
          <w:sz w:val="16"/>
          <w:szCs w:val="16"/>
          <w:color w:val="auto"/>
        </w:rPr>
        <w:t xml:space="preserve"> attached hereto and (D) with regard to Trademarks registered with the United States Patent and Trademark Office and all applications for Trademarks filed with the United States Patent and Trademark Office and Trademark Licenses, a Notice of Grant of Security Interest in Trademarks for filing with the United States Patent and Trademark Office in the form of </w:t>
      </w:r>
      <w:r>
        <w:rPr>
          <w:rFonts w:ascii="Arial" w:cs="Arial" w:eastAsia="Arial" w:hAnsi="Arial"/>
          <w:sz w:val="16"/>
          <w:szCs w:val="16"/>
          <w:u w:val="single" w:color="auto"/>
          <w:color w:val="auto"/>
        </w:rPr>
        <w:t>Exhibit 5(c)(iii)</w:t>
      </w:r>
      <w:r>
        <w:rPr>
          <w:rFonts w:ascii="Arial" w:cs="Arial" w:eastAsia="Arial" w:hAnsi="Arial"/>
          <w:sz w:val="16"/>
          <w:szCs w:val="16"/>
          <w:color w:val="auto"/>
        </w:rPr>
        <w:t xml:space="preserve"> attached hereto, (ii) to consummate the transactions contemplated hereby and (iii) to otherwise protect and assure the Administrative Agent of its rights and interests hereunder. To that end, each Grantor authorizes the Administrative Agent to file one or more financing statements (including authorization to describe the Collateral as “all assets” or words of similar meaning) disclosing the Administrative Agent’s security interest in any or all of the Collateral of such Grantor without such Grantor’s signature thereon, and further each Grantor also hereby irrevocably makes, constitutes and appoints the Administrative Agent, its nominee or any other Person whom the Administrative Agent may designate, as such Grantor’s attorney-in-fact with full power and for the limited purpose to sign in the name of such Grantor any such financing statements (including renewal statements), amendments and supplements, notices or any similar documents that in the Administrative Agent’s reasonable discretion would be necessary, appropriate or convenient in order to perfect and maintain perfection of the security interests granted hereunder, such power, being coupled with an interest, being and remaining irrevocable so long as the Secured Obligations (other than contingent indemnification obligations for which no claim has been asserted) remain unpaid and until the Commitments relating thereto shall have been terminated. Each Grantor hereby agrees that a carbon, photographic or other reproduction of this Security Agreement or any such financing statement is sufficient for filing as a financing statement by the Administrative Agent without notice thereof to such Grantor wherever the Administrative Agent may in its sole discretion desire to file the same. In the event for any reason the law of any jurisdiction other than New York becomes or is applicable to the Collateral of any Grantor or any part thereof, or to any of the Secured Obligations, such Grantor agrees to execute and deliver all such instruments and to do all such other things as the Administrative Agent in its sole discretion reasonably deems necessary, appropriate or convenient to preserve, protect and enforce the security interests of the Administrative Agent under the law of such other jurisdiction (and, if a Grantor shall fail to do so promptly upon the request of the Administrative Agent, then the Administrative Agent may execute any and all such requested documents on behalf of such Grantor pursuant to the power of attorney granted hereinabove). If any Collateral is in the possession or control of a Grantor’s agents and the Administrative Agent so requests, such Grantor agrees to notify such agents in writing of the Administrative Agent’s security interest therein and, upon the Administrative Agent’s request, instruct them to hold all such Collateral for the account of the Secured Parties, subject to the Administrative Agent’s instructions. Each Grantor agrees to mark its books and records to reflect the security interest of the Administrative Agent in the Collateral.</w:t>
      </w:r>
    </w:p>
    <w:p>
      <w:pPr>
        <w:spacing w:after="0" w:line="395" w:lineRule="exact"/>
        <w:rPr>
          <w:sz w:val="20"/>
          <w:szCs w:val="20"/>
          <w:color w:val="auto"/>
        </w:rPr>
      </w:pPr>
    </w:p>
    <w:p>
      <w:pPr>
        <w:ind w:left="640" w:firstLine="645"/>
        <w:spacing w:after="0" w:line="286" w:lineRule="auto"/>
        <w:tabs>
          <w:tab w:leader="none" w:pos="1944" w:val="left"/>
        </w:tabs>
        <w:numPr>
          <w:ilvl w:val="1"/>
          <w:numId w:val="226"/>
        </w:numPr>
        <w:rPr>
          <w:rFonts w:ascii="Arial" w:cs="Arial" w:eastAsia="Arial" w:hAnsi="Arial"/>
          <w:sz w:val="17"/>
          <w:szCs w:val="17"/>
          <w:color w:val="auto"/>
        </w:rPr>
      </w:pPr>
      <w:r>
        <w:rPr>
          <w:rFonts w:ascii="Arial" w:cs="Arial" w:eastAsia="Arial" w:hAnsi="Arial"/>
          <w:sz w:val="17"/>
          <w:szCs w:val="17"/>
          <w:u w:val="single" w:color="auto"/>
          <w:color w:val="auto"/>
        </w:rPr>
        <w:t>Control</w:t>
      </w:r>
      <w:r>
        <w:rPr>
          <w:rFonts w:ascii="Arial" w:cs="Arial" w:eastAsia="Arial" w:hAnsi="Arial"/>
          <w:sz w:val="17"/>
          <w:szCs w:val="17"/>
          <w:color w:val="auto"/>
        </w:rPr>
        <w:t>. Execute and deliver (and cause to be executed and delivered) all agreements, assignments, instruments or other documents as the Administrative Agent shall reasonably request for the purpose of obtaining and maintaining control within the meaning of the UCC with respect to any Collateral consisting of Deposit Accounts, Investment Property, Letter-of-Credit Rights and Electronic Chattel Paper.</w:t>
      </w:r>
    </w:p>
    <w:p>
      <w:pPr>
        <w:spacing w:after="0" w:line="165" w:lineRule="exact"/>
        <w:rPr>
          <w:rFonts w:ascii="Arial" w:cs="Arial" w:eastAsia="Arial" w:hAnsi="Arial"/>
          <w:sz w:val="17"/>
          <w:szCs w:val="17"/>
          <w:color w:val="auto"/>
        </w:rPr>
      </w:pPr>
    </w:p>
    <w:p>
      <w:pPr>
        <w:ind w:left="640" w:right="20" w:firstLine="645"/>
        <w:spacing w:after="0" w:line="291" w:lineRule="auto"/>
        <w:tabs>
          <w:tab w:leader="none" w:pos="1947"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Collateral held by Warehouseman, Bailee, etc</w:t>
      </w:r>
      <w:r>
        <w:rPr>
          <w:rFonts w:ascii="Arial" w:cs="Arial" w:eastAsia="Arial" w:hAnsi="Arial"/>
          <w:sz w:val="16"/>
          <w:szCs w:val="16"/>
          <w:color w:val="auto"/>
        </w:rPr>
        <w:t>. If any Collateral with a value greater than $250,000 is at any time in the possession or control of a warehouseman, bailee, agent or processor of such Grantor and is expected to remain in possession and control of such third party,</w:t>
      </w:r>
    </w:p>
    <w:p>
      <w:pPr>
        <w:ind w:left="640" w:right="380" w:hanging="4"/>
        <w:spacing w:after="0" w:line="261" w:lineRule="auto"/>
        <w:tabs>
          <w:tab w:leader="none" w:pos="85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notify the Administrative Agent of such possession or control and (ii) upon the Administrative Agent’s request, (A) notify such Person of the Administrative Agent’s security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80"/>
        <w:spacing w:after="0" w:line="255" w:lineRule="auto"/>
        <w:rPr>
          <w:sz w:val="20"/>
          <w:szCs w:val="20"/>
          <w:color w:val="auto"/>
        </w:rPr>
      </w:pPr>
      <w:r>
        <w:rPr>
          <w:rFonts w:ascii="Arial" w:cs="Arial" w:eastAsia="Arial" w:hAnsi="Arial"/>
          <w:sz w:val="18"/>
          <w:szCs w:val="18"/>
          <w:color w:val="auto"/>
        </w:rPr>
        <w:t xml:space="preserve">interest in such Collateral, (B) instruct such Person to hold all such Collateral for the Administrative Agent’s account and subject to the Administrative Agent’s instructions and (C) obtain an acknowledgment from such Person that it is holding such Collateral for the benefit of the Administrative Agent. Notwithstanding anything contained in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to the contrary, and for the avoidance of doubt, so long as no Event of Default shall have occurred and be continuing, no acknowledgement shall be required from Therapack Corporation with respect to any Collateral in its possession or control pursuant to that certain Master Services Agreement dated March 2, 2010 among Therapack Corporation and the Borrower.</w:t>
      </w:r>
    </w:p>
    <w:p>
      <w:pPr>
        <w:spacing w:after="0" w:line="193" w:lineRule="exact"/>
        <w:rPr>
          <w:sz w:val="20"/>
          <w:szCs w:val="20"/>
          <w:color w:val="auto"/>
        </w:rPr>
      </w:pPr>
    </w:p>
    <w:p>
      <w:pPr>
        <w:ind w:left="640" w:right="80" w:firstLine="645"/>
        <w:spacing w:after="0" w:line="286" w:lineRule="auto"/>
        <w:tabs>
          <w:tab w:leader="none" w:pos="1941" w:val="left"/>
        </w:tabs>
        <w:numPr>
          <w:ilvl w:val="1"/>
          <w:numId w:val="228"/>
        </w:numPr>
        <w:rPr>
          <w:rFonts w:ascii="Arial" w:cs="Arial" w:eastAsia="Arial" w:hAnsi="Arial"/>
          <w:sz w:val="17"/>
          <w:szCs w:val="17"/>
          <w:color w:val="auto"/>
        </w:rPr>
      </w:pPr>
      <w:r>
        <w:rPr>
          <w:rFonts w:ascii="Arial" w:cs="Arial" w:eastAsia="Arial" w:hAnsi="Arial"/>
          <w:sz w:val="17"/>
          <w:szCs w:val="17"/>
          <w:u w:val="single" w:color="auto"/>
          <w:color w:val="auto"/>
        </w:rPr>
        <w:t>Treatment of Accounts</w:t>
      </w:r>
      <w:r>
        <w:rPr>
          <w:rFonts w:ascii="Arial" w:cs="Arial" w:eastAsia="Arial" w:hAnsi="Arial"/>
          <w:sz w:val="17"/>
          <w:szCs w:val="17"/>
          <w:color w:val="auto"/>
        </w:rPr>
        <w:t>. Not grant or extend the time for payment of any Account, or compromise or settle any Account for less than the full amount thereof, or release any Person or property, in whole or in part, from payment thereof, or allow any credit or discount thereon, in each case other than as normal and customary in the ordinary course of a Grantor’s business or as required by law.</w:t>
      </w:r>
    </w:p>
    <w:p>
      <w:pPr>
        <w:spacing w:after="0" w:line="165" w:lineRule="exact"/>
        <w:rPr>
          <w:rFonts w:ascii="Arial" w:cs="Arial" w:eastAsia="Arial" w:hAnsi="Arial"/>
          <w:sz w:val="17"/>
          <w:szCs w:val="17"/>
          <w:color w:val="auto"/>
        </w:rPr>
      </w:pPr>
    </w:p>
    <w:p>
      <w:pPr>
        <w:ind w:left="640" w:right="160" w:firstLine="645"/>
        <w:spacing w:after="0" w:line="277" w:lineRule="auto"/>
        <w:tabs>
          <w:tab w:leader="none" w:pos="1957"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Insure, repair and replace the Collateral of such Grantor as set forth in the Credit Agreement. All insurance proceeds shall be subject to the security interest of the Administrative Agent hereunder.</w:t>
      </w:r>
    </w:p>
    <w:p>
      <w:pPr>
        <w:spacing w:after="0" w:line="170" w:lineRule="exact"/>
        <w:rPr>
          <w:rFonts w:ascii="Arial" w:cs="Arial" w:eastAsia="Arial" w:hAnsi="Arial"/>
          <w:sz w:val="18"/>
          <w:szCs w:val="18"/>
          <w:color w:val="auto"/>
        </w:rPr>
      </w:pPr>
    </w:p>
    <w:p>
      <w:pPr>
        <w:ind w:left="1940" w:hanging="655"/>
        <w:spacing w:after="0"/>
        <w:tabs>
          <w:tab w:leader="none" w:pos="1940"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Commercial Tort Claims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right="280" w:firstLine="653"/>
        <w:spacing w:after="0" w:line="277" w:lineRule="auto"/>
        <w:tabs>
          <w:tab w:leader="none" w:pos="2598" w:val="left"/>
        </w:tabs>
        <w:numPr>
          <w:ilvl w:val="2"/>
          <w:numId w:val="228"/>
        </w:numPr>
        <w:rPr>
          <w:rFonts w:ascii="Arial" w:cs="Arial" w:eastAsia="Arial" w:hAnsi="Arial"/>
          <w:sz w:val="18"/>
          <w:szCs w:val="18"/>
          <w:color w:val="auto"/>
        </w:rPr>
      </w:pPr>
      <w:r>
        <w:rPr>
          <w:rFonts w:ascii="Arial" w:cs="Arial" w:eastAsia="Arial" w:hAnsi="Arial"/>
          <w:sz w:val="18"/>
          <w:szCs w:val="18"/>
          <w:color w:val="auto"/>
        </w:rPr>
        <w:t>Promptly notify the Administrative Agent in writing of the initiation of any Commercial Tort Claim seeking monetary damages of $250,000, before any Governmental Authority by or in favor of such Grantor.</w:t>
      </w:r>
    </w:p>
    <w:p>
      <w:pPr>
        <w:spacing w:after="0" w:line="170" w:lineRule="exact"/>
        <w:rPr>
          <w:rFonts w:ascii="Arial" w:cs="Arial" w:eastAsia="Arial" w:hAnsi="Arial"/>
          <w:sz w:val="18"/>
          <w:szCs w:val="18"/>
          <w:color w:val="auto"/>
        </w:rPr>
      </w:pPr>
    </w:p>
    <w:p>
      <w:pPr>
        <w:ind w:left="1280" w:right="80" w:firstLine="653"/>
        <w:spacing w:after="0" w:line="264" w:lineRule="auto"/>
        <w:tabs>
          <w:tab w:leader="none" w:pos="2607" w:val="left"/>
        </w:tabs>
        <w:numPr>
          <w:ilvl w:val="2"/>
          <w:numId w:val="228"/>
        </w:numPr>
        <w:rPr>
          <w:rFonts w:ascii="Arial" w:cs="Arial" w:eastAsia="Arial" w:hAnsi="Arial"/>
          <w:sz w:val="18"/>
          <w:szCs w:val="18"/>
          <w:color w:val="auto"/>
        </w:rPr>
      </w:pPr>
      <w:r>
        <w:rPr>
          <w:rFonts w:ascii="Arial" w:cs="Arial" w:eastAsia="Arial" w:hAnsi="Arial"/>
          <w:sz w:val="18"/>
          <w:szCs w:val="18"/>
          <w:color w:val="auto"/>
        </w:rPr>
        <w:t>Execute and deliver such statements, documents and notices and do and cause to be done all such things as the Administrative Agent may reasonably deem necessary, appropriate or convenient, or as are required by law, to create, preserve, perfect and maintain the Administrative Agent’s security interest in any such Commercial Tort Claim.</w:t>
      </w:r>
    </w:p>
    <w:p>
      <w:pPr>
        <w:spacing w:after="0" w:line="181" w:lineRule="exact"/>
        <w:rPr>
          <w:rFonts w:ascii="Arial" w:cs="Arial" w:eastAsia="Arial" w:hAnsi="Arial"/>
          <w:sz w:val="18"/>
          <w:szCs w:val="18"/>
          <w:color w:val="auto"/>
        </w:rPr>
      </w:pPr>
    </w:p>
    <w:p>
      <w:pPr>
        <w:ind w:left="640" w:right="180" w:firstLine="645"/>
        <w:spacing w:after="0" w:line="264" w:lineRule="auto"/>
        <w:tabs>
          <w:tab w:leader="none" w:pos="1958"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Nature of Collateral</w:t>
      </w:r>
      <w:r>
        <w:rPr>
          <w:rFonts w:ascii="Arial" w:cs="Arial" w:eastAsia="Arial" w:hAnsi="Arial"/>
          <w:sz w:val="18"/>
          <w:szCs w:val="18"/>
          <w:color w:val="auto"/>
        </w:rPr>
        <w:t>. At all times maintain the Collateral as personal property and not affix any of the Collateral to any real property in a manner which would change its nature from personal property to real property or a Fixture to real property, unless the Administrative Agent shall have a perfected Lien on such Fixture or real property.</w:t>
      </w:r>
    </w:p>
    <w:p>
      <w:pPr>
        <w:spacing w:after="0" w:line="181" w:lineRule="exact"/>
        <w:rPr>
          <w:rFonts w:ascii="Arial" w:cs="Arial" w:eastAsia="Arial" w:hAnsi="Arial"/>
          <w:sz w:val="18"/>
          <w:szCs w:val="18"/>
          <w:color w:val="auto"/>
        </w:rPr>
      </w:pPr>
    </w:p>
    <w:p>
      <w:pPr>
        <w:ind w:left="640" w:right="20" w:firstLine="645"/>
        <w:spacing w:after="0" w:line="259" w:lineRule="auto"/>
        <w:tabs>
          <w:tab w:leader="none" w:pos="1944"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Collateral Access Agreements</w:t>
      </w:r>
      <w:r>
        <w:rPr>
          <w:rFonts w:ascii="Arial" w:cs="Arial" w:eastAsia="Arial" w:hAnsi="Arial"/>
          <w:sz w:val="18"/>
          <w:szCs w:val="18"/>
          <w:color w:val="auto"/>
        </w:rPr>
        <w:t>. For any real property leased by such Grantor that is subject to a Collateral Access Agreement in favor of the Administrative Agent, (i) promptly notify the Administrative Agent following a change in the identity of the lessor and (ii) use commercially reasonable efforts to obtain such replacement or new Collateral Access Agreements for such real property as the Administrative Agent may request as a result of such change in the identity of the lessor.</w:t>
      </w:r>
    </w:p>
    <w:p>
      <w:pPr>
        <w:spacing w:after="0" w:line="186" w:lineRule="exact"/>
        <w:rPr>
          <w:rFonts w:ascii="Arial" w:cs="Arial" w:eastAsia="Arial" w:hAnsi="Arial"/>
          <w:sz w:val="18"/>
          <w:szCs w:val="18"/>
          <w:color w:val="auto"/>
        </w:rPr>
      </w:pPr>
    </w:p>
    <w:p>
      <w:pPr>
        <w:ind w:left="-20" w:right="640" w:firstLine="656"/>
        <w:spacing w:after="0" w:line="342" w:lineRule="auto"/>
        <w:tabs>
          <w:tab w:leader="none" w:pos="1276"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Covenants Relating to IP Collateral</w:t>
      </w:r>
      <w:r>
        <w:rPr>
          <w:rFonts w:ascii="Arial" w:cs="Arial" w:eastAsia="Arial" w:hAnsi="Arial"/>
          <w:sz w:val="16"/>
          <w:szCs w:val="16"/>
          <w:color w:val="auto"/>
        </w:rPr>
        <w:t>. Each Grantor covenants that, so long as any of the Secured Obligations (other than contingent indemnification obligations for which no claim has been asserted) remains outstanding and until all of the Commitments relating thereto have been</w:t>
      </w:r>
    </w:p>
    <w:p>
      <w:pPr>
        <w:sectPr>
          <w:pgSz w:w="11900" w:h="16975" w:orient="portrait"/>
          <w:cols w:equalWidth="0" w:num="1">
            <w:col w:w="11380"/>
          </w:cols>
          <w:pgMar w:left="260" w:top="125" w:right="259" w:bottom="0" w:gutter="0" w:footer="0" w:header="0"/>
        </w:sectPr>
      </w:pPr>
    </w:p>
    <w:bookmarkStart w:id="110" w:name="page111"/>
    <w:bookmarkEnd w:id="110"/>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terminated, such Grantor shall:+</w:t>
      </w:r>
    </w:p>
    <w:p>
      <w:pPr>
        <w:spacing w:after="0" w:line="225" w:lineRule="exact"/>
        <w:rPr>
          <w:sz w:val="20"/>
          <w:szCs w:val="20"/>
          <w:color w:val="auto"/>
        </w:rPr>
      </w:pPr>
    </w:p>
    <w:p>
      <w:pPr>
        <w:ind w:left="660" w:right="40" w:firstLine="645"/>
        <w:spacing w:after="0" w:line="308" w:lineRule="auto"/>
        <w:tabs>
          <w:tab w:leader="none" w:pos="1954"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Covenants Relating to Copyrights</w:t>
      </w:r>
      <w:r>
        <w:rPr>
          <w:rFonts w:ascii="Arial" w:cs="Arial" w:eastAsia="Arial" w:hAnsi="Arial"/>
          <w:sz w:val="17"/>
          <w:szCs w:val="17"/>
          <w:color w:val="auto"/>
        </w:rPr>
        <w:t>. (i) Not do any act, or knowingly omit to do any act, whereby any Copyright owned by it that is a Material IP Right may become dedicated to the public domain, (ii) notify the Administrative Agent immediately if it knows that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Copyright owned by it that is a Material IP Right may become dedicated to the public domain or of any adverse determination or development (including, without limitation, the institution of, or any such determination or development in, any court or tribunal in the United States or any other country) regarding a Grantor’s ownership of any such Copyright or its validity or enforceability and (iii) take all necessary steps as it shall deem appropriate under the circumstances, to maintain and pursue each application (and to obtain the relevant registration) of each Copyright owned by it that is a Material IP Right and to maintain each registration of each Copyright owned by it that is a Material IP Right including, without limitation, filing of applications for renewal where necessary.</w:t>
      </w:r>
    </w:p>
    <w:p>
      <w:pPr>
        <w:spacing w:after="0" w:line="193" w:lineRule="exact"/>
        <w:rPr>
          <w:sz w:val="20"/>
          <w:szCs w:val="20"/>
          <w:color w:val="auto"/>
        </w:rPr>
      </w:pPr>
    </w:p>
    <w:p>
      <w:pPr>
        <w:ind w:left="1960" w:hanging="655"/>
        <w:spacing w:after="0"/>
        <w:tabs>
          <w:tab w:leader="none" w:pos="196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Covenants Relating to Patents and Trademarks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firstLine="653"/>
        <w:spacing w:after="0" w:line="257" w:lineRule="auto"/>
        <w:tabs>
          <w:tab w:leader="none" w:pos="261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 Maintain as in the past the quality of products and services offered under each Trademark owned by such Grantor that is a Material IP Right, (B) employ each Trademark owned by such Grantor that is a Material IP Right with the appropriate notice of registration, if applicable, and (C) not adopt or use any mark that is confusingly similar or a colorable imitation of such Trademarks unless the Administrative Agent, for the ratable benefit of the Secured Parties, shall obtain a perfected security interest in such Trademark pursuant to this Security Agreement.</w:t>
      </w:r>
    </w:p>
    <w:p>
      <w:pPr>
        <w:spacing w:after="0" w:line="188" w:lineRule="exact"/>
        <w:rPr>
          <w:rFonts w:ascii="Arial" w:cs="Arial" w:eastAsia="Arial" w:hAnsi="Arial"/>
          <w:sz w:val="18"/>
          <w:szCs w:val="18"/>
          <w:color w:val="auto"/>
        </w:rPr>
      </w:pPr>
    </w:p>
    <w:p>
      <w:pPr>
        <w:ind w:left="1300" w:firstLine="653"/>
        <w:spacing w:after="0" w:line="293" w:lineRule="auto"/>
        <w:tabs>
          <w:tab w:leader="none" w:pos="2627" w:val="left"/>
        </w:tabs>
        <w:numPr>
          <w:ilvl w:val="1"/>
          <w:numId w:val="231"/>
        </w:numPr>
        <w:rPr>
          <w:rFonts w:ascii="Arial" w:cs="Arial" w:eastAsia="Arial" w:hAnsi="Arial"/>
          <w:sz w:val="16"/>
          <w:szCs w:val="16"/>
          <w:color w:val="auto"/>
        </w:rPr>
      </w:pPr>
      <w:r>
        <w:rPr>
          <w:rFonts w:ascii="Arial" w:cs="Arial" w:eastAsia="Arial" w:hAnsi="Arial"/>
          <w:sz w:val="16"/>
          <w:szCs w:val="16"/>
          <w:color w:val="auto"/>
        </w:rPr>
        <w:t>Notify the Administrative Agent promptly if it knows that any Patent or Trademark owned by a Grantor that is a Material IP Right, or any application or registration relating to any Patent or Trademark owned by a Grantor that is a Material IP Right may become abandoned, invalidated, rendered unenforceable or dedicated to the public, or of any adverse determination or development (including, without limitation, the institution of, or any such determination or development in, any proceeding in the United States Patent and Trademark Office, or any similar office or agency in any other country or any political subdivision thereof or any court or tribunal in any country) regarding a Grantor’s ownership of any such Patent or Trademark or its right to register the same or to keep and maintain the same.</w:t>
      </w:r>
    </w:p>
    <w:p>
      <w:pPr>
        <w:spacing w:after="0" w:line="164" w:lineRule="exact"/>
        <w:rPr>
          <w:rFonts w:ascii="Arial" w:cs="Arial" w:eastAsia="Arial" w:hAnsi="Arial"/>
          <w:sz w:val="16"/>
          <w:szCs w:val="16"/>
          <w:color w:val="auto"/>
        </w:rPr>
      </w:pPr>
    </w:p>
    <w:p>
      <w:pPr>
        <w:jc w:val="both"/>
        <w:ind w:left="1300" w:right="40" w:firstLine="653"/>
        <w:spacing w:after="0" w:line="302" w:lineRule="auto"/>
        <w:tabs>
          <w:tab w:leader="none" w:pos="2637"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Take all reasonable and necessary steps, including, without limitation, in any proceeding before the United States Patent and Trademark Office or any similar office or agency in any other country or any political subdivision thereof, to maintain and pursue each application (and to obtain the relevant registration) and to maintain each registration of each Patent and Trademark owned by a Grantor that is a Material IP Right, including, without limitation, filing of applications for renewal, affidavits of use and affidavits of incontestability.</w:t>
      </w:r>
    </w:p>
    <w:p>
      <w:pPr>
        <w:spacing w:after="0" w:line="154" w:lineRule="exact"/>
        <w:rPr>
          <w:rFonts w:ascii="Arial" w:cs="Arial" w:eastAsia="Arial" w:hAnsi="Arial"/>
          <w:sz w:val="16"/>
          <w:szCs w:val="16"/>
          <w:color w:val="auto"/>
        </w:rPr>
      </w:pPr>
    </w:p>
    <w:p>
      <w:pPr>
        <w:ind w:left="660" w:right="160" w:firstLine="645"/>
        <w:spacing w:after="0" w:line="277" w:lineRule="auto"/>
        <w:tabs>
          <w:tab w:leader="none" w:pos="196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 (and not permit any licensee or sublicensee thereof to) do any act, or omit to do any act, whereby any Material IP Right may become abandoned, invalidated, rendered unenforceable, diluted or dedicated to the public.</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Use commercially reasonable efforts to maintain the confidentiality of all Confidential Information and Trade Secrets.</w:t>
      </w:r>
    </w:p>
    <w:p>
      <w:pPr>
        <w:spacing w:after="0" w:line="225" w:lineRule="exact"/>
        <w:rPr>
          <w:rFonts w:ascii="Arial" w:cs="Arial" w:eastAsia="Arial" w:hAnsi="Arial"/>
          <w:sz w:val="18"/>
          <w:szCs w:val="18"/>
          <w:color w:val="auto"/>
        </w:rPr>
      </w:pPr>
    </w:p>
    <w:p>
      <w:pPr>
        <w:ind w:left="660" w:right="140" w:firstLine="645"/>
        <w:spacing w:after="0" w:line="312" w:lineRule="auto"/>
        <w:tabs>
          <w:tab w:leader="none" w:pos="196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Upon request of the Administrative Agent, execute and deliver any and all agreements, instruments, documents and papers as the Administrative Agent may reasonably request to evidence and perfect the security interest of the Administrative Agent and the Secured Parties in any IP Rights in the Collateral and the goodwill and general intangibles of a Grantor relating thereto or represented thereby.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firstLine="645"/>
        <w:spacing w:after="0" w:line="259" w:lineRule="auto"/>
        <w:tabs>
          <w:tab w:leader="none" w:pos="1961" w:val="left"/>
        </w:tabs>
        <w:numPr>
          <w:ilvl w:val="1"/>
          <w:numId w:val="232"/>
        </w:numPr>
        <w:rPr>
          <w:rFonts w:ascii="Arial" w:cs="Arial" w:eastAsia="Arial" w:hAnsi="Arial"/>
          <w:sz w:val="18"/>
          <w:szCs w:val="18"/>
          <w:color w:val="auto"/>
        </w:rPr>
      </w:pPr>
      <w:r>
        <w:rPr>
          <w:rFonts w:ascii="Arial" w:cs="Arial" w:eastAsia="Arial" w:hAnsi="Arial"/>
          <w:sz w:val="18"/>
          <w:szCs w:val="18"/>
          <w:color w:val="auto"/>
        </w:rPr>
        <w:t>Promptly notify the Administrative Agent of any infringement, violation, misappropriation or dilution of any Material IP Right of which it becomes aware and take such actions as it shall reasonably deem appropriate under the circumstances to protect such Material IP Right, including, where appropriate, the bringing of suit for infringement, violation, misappropriation or dilution, seeking injunctive relief and seeking to recover any and all damages for such infringement, violation, misappropriation or dilution.</w:t>
      </w:r>
    </w:p>
    <w:p>
      <w:pPr>
        <w:spacing w:after="0" w:line="186" w:lineRule="exact"/>
        <w:rPr>
          <w:rFonts w:ascii="Arial" w:cs="Arial" w:eastAsia="Arial" w:hAnsi="Arial"/>
          <w:sz w:val="18"/>
          <w:szCs w:val="18"/>
          <w:color w:val="auto"/>
        </w:rPr>
      </w:pPr>
    </w:p>
    <w:p>
      <w:pPr>
        <w:ind w:left="660" w:right="40" w:firstLine="645"/>
        <w:spacing w:after="0" w:line="277" w:lineRule="auto"/>
        <w:tabs>
          <w:tab w:leader="none" w:pos="1977" w:val="left"/>
        </w:tabs>
        <w:numPr>
          <w:ilvl w:val="1"/>
          <w:numId w:val="232"/>
        </w:numPr>
        <w:rPr>
          <w:rFonts w:ascii="Arial" w:cs="Arial" w:eastAsia="Arial" w:hAnsi="Arial"/>
          <w:sz w:val="18"/>
          <w:szCs w:val="18"/>
          <w:color w:val="auto"/>
        </w:rPr>
      </w:pPr>
      <w:r>
        <w:rPr>
          <w:rFonts w:ascii="Arial" w:cs="Arial" w:eastAsia="Arial" w:hAnsi="Arial"/>
          <w:sz w:val="18"/>
          <w:szCs w:val="18"/>
          <w:color w:val="auto"/>
        </w:rPr>
        <w:t>Not make any assignment or agreement in conflict with the security interest in the IP Rights of each Grantor hereunder (other than as permitted by the Credit Agreement).</w:t>
      </w:r>
    </w:p>
    <w:p>
      <w:pPr>
        <w:spacing w:after="0" w:line="170" w:lineRule="exact"/>
        <w:rPr>
          <w:rFonts w:ascii="Arial" w:cs="Arial" w:eastAsia="Arial" w:hAnsi="Arial"/>
          <w:sz w:val="18"/>
          <w:szCs w:val="18"/>
          <w:color w:val="auto"/>
        </w:rPr>
      </w:pPr>
    </w:p>
    <w:p>
      <w:pPr>
        <w:ind w:right="40" w:firstLine="656"/>
        <w:spacing w:after="0" w:line="287" w:lineRule="auto"/>
        <w:tabs>
          <w:tab w:leader="none" w:pos="1296"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Advances</w:t>
      </w:r>
      <w:r>
        <w:rPr>
          <w:rFonts w:ascii="Arial" w:cs="Arial" w:eastAsia="Arial" w:hAnsi="Arial"/>
          <w:sz w:val="16"/>
          <w:szCs w:val="16"/>
          <w:color w:val="auto"/>
        </w:rPr>
        <w:t xml:space="preserve">. On failure of any Grantor to perform any of the covenants and agreements contained herein or in any other Loan Document, the Administrative Agent may, at its sole option and in its sole discretion, perform the same and in so doing may expend such sums as the Administrative Agent may reasonably deem advisable in the performance thereof, including, without limitation, the payment of any insurance premiums, the payment of any taxes, a payment to obtain a release of a Lien or potential Lien, expenditures made in defending against any adverse claim and all other expenditures that the Administrative Agent may make for the protection of the security hereof or that may be compelled to make by operation of law. All such sums and amounts so expended shall be repayable by the Grantors, on demand, on a joint and several basis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promptly upon timely notice thereof and demand therefor, shall constitute additional Secured Obligations and shall bear interest from the date said amounts are expended at the Default Rate. No such performance of any covenant or agreement by the Administrative Agent on behalf of any Grantor, and no such advance or expenditure therefor, shall relieve the Grantors of any Default or Event of Default. The Administrative Agent may make any payment hereby authorized in accordance with any bill, statement or estimate procured from the appropriate public office or holder of the claim to be discharged, without inquiry into the accuracy of such bill, statement or estimate or into the validity of any tax assessment, sale, forfeiture, tax lien, title or claim except to the extent such payment is being contested in good faith by a Grantor in appropriate proceedings and against which adequate reserves are being maintained in accordance with GAAP.</w:t>
      </w:r>
    </w:p>
    <w:p>
      <w:pPr>
        <w:spacing w:after="0" w:line="168" w:lineRule="exact"/>
        <w:rPr>
          <w:rFonts w:ascii="Arial" w:cs="Arial" w:eastAsia="Arial" w:hAnsi="Arial"/>
          <w:sz w:val="16"/>
          <w:szCs w:val="16"/>
          <w:color w:val="auto"/>
        </w:rPr>
      </w:pPr>
    </w:p>
    <w:p>
      <w:pPr>
        <w:ind w:left="1300" w:hanging="644"/>
        <w:spacing w:after="0"/>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340" w:firstLine="645"/>
        <w:spacing w:after="0" w:line="302" w:lineRule="auto"/>
        <w:tabs>
          <w:tab w:leader="none" w:pos="1954"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General Remedies</w:t>
      </w:r>
      <w:r>
        <w:rPr>
          <w:rFonts w:ascii="Arial" w:cs="Arial" w:eastAsia="Arial" w:hAnsi="Arial"/>
          <w:sz w:val="16"/>
          <w:szCs w:val="16"/>
          <w:color w:val="auto"/>
        </w:rPr>
        <w:t>. Upon the occurrence of an Event of Default and during the continuation thereof, the Administrative Agent shall have, in addition to the rights and remedies provided herein, in the Loan Documents, in any other documents relating to the Secured Obligations, or by law (including, without limitation, levy of attachment, garnishment and the rights and remedies set forth in the UCC of the jurisdiction applicable to the affected Collateral), the rights and remedies of a secured party under the UCC of the jurisdiction applicable to the</w:t>
      </w:r>
    </w:p>
    <w:p>
      <w:pPr>
        <w:sectPr>
          <w:pgSz w:w="11900" w:h="16945" w:orient="portrait"/>
          <w:cols w:equalWidth="0" w:num="1">
            <w:col w:w="11400"/>
          </w:cols>
          <w:pgMar w:left="240" w:top="125" w:right="259" w:bottom="0" w:gutter="0" w:footer="0" w:header="0"/>
        </w:sectPr>
      </w:pPr>
    </w:p>
    <w:bookmarkStart w:id="111" w:name="page112"/>
    <w:bookmarkEnd w:id="111"/>
    <w:p>
      <w:pPr>
        <w:spacing w:after="0" w:line="96" w:lineRule="exact"/>
        <w:rPr>
          <w:sz w:val="20"/>
          <w:szCs w:val="20"/>
          <w:color w:val="auto"/>
        </w:rPr>
      </w:pPr>
    </w:p>
    <w:p>
      <w:pPr>
        <w:ind w:left="4" w:right="80"/>
        <w:spacing w:after="0" w:line="253" w:lineRule="auto"/>
        <w:rPr>
          <w:sz w:val="20"/>
          <w:szCs w:val="20"/>
          <w:color w:val="auto"/>
        </w:rPr>
      </w:pPr>
      <w:r>
        <w:rPr>
          <w:rFonts w:ascii="Arial" w:cs="Arial" w:eastAsia="Arial" w:hAnsi="Arial"/>
          <w:sz w:val="18"/>
          <w:szCs w:val="18"/>
          <w:color w:val="auto"/>
        </w:rPr>
        <w:t>affected Collateral and, further, the Administrative Agent may, with or without judicial process or the aid and assistance of others to the extent permitted by applicable law, (i) enter on any premises on which any of the Collateral may be located and, without resistance or interference by the Grantors, take possession of the Collateral, (ii) dispose of any Collateral on any such premises, (iii) require the Grantors to assemble and make available to the Administrative Agent at the expense of the Grantors any Collateral at any place and time designated by the Administrative Agent that is reasonably convenient to both parties, (iv) remove any Collateral from any such premises for the purpose of effecting the sale or other disposition thereof and/or (v) without demand and without advertisement, notice, hearing or process of law, all of which each of the Grantors hereby waives to the fullest extent permitted by law, at any place and time or times, sell and deliver any or all Collateral held by or for it at public or private sale, by one or more contracts, in one or more parcels, for cash, upon credit or otherwise, at such prices and upon such terms as the Administrative Agent deems advisable, in its sole discretion (subject to any and all mandatory legal requirements). Each of the Grantors acknowledges that any private sale</w:t>
      </w:r>
    </w:p>
    <w:p>
      <w:pPr>
        <w:spacing w:after="0" w:line="19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67" w:lineRule="auto"/>
        <w:rPr>
          <w:sz w:val="20"/>
          <w:szCs w:val="20"/>
          <w:color w:val="auto"/>
        </w:rPr>
      </w:pPr>
      <w:r>
        <w:rPr>
          <w:rFonts w:ascii="Arial" w:cs="Arial" w:eastAsia="Arial" w:hAnsi="Arial"/>
          <w:sz w:val="17"/>
          <w:szCs w:val="17"/>
          <w:color w:val="auto"/>
        </w:rPr>
        <w:t xml:space="preserve">referenced above may be at prices and on terms less favorable to the seller than the prices and terms that might have been obtained at a public sale. In addition to all other sums due the Administrative Agent and the Secured Parties with respect to the Secured Obligations, the Grantors shall pay the Administrative Agent and each of the Secured Parties all reasonable costs and expenses incurred by the Administrative Agent or any such Secured Party, in enforcing its remedies hereunder including, but not limited to, reasonable attorneys’ fees and court costs, in obtaining or liquidating the Collateral, in enforcing payment of the Secured Obligations, or in the prosecution or defense of any action or proceeding by or against the Administrative Agent or the Secured Parties or the Grantors concerning any matter arising out of or connected with this Security Agreement, any Collateral or the Secured Obligations, including, without limitation, any of the foregoing arising in, arising under or related to a case under Debtor Relief Laws. To the extent the rights of notice cannot be legally waived hereunder, each Grantor agrees that any requirement of reasonable notice shall be met if such notice, specifying the place of any public sale or the time after which any private sale is to be made, is personally served on or mailed, postage prepaid, to the Borrower in accordance with the notice provisions of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of the Credit Agreement at least ten (10) Business Days before the time of sale or other event giving rise to the requirement of such notice. The Administrative Agent may adjourn any public or private sale from time to time by announcement at the time and place fixed therefor, and such sale may, without further notice, be made at the time and place to which it was so adjourned. The Administrative Agent shall not be obligated to make any sale or other disposition of the Collateral regardless of notice having been given. To the extent permitted by law, any Secured Party may be a purchaser at any such sale. To the extent permitted by applicable law, each of the Grantors hereby waives all of its rights of redemption with respect to any such sale. Subject to the provisions of applicable law, the Administrative Agent and the Secured Parties may postpone or cause the postponement of the sale of all or any portion of the Collateral by announcement at the time and place of such sale, and such sale may, without further notice, to the extent permitted by law, be made at the time and place to which the sale was postponed, or the Administrative Agent may further postpone such sale by announcement made at such time and place.</w:t>
      </w:r>
    </w:p>
    <w:p>
      <w:pPr>
        <w:spacing w:after="0" w:line="190" w:lineRule="exact"/>
        <w:rPr>
          <w:sz w:val="20"/>
          <w:szCs w:val="20"/>
          <w:color w:val="auto"/>
        </w:rPr>
      </w:pPr>
    </w:p>
    <w:p>
      <w:pPr>
        <w:ind w:left="4" w:firstLine="645"/>
        <w:spacing w:after="0" w:line="268" w:lineRule="auto"/>
        <w:tabs>
          <w:tab w:leader="none" w:pos="1308"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Remedies Relating to Accounts</w:t>
      </w:r>
      <w:r>
        <w:rPr>
          <w:rFonts w:ascii="Arial" w:cs="Arial" w:eastAsia="Arial" w:hAnsi="Arial"/>
          <w:sz w:val="17"/>
          <w:szCs w:val="17"/>
          <w:color w:val="auto"/>
        </w:rPr>
        <w:t>. Upon the occurrence of an Event of Default and during the continuation thereof, whether or not the Administrative Agent has exercised any or all of its rights and remedies hereunder, (i) each Grantor will promptly upon request of the Administrative Agent instruct all account debtors to remit all payments in respect of Accounts to a mailing location selected by the Administrative Agent and (ii) the Administrative Agent shall have the right to enforce any Grantor’s rights against its customers and account debtors, and the Administrative Agent or its designee may notify (or require such Grantor to notify) any Grantor’s customers and account debtors that the Accounts of such Grantor have been assigned to the Administrative Agent or of the Administrative Agent’s security interest therein and may (either in its own name or in the name of a Grantor or both) demand, collect (including without limitation by way of a lockbox arrangement), receive, take receipt for, sell, sue for, compound, settle, compromise and give acquittance for any and all amounts due or to become due on any Account, and, in the Administrative Agent’s discretion, file any claim or take any other action or proceeding to protect and realize upon the security interest of the Secured Parties in the Accounts. Each Grantor acknowledges and agrees that the Proceeds of its Accounts remitted to or on behalf of the Administrative Agent in accordance with the provisions hereof shall be solely for the Administrative Agent’s own convenience and that such Grantor shall not have any right, title or interest in such Accounts or in any such other amounts except as expressly provided herein. The Administrative Agent and the other Secured Parties shall have no liability or responsibility to any Grantor for acceptance of a check, draft or other order for payment of money bearing the legend “payment in full” or words of similar import or any other restrictive legend or endorsement or be responsible for determining the correctness of any remittance. Furthermore, upon the occurrence</w:t>
      </w:r>
    </w:p>
    <w:p>
      <w:pPr>
        <w:spacing w:after="0" w:line="18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00"/>
        <w:spacing w:after="0" w:line="285" w:lineRule="auto"/>
        <w:rPr>
          <w:sz w:val="20"/>
          <w:szCs w:val="20"/>
          <w:color w:val="auto"/>
        </w:rPr>
      </w:pPr>
      <w:r>
        <w:rPr>
          <w:rFonts w:ascii="Arial" w:cs="Arial" w:eastAsia="Arial" w:hAnsi="Arial"/>
          <w:sz w:val="16"/>
          <w:szCs w:val="16"/>
          <w:color w:val="auto"/>
        </w:rPr>
        <w:t>of an Event of Default and during the continuation thereof, (i) the Administrative Agent shall have the right, but not the obligation, to make test verifications of the Accounts in any manner and through any medium that it reasonably considers advisable, and the Grantors shall furnish all such assistance and information as the Administrative Agent may require in connection with such test verifications, (ii) upon the Administrative Agent’s request and at the expense of the Grantors, the Grantors shall cause independent public accountants or others satisfactory to the Administrative Agent to furnish to the Administrative Agent reports showing reconciliations, aging and test verifications of and trial balances for, the Accounts and</w:t>
      </w:r>
    </w:p>
    <w:p>
      <w:pPr>
        <w:spacing w:after="0" w:line="2" w:lineRule="exact"/>
        <w:rPr>
          <w:sz w:val="20"/>
          <w:szCs w:val="20"/>
          <w:color w:val="auto"/>
        </w:rPr>
      </w:pPr>
    </w:p>
    <w:p>
      <w:pPr>
        <w:ind w:left="4" w:right="120" w:hanging="4"/>
        <w:spacing w:after="0" w:line="261" w:lineRule="auto"/>
        <w:tabs>
          <w:tab w:leader="none" w:pos="31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Administrative Agent in its own name or in the name of others may communicate with account debtors on the Accounts to verify with them to the Administrative Agent’s satisfaction the existence, amount and terms of any Accounts.</w:t>
      </w:r>
    </w:p>
    <w:p>
      <w:pPr>
        <w:spacing w:after="0" w:line="183" w:lineRule="exact"/>
        <w:rPr>
          <w:rFonts w:ascii="Arial" w:cs="Arial" w:eastAsia="Arial" w:hAnsi="Arial"/>
          <w:sz w:val="18"/>
          <w:szCs w:val="18"/>
          <w:color w:val="auto"/>
        </w:rPr>
      </w:pPr>
    </w:p>
    <w:p>
      <w:pPr>
        <w:ind w:left="4" w:right="140" w:firstLine="645"/>
        <w:spacing w:after="0" w:line="255" w:lineRule="auto"/>
        <w:tabs>
          <w:tab w:leader="none" w:pos="1311"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Access</w:t>
      </w:r>
      <w:r>
        <w:rPr>
          <w:rFonts w:ascii="Arial" w:cs="Arial" w:eastAsia="Arial" w:hAnsi="Arial"/>
          <w:sz w:val="18"/>
          <w:szCs w:val="18"/>
          <w:color w:val="auto"/>
        </w:rPr>
        <w:t>. In addition to the rights and remedies hereunder, upon the occurrence of an Event of Default and during the continuation thereof, the Administrative Agent shall have the right to enter and remain upon the various premises of the Grantors without cost or charge to the Administrative Agent and use the same, together with materials, supplies, books and records of the Grantors for the purpose of collecting and liquidating the Collateral, or for preparing for sale and conducting the sale of the Collateral, whether by foreclosure, auction or otherwise. In addition, the Administrative Agent may remove Collateral, or any part thereof, from such premises and/or any records with respect thereto, in order to effectively collect or liquidate such Collateral.</w:t>
      </w:r>
    </w:p>
    <w:p>
      <w:pPr>
        <w:spacing w:after="0" w:line="193" w:lineRule="exact"/>
        <w:rPr>
          <w:rFonts w:ascii="Arial" w:cs="Arial" w:eastAsia="Arial" w:hAnsi="Arial"/>
          <w:sz w:val="18"/>
          <w:szCs w:val="18"/>
          <w:color w:val="auto"/>
        </w:rPr>
      </w:pPr>
    </w:p>
    <w:p>
      <w:pPr>
        <w:ind w:left="4" w:right="40" w:firstLine="645"/>
        <w:spacing w:after="0" w:line="293" w:lineRule="auto"/>
        <w:tabs>
          <w:tab w:leader="none" w:pos="1308"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t>Nonexclusive Nature of Remedies</w:t>
      </w:r>
      <w:r>
        <w:rPr>
          <w:rFonts w:ascii="Arial" w:cs="Arial" w:eastAsia="Arial" w:hAnsi="Arial"/>
          <w:sz w:val="16"/>
          <w:szCs w:val="16"/>
          <w:color w:val="auto"/>
        </w:rPr>
        <w:t>. Failure by the Administrative Agent or the Secured Parties to exercise any right, remedy or option under this Security Agreement, any other Loan Document, any other documents relating to the Secured Obligations, or as provided by law, or any delay by the Administrative Agent or the Secured Parties in exercising the same, shall not operate as a waiver of any such right, remedy or option. No waiver hereunder shall be effective unless it is in writing, signed by the party against whom such waiver is sought to be enforced and then only to the extent specifically stated, which in the case of the Administrative Agent or the Secured Parties shall only be granted as provided herein. To the extent permitted by law, neither the Administrative Agent, the Secured Parties, nor any party acting as attorney for the Administrative</w:t>
      </w:r>
    </w:p>
    <w:p>
      <w:pPr>
        <w:sectPr>
          <w:pgSz w:w="11900" w:h="16934" w:orient="portrait"/>
          <w:cols w:equalWidth="0" w:num="1">
            <w:col w:w="10764"/>
          </w:cols>
          <w:pgMar w:left="896" w:top="125" w:right="239" w:bottom="0" w:gutter="0" w:footer="0" w:header="0"/>
        </w:sectPr>
      </w:pPr>
    </w:p>
    <w:bookmarkStart w:id="112" w:name="page113"/>
    <w:bookmarkEnd w:id="112"/>
    <w:p>
      <w:pPr>
        <w:spacing w:after="0" w:line="90" w:lineRule="exact"/>
        <w:rPr>
          <w:sz w:val="20"/>
          <w:szCs w:val="20"/>
          <w:color w:val="auto"/>
        </w:rPr>
      </w:pPr>
    </w:p>
    <w:p>
      <w:pPr>
        <w:jc w:val="both"/>
        <w:ind w:left="4" w:right="300"/>
        <w:spacing w:after="0" w:line="259" w:lineRule="auto"/>
        <w:rPr>
          <w:sz w:val="20"/>
          <w:szCs w:val="20"/>
          <w:color w:val="auto"/>
        </w:rPr>
      </w:pPr>
      <w:r>
        <w:rPr>
          <w:rFonts w:ascii="Arial" w:cs="Arial" w:eastAsia="Arial" w:hAnsi="Arial"/>
          <w:sz w:val="18"/>
          <w:szCs w:val="18"/>
          <w:color w:val="auto"/>
        </w:rPr>
        <w:t>Agent or the Secured Parties, shall be liable hereunder for any acts or omissions or for any error of judgment or mistake of fact or law other than their gross negligence or willful misconduct hereunder. The rights and remedies of the Administrative Agent and the Secured Parties under this Security Agreement shall be cumulative and not exclusive of any other right or remedy that the Administrative Agent or the Secured Parties may have.</w:t>
      </w:r>
    </w:p>
    <w:p>
      <w:pPr>
        <w:spacing w:after="0" w:line="187" w:lineRule="exact"/>
        <w:rPr>
          <w:sz w:val="20"/>
          <w:szCs w:val="20"/>
          <w:color w:val="auto"/>
        </w:rPr>
      </w:pPr>
    </w:p>
    <w:p>
      <w:pPr>
        <w:ind w:left="4" w:right="60" w:firstLine="645"/>
        <w:spacing w:after="0" w:line="276" w:lineRule="auto"/>
        <w:tabs>
          <w:tab w:leader="none" w:pos="1311"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Retention of Collateral</w:t>
      </w:r>
      <w:r>
        <w:rPr>
          <w:rFonts w:ascii="Arial" w:cs="Arial" w:eastAsia="Arial" w:hAnsi="Arial"/>
          <w:sz w:val="17"/>
          <w:szCs w:val="17"/>
          <w:color w:val="auto"/>
        </w:rPr>
        <w:t>. To the extent permitted by applicable law, in addition to the rights and remedies hereunder, the Administrative Agent may, in compliance with Sections 9-620 and 9-621 of the UCC (or any successor section) or otherwise complying with the requirements of applicable law of the relevant jurisdiction, accept or retain all or any portion of the Collateral in satisfaction of the Secured Obligations. Unless and until the Administrative Agent shall have provided such notices, however, the Administrative Agent shall not be deemed to have accepted or retained any Collateral in satisfaction of any Secured Obligations for any reason.</w:t>
      </w:r>
    </w:p>
    <w:p>
      <w:pPr>
        <w:spacing w:after="0" w:line="172" w:lineRule="exact"/>
        <w:rPr>
          <w:rFonts w:ascii="Arial" w:cs="Arial" w:eastAsia="Arial" w:hAnsi="Arial"/>
          <w:sz w:val="17"/>
          <w:szCs w:val="17"/>
          <w:color w:val="auto"/>
        </w:rPr>
      </w:pPr>
    </w:p>
    <w:p>
      <w:pPr>
        <w:ind w:left="4" w:right="340" w:firstLine="645"/>
        <w:spacing w:after="0" w:line="259" w:lineRule="auto"/>
        <w:tabs>
          <w:tab w:leader="none" w:pos="1305"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Deficiency</w:t>
      </w:r>
      <w:r>
        <w:rPr>
          <w:rFonts w:ascii="Arial" w:cs="Arial" w:eastAsia="Arial" w:hAnsi="Arial"/>
          <w:sz w:val="18"/>
          <w:szCs w:val="18"/>
          <w:color w:val="auto"/>
        </w:rPr>
        <w:t xml:space="preserve">. In the event that the proceeds of any sale, collection or realization are insufficient to pay all amounts to which the Administrative Agent or the Secured Parties are legally entitled, the Grantors shall be jointly and severally liable for the deficiency (subject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together with interest thereon at the Default Rate, together with the costs of collection and the reasonable fees, charges and disbursements of counsel. Any surplus remaining</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800"/>
        <w:spacing w:after="0" w:line="277" w:lineRule="auto"/>
        <w:rPr>
          <w:sz w:val="20"/>
          <w:szCs w:val="20"/>
          <w:color w:val="auto"/>
        </w:rPr>
      </w:pPr>
      <w:r>
        <w:rPr>
          <w:rFonts w:ascii="Arial" w:cs="Arial" w:eastAsia="Arial" w:hAnsi="Arial"/>
          <w:sz w:val="18"/>
          <w:szCs w:val="18"/>
          <w:color w:val="auto"/>
        </w:rPr>
        <w:t>after the full payment and satisfaction of the Secured Obligations shall be returned to the Grantors or to whomsoever a court of competent jurisdiction shall determine to be entitled thereto.</w:t>
      </w:r>
    </w:p>
    <w:p>
      <w:pPr>
        <w:spacing w:after="0" w:line="170" w:lineRule="exact"/>
        <w:rPr>
          <w:sz w:val="20"/>
          <w:szCs w:val="20"/>
          <w:color w:val="auto"/>
        </w:rPr>
      </w:pPr>
    </w:p>
    <w:p>
      <w:pPr>
        <w:ind w:left="644" w:hanging="644"/>
        <w:spacing w:after="0"/>
        <w:tabs>
          <w:tab w:leader="none" w:pos="644"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Rights of the Administrative Agent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60" w:firstLine="645"/>
        <w:spacing w:after="0" w:line="259" w:lineRule="auto"/>
        <w:tabs>
          <w:tab w:leader="none" w:pos="1297"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Power of Attorney</w:t>
      </w:r>
      <w:r>
        <w:rPr>
          <w:rFonts w:ascii="Arial" w:cs="Arial" w:eastAsia="Arial" w:hAnsi="Arial"/>
          <w:sz w:val="18"/>
          <w:szCs w:val="18"/>
          <w:color w:val="auto"/>
        </w:rPr>
        <w:t>. In addition to other powers of attorney contained herein, each Grantor hereby designates and appoints the Administrative Agent, on behalf of the Secured Parties, and each of its designees or agents, as attorney-in-fact of such Grantor, irrevocably and with power of substitution, with authority to take any or all of the following actions upon the occurrence and during the continuation of an Event of Default:</w:t>
      </w:r>
    </w:p>
    <w:p>
      <w:pPr>
        <w:spacing w:after="0" w:line="186" w:lineRule="exact"/>
        <w:rPr>
          <w:rFonts w:ascii="Arial" w:cs="Arial" w:eastAsia="Arial" w:hAnsi="Arial"/>
          <w:sz w:val="18"/>
          <w:szCs w:val="18"/>
          <w:color w:val="auto"/>
        </w:rPr>
      </w:pPr>
    </w:p>
    <w:p>
      <w:pPr>
        <w:ind w:left="644" w:right="200" w:firstLine="653"/>
        <w:spacing w:after="0" w:line="277" w:lineRule="auto"/>
        <w:tabs>
          <w:tab w:leader="none" w:pos="1962"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to demand, collect, settle, compromise and adjust, and give discharges and releases concerning the Collateral, all as the Administrative Agent may reasonably deem appropriate;</w:t>
      </w:r>
    </w:p>
    <w:p>
      <w:pPr>
        <w:spacing w:after="0" w:line="170" w:lineRule="exact"/>
        <w:rPr>
          <w:rFonts w:ascii="Arial" w:cs="Arial" w:eastAsia="Arial" w:hAnsi="Arial"/>
          <w:sz w:val="18"/>
          <w:szCs w:val="18"/>
          <w:color w:val="auto"/>
        </w:rPr>
      </w:pPr>
    </w:p>
    <w:p>
      <w:pPr>
        <w:ind w:left="644" w:firstLine="653"/>
        <w:spacing w:after="0" w:line="277" w:lineRule="auto"/>
        <w:tabs>
          <w:tab w:leader="none" w:pos="1971"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to commence and prosecute any actions at any court for the purposes of collecting any of the Collateral and enforcing any other right in respect thereof;</w:t>
      </w:r>
    </w:p>
    <w:p>
      <w:pPr>
        <w:spacing w:after="0" w:line="170" w:lineRule="exact"/>
        <w:rPr>
          <w:rFonts w:ascii="Arial" w:cs="Arial" w:eastAsia="Arial" w:hAnsi="Arial"/>
          <w:sz w:val="18"/>
          <w:szCs w:val="18"/>
          <w:color w:val="auto"/>
        </w:rPr>
      </w:pPr>
    </w:p>
    <w:p>
      <w:pPr>
        <w:ind w:left="644" w:right="100" w:firstLine="653"/>
        <w:spacing w:after="0" w:line="277" w:lineRule="auto"/>
        <w:tabs>
          <w:tab w:leader="none" w:pos="1981"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to defend, settle or compromise any action, suit or proceeding brought and, in connection therewith, give such discharge or release as the Administrative Agent may reasonably deem appropriate;</w:t>
      </w:r>
    </w:p>
    <w:p>
      <w:pPr>
        <w:spacing w:after="0" w:line="170" w:lineRule="exact"/>
        <w:rPr>
          <w:rFonts w:ascii="Arial" w:cs="Arial" w:eastAsia="Arial" w:hAnsi="Arial"/>
          <w:sz w:val="18"/>
          <w:szCs w:val="18"/>
          <w:color w:val="auto"/>
        </w:rPr>
      </w:pPr>
    </w:p>
    <w:p>
      <w:pPr>
        <w:ind w:left="644" w:right="40" w:firstLine="653"/>
        <w:spacing w:after="0" w:line="286" w:lineRule="auto"/>
        <w:tabs>
          <w:tab w:leader="none" w:pos="1957" w:val="left"/>
        </w:tabs>
        <w:numPr>
          <w:ilvl w:val="2"/>
          <w:numId w:val="237"/>
        </w:numPr>
        <w:rPr>
          <w:rFonts w:ascii="Arial" w:cs="Arial" w:eastAsia="Arial" w:hAnsi="Arial"/>
          <w:sz w:val="17"/>
          <w:szCs w:val="17"/>
          <w:color w:val="auto"/>
        </w:rPr>
      </w:pPr>
      <w:r>
        <w:rPr>
          <w:rFonts w:ascii="Arial" w:cs="Arial" w:eastAsia="Arial" w:hAnsi="Arial"/>
          <w:sz w:val="17"/>
          <w:szCs w:val="17"/>
          <w:color w:val="auto"/>
        </w:rPr>
        <w:t>to receive, open and dispose of mail addressed to a Grantor and endorse checks, notes, drafts, acceptances, money orders, bills of lading, warehouse receipts or other instruments or documents evidencing payment, shipment or storage of the goods giving rise to the Collateral on behalf of and in the name of such Grantor, or securing, or relating to such Collateral;</w:t>
      </w:r>
    </w:p>
    <w:p>
      <w:pPr>
        <w:spacing w:after="0" w:line="165" w:lineRule="exact"/>
        <w:rPr>
          <w:rFonts w:ascii="Arial" w:cs="Arial" w:eastAsia="Arial" w:hAnsi="Arial"/>
          <w:sz w:val="17"/>
          <w:szCs w:val="17"/>
          <w:color w:val="auto"/>
        </w:rPr>
      </w:pPr>
    </w:p>
    <w:p>
      <w:pPr>
        <w:ind w:left="1944" w:hanging="647"/>
        <w:spacing w:after="0"/>
        <w:tabs>
          <w:tab w:leader="none" w:pos="1944" w:val="left"/>
        </w:tabs>
        <w:numPr>
          <w:ilvl w:val="2"/>
          <w:numId w:val="237"/>
        </w:numPr>
        <w:rPr>
          <w:rFonts w:ascii="Arial" w:cs="Arial" w:eastAsia="Arial" w:hAnsi="Arial"/>
          <w:sz w:val="16"/>
          <w:szCs w:val="16"/>
          <w:color w:val="auto"/>
        </w:rPr>
      </w:pPr>
      <w:r>
        <w:rPr>
          <w:rFonts w:ascii="Arial" w:cs="Arial" w:eastAsia="Arial" w:hAnsi="Arial"/>
          <w:sz w:val="16"/>
          <w:szCs w:val="16"/>
          <w:color w:val="auto"/>
        </w:rPr>
        <w:t>to pay or discharge taxes, liens, security interests or other encumbrances levied or placed on or threatened against the</w:t>
      </w:r>
    </w:p>
    <w:p>
      <w:pPr>
        <w:spacing w:after="0" w:line="46"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Collateral;</w:t>
      </w:r>
    </w:p>
    <w:p>
      <w:pPr>
        <w:spacing w:after="0" w:line="210" w:lineRule="exact"/>
        <w:rPr>
          <w:rFonts w:ascii="Arial" w:cs="Arial" w:eastAsia="Arial" w:hAnsi="Arial"/>
          <w:sz w:val="16"/>
          <w:szCs w:val="16"/>
          <w:color w:val="auto"/>
        </w:rPr>
      </w:pPr>
    </w:p>
    <w:p>
      <w:pPr>
        <w:ind w:left="644" w:right="460" w:firstLine="653"/>
        <w:spacing w:after="0" w:line="342" w:lineRule="auto"/>
        <w:tabs>
          <w:tab w:leader="none" w:pos="1957" w:val="left"/>
        </w:tabs>
        <w:numPr>
          <w:ilvl w:val="2"/>
          <w:numId w:val="237"/>
        </w:numPr>
        <w:rPr>
          <w:rFonts w:ascii="Arial" w:cs="Arial" w:eastAsia="Arial" w:hAnsi="Arial"/>
          <w:sz w:val="16"/>
          <w:szCs w:val="16"/>
          <w:color w:val="auto"/>
        </w:rPr>
      </w:pPr>
      <w:r>
        <w:rPr>
          <w:rFonts w:ascii="Arial" w:cs="Arial" w:eastAsia="Arial" w:hAnsi="Arial"/>
          <w:sz w:val="16"/>
          <w:szCs w:val="16"/>
          <w:color w:val="auto"/>
        </w:rPr>
        <w:t>to direct any parties liable for any payment in connection with any of the Collateral to make payment of any and all monies due and to become due thereunder directly to the Administrative Agent or as the Administrative Agent shall direct;</w:t>
      </w:r>
    </w:p>
    <w:p>
      <w:pPr>
        <w:spacing w:after="0" w:line="123" w:lineRule="exact"/>
        <w:rPr>
          <w:rFonts w:ascii="Arial" w:cs="Arial" w:eastAsia="Arial" w:hAnsi="Arial"/>
          <w:sz w:val="16"/>
          <w:szCs w:val="16"/>
          <w:color w:val="auto"/>
        </w:rPr>
      </w:pPr>
    </w:p>
    <w:p>
      <w:pPr>
        <w:ind w:left="644" w:right="40" w:firstLine="653"/>
        <w:spacing w:after="0" w:line="277" w:lineRule="auto"/>
        <w:tabs>
          <w:tab w:leader="none" w:pos="1966"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to receive payment of and receipt for any and all monies, claims and other amounts due and to become due at any time in respect of or arising out of any Collateral;</w:t>
      </w:r>
    </w:p>
    <w:p>
      <w:pPr>
        <w:spacing w:after="0" w:line="170" w:lineRule="exact"/>
        <w:rPr>
          <w:rFonts w:ascii="Arial" w:cs="Arial" w:eastAsia="Arial" w:hAnsi="Arial"/>
          <w:sz w:val="18"/>
          <w:szCs w:val="18"/>
          <w:color w:val="auto"/>
        </w:rPr>
      </w:pPr>
    </w:p>
    <w:p>
      <w:pPr>
        <w:ind w:left="1984" w:hanging="687"/>
        <w:spacing w:after="0"/>
        <w:tabs>
          <w:tab w:leader="none" w:pos="1984" w:val="left"/>
        </w:tabs>
        <w:numPr>
          <w:ilvl w:val="2"/>
          <w:numId w:val="237"/>
        </w:numPr>
        <w:rPr>
          <w:rFonts w:ascii="Arial" w:cs="Arial" w:eastAsia="Arial" w:hAnsi="Arial"/>
          <w:sz w:val="16"/>
          <w:szCs w:val="16"/>
          <w:color w:val="auto"/>
        </w:rPr>
      </w:pPr>
      <w:r>
        <w:rPr>
          <w:rFonts w:ascii="Arial" w:cs="Arial" w:eastAsia="Arial" w:hAnsi="Arial"/>
          <w:sz w:val="16"/>
          <w:szCs w:val="16"/>
          <w:color w:val="auto"/>
        </w:rPr>
        <w:t>to maintain (including determining not to renew, pursue or further file) and enforce all IP Rights, forming any part of the</w:t>
      </w:r>
    </w:p>
    <w:p>
      <w:pPr>
        <w:spacing w:after="0" w:line="46"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Collateral.</w:t>
      </w:r>
    </w:p>
    <w:p>
      <w:pPr>
        <w:spacing w:after="0" w:line="210" w:lineRule="exact"/>
        <w:rPr>
          <w:rFonts w:ascii="Arial" w:cs="Arial" w:eastAsia="Arial" w:hAnsi="Arial"/>
          <w:sz w:val="16"/>
          <w:szCs w:val="16"/>
          <w:color w:val="auto"/>
        </w:rPr>
      </w:pPr>
    </w:p>
    <w:p>
      <w:pPr>
        <w:ind w:left="644" w:right="120" w:firstLine="653"/>
        <w:spacing w:after="0" w:line="264" w:lineRule="auto"/>
        <w:tabs>
          <w:tab w:leader="none" w:pos="1957"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to sell, assign, transfer, license, make any agreement in respect of, or otherwise deal with or exercise rights in respect of, any Collateral or the goods or services that have given rise thereto, as fully and completely as though the Administrative Agent were the absolute owner thereof for all purposes;</w:t>
      </w:r>
    </w:p>
    <w:p>
      <w:pPr>
        <w:spacing w:after="0" w:line="181" w:lineRule="exact"/>
        <w:rPr>
          <w:rFonts w:ascii="Arial" w:cs="Arial" w:eastAsia="Arial" w:hAnsi="Arial"/>
          <w:sz w:val="18"/>
          <w:szCs w:val="18"/>
          <w:color w:val="auto"/>
        </w:rPr>
      </w:pPr>
    </w:p>
    <w:p>
      <w:pPr>
        <w:ind w:left="1944" w:hanging="647"/>
        <w:spacing w:after="0"/>
        <w:tabs>
          <w:tab w:leader="none" w:pos="1944"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to adjust and settle claims under any insurance policy relating thereto;</w:t>
      </w:r>
    </w:p>
    <w:p>
      <w:pPr>
        <w:spacing w:after="0" w:line="225" w:lineRule="exact"/>
        <w:rPr>
          <w:rFonts w:ascii="Arial" w:cs="Arial" w:eastAsia="Arial" w:hAnsi="Arial"/>
          <w:sz w:val="18"/>
          <w:szCs w:val="18"/>
          <w:color w:val="auto"/>
        </w:rPr>
      </w:pPr>
    </w:p>
    <w:p>
      <w:pPr>
        <w:ind w:left="644" w:right="380" w:firstLine="653"/>
        <w:spacing w:after="0" w:line="277" w:lineRule="auto"/>
        <w:tabs>
          <w:tab w:leader="none" w:pos="1957"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to execute and deliver all assignments, conveyances, statements, financing statements, renewal financing statements, security and pledge agreements,</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100"/>
        <w:spacing w:after="0" w:line="264" w:lineRule="auto"/>
        <w:rPr>
          <w:sz w:val="20"/>
          <w:szCs w:val="20"/>
          <w:color w:val="auto"/>
        </w:rPr>
      </w:pPr>
      <w:r>
        <w:rPr>
          <w:rFonts w:ascii="Arial" w:cs="Arial" w:eastAsia="Arial" w:hAnsi="Arial"/>
          <w:sz w:val="18"/>
          <w:szCs w:val="18"/>
          <w:color w:val="auto"/>
        </w:rPr>
        <w:t>affidavits, notices and other agreements, instruments and documents that the Administrative Agent may reasonably deem appropriate in order to perfect and maintain the security interests and liens granted in this Security Agreement and in order to fully consummate all of the transactions contemplated therein;</w:t>
      </w:r>
    </w:p>
    <w:p>
      <w:pPr>
        <w:spacing w:after="0" w:line="181" w:lineRule="exact"/>
        <w:rPr>
          <w:sz w:val="20"/>
          <w:szCs w:val="20"/>
          <w:color w:val="auto"/>
        </w:rPr>
      </w:pPr>
    </w:p>
    <w:p>
      <w:pPr>
        <w:ind w:left="1964" w:hanging="667"/>
        <w:spacing w:after="0"/>
        <w:tabs>
          <w:tab w:leader="none" w:pos="196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institute any foreclosure proceedings that the Administrative Agent may reasonably deem appropriate; and</w:t>
      </w:r>
    </w:p>
    <w:p>
      <w:pPr>
        <w:spacing w:after="0" w:line="225" w:lineRule="exact"/>
        <w:rPr>
          <w:rFonts w:ascii="Arial" w:cs="Arial" w:eastAsia="Arial" w:hAnsi="Arial"/>
          <w:sz w:val="18"/>
          <w:szCs w:val="18"/>
          <w:color w:val="auto"/>
        </w:rPr>
      </w:pPr>
    </w:p>
    <w:p>
      <w:pPr>
        <w:ind w:left="644" w:right="400" w:firstLine="653"/>
        <w:spacing w:after="0" w:line="277" w:lineRule="auto"/>
        <w:tabs>
          <w:tab w:leader="none" w:pos="197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do and perform all such other acts and things as the Administrative Agent may deem appropriate or convenient in connection with the Collateral.</w:t>
      </w:r>
    </w:p>
    <w:p>
      <w:pPr>
        <w:sectPr>
          <w:pgSz w:w="11900" w:h="16929" w:orient="portrait"/>
          <w:cols w:equalWidth="0" w:num="1">
            <w:col w:w="10744"/>
          </w:cols>
          <w:pgMar w:left="896" w:top="125" w:right="259" w:bottom="0" w:gutter="0" w:footer="0" w:header="0"/>
        </w:sectPr>
      </w:pPr>
    </w:p>
    <w:bookmarkStart w:id="113" w:name="page114"/>
    <w:bookmarkEnd w:id="113"/>
    <w:p>
      <w:pPr>
        <w:ind w:left="640" w:right="40" w:firstLine="648"/>
        <w:spacing w:after="0" w:line="254" w:lineRule="auto"/>
        <w:rPr>
          <w:sz w:val="20"/>
          <w:szCs w:val="20"/>
          <w:color w:val="auto"/>
        </w:rPr>
      </w:pPr>
      <w:r>
        <w:rPr>
          <w:rFonts w:ascii="Arial" w:cs="Arial" w:eastAsia="Arial" w:hAnsi="Arial"/>
          <w:sz w:val="18"/>
          <w:szCs w:val="18"/>
          <w:color w:val="auto"/>
        </w:rPr>
        <w:t>This power of attorney is a power coupled with an interest and shall be irrevocable for so long as any of the Secured Obligations (other than contingent indemnification obligations for which no claim has been asserted) shall remain outstanding and until all of the Commitments relating thereto shall have been terminated. The Administrative Agent shall be under no duty to exercise or withhold the exercise of any of the rights, powers, privileges and options expressly or implicitly granted to the Administrative Agent in this Security Agreement and shall not be liable for any failure to do so or any delay in doing so. The Administrative Agent shall not be liable for any act or omission or for any error of judgment or any mistake of fact or law in its individual capacity or its capacity as attorney-in-fact except acts or omissions resulting from its gross negligence or willful misconduct. This power of attorney is conferred on the Administrative Agent solely to protect, preserve and realize upon its security interest in the Collateral.</w:t>
      </w:r>
    </w:p>
    <w:p>
      <w:pPr>
        <w:spacing w:after="0" w:line="192" w:lineRule="exact"/>
        <w:rPr>
          <w:sz w:val="20"/>
          <w:szCs w:val="20"/>
          <w:color w:val="auto"/>
        </w:rPr>
      </w:pPr>
    </w:p>
    <w:p>
      <w:pPr>
        <w:ind w:left="640" w:right="240" w:firstLine="645"/>
        <w:spacing w:after="0" w:line="264" w:lineRule="auto"/>
        <w:tabs>
          <w:tab w:leader="none" w:pos="1944"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Assignment by the Administrative Agent</w:t>
      </w:r>
      <w:r>
        <w:rPr>
          <w:rFonts w:ascii="Arial" w:cs="Arial" w:eastAsia="Arial" w:hAnsi="Arial"/>
          <w:sz w:val="18"/>
          <w:szCs w:val="18"/>
          <w:color w:val="auto"/>
        </w:rPr>
        <w:t>. The Administrative Agent may from time to time assign the Secured Obligations to a successor Administrative Agent appointed in accordance with the Credit Agreement, and such successor shall be entitled to all of the rights and remedies of the Administrative Agent under this Security Agreement in relation thereto.</w:t>
      </w:r>
    </w:p>
    <w:p>
      <w:pPr>
        <w:spacing w:after="0" w:line="181" w:lineRule="exact"/>
        <w:rPr>
          <w:rFonts w:ascii="Arial" w:cs="Arial" w:eastAsia="Arial" w:hAnsi="Arial"/>
          <w:sz w:val="18"/>
          <w:szCs w:val="18"/>
          <w:color w:val="auto"/>
        </w:rPr>
      </w:pPr>
    </w:p>
    <w:p>
      <w:pPr>
        <w:ind w:left="640" w:right="100" w:firstLine="645"/>
        <w:spacing w:after="0" w:line="259" w:lineRule="auto"/>
        <w:tabs>
          <w:tab w:leader="none" w:pos="1947"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Releases of Collateral</w:t>
      </w:r>
      <w:r>
        <w:rPr>
          <w:rFonts w:ascii="Arial" w:cs="Arial" w:eastAsia="Arial" w:hAnsi="Arial"/>
          <w:sz w:val="18"/>
          <w:szCs w:val="18"/>
          <w:color w:val="auto"/>
        </w:rPr>
        <w:t>. If any Collateral shall be sold, transferred or otherwise disposed of by any Grantor in a transaction permitted by the Credit Agreement, then the Administrative Agent, at the request and sole expense of such Grantor, shall promptly execute and deliver to such Grantor all releases and other documents and take such other action, reasonably necessary for the release of the Liens created hereby or by any other Collateral Document on such Collateral.</w:t>
      </w:r>
    </w:p>
    <w:p>
      <w:pPr>
        <w:spacing w:after="0" w:line="186" w:lineRule="exact"/>
        <w:rPr>
          <w:rFonts w:ascii="Arial" w:cs="Arial" w:eastAsia="Arial" w:hAnsi="Arial"/>
          <w:sz w:val="18"/>
          <w:szCs w:val="18"/>
          <w:color w:val="auto"/>
        </w:rPr>
      </w:pPr>
    </w:p>
    <w:p>
      <w:pPr>
        <w:ind w:left="640" w:right="40" w:firstLine="645"/>
        <w:spacing w:after="0" w:line="288" w:lineRule="auto"/>
        <w:tabs>
          <w:tab w:leader="none" w:pos="1944"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The Administrative Agent’s Duty of Care</w:t>
      </w:r>
      <w:r>
        <w:rPr>
          <w:rFonts w:ascii="Arial" w:cs="Arial" w:eastAsia="Arial" w:hAnsi="Arial"/>
          <w:sz w:val="16"/>
          <w:szCs w:val="16"/>
          <w:color w:val="auto"/>
        </w:rPr>
        <w:t xml:space="preserve">. Other than the exercise of reasonable care to assure the safe custody of the Collateral while being held by the Administrative Agent hereunder and to account for all proceeds thereof, the Administrative Agent shall have no duty or liability to preserve rights pertaining thereto, it being understood and agreed that the Grantors shall be responsible for preservation of all rights in the Collateral, and the Administrative Agent shall be relieved of all responsibility for the Collateral upon surrendering it or tendering the surrender of it to the Grantors. The Administrative Agent shall be deemed to have exercised reasonable care in the custody and preservation of the Collateral in its possession if such Collateral is accorded treatment substantially equal to that which the Administrative Agent accords its own property, which shall be no less than the treatment employed by a reasonable and prudent agent in the industry, it being understood that the Administrative Agent shall not have responsibility for taking any necessary steps to preserve rights against any parties with respect to any of the Collateral. In the event of a public or private sale of Collateral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the Administrative Agent shall have no responsibility for (i) ascertaining or taking action with respect to any matters relating to any Collateral, whether or not the Administrative Agent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has or is deemed to have knowledge of such matters or (ii) taking any steps to clean, repair or otherwise prepare the Collateral for sale.</w:t>
      </w:r>
    </w:p>
    <w:p>
      <w:pPr>
        <w:spacing w:after="0" w:line="237" w:lineRule="exact"/>
        <w:rPr>
          <w:sz w:val="20"/>
          <w:szCs w:val="20"/>
          <w:color w:val="auto"/>
        </w:rPr>
      </w:pPr>
    </w:p>
    <w:p>
      <w:pPr>
        <w:ind w:left="-20" w:right="120" w:firstLine="656"/>
        <w:spacing w:after="0" w:line="255" w:lineRule="auto"/>
        <w:tabs>
          <w:tab w:leader="none" w:pos="1272"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Upon the acceleration of the Obligations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the Credit Agreement, any payments in respect of the Secured Obligations and any proceeds of the Collateral, when received by the Administrative Agent or any of the Secured Parties in cash or its equivalent, will be applied in reduction of the Secured Obligations in the order set forth in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of the Credit Agreement, and each Grantor irrevocably waives the right to direct the application of such payments and proceeds and acknowledges and agrees that the Administrative Agent shall have the continuing and exclusive right to apply and reapply any and all such payments and proceeds in the Administrative Agent’s sole discretion, notwithstanding any entry to the contrary upon any of its books and records.</w:t>
      </w:r>
    </w:p>
    <w:p>
      <w:pPr>
        <w:spacing w:after="0" w:line="193" w:lineRule="exact"/>
        <w:rPr>
          <w:rFonts w:ascii="Arial" w:cs="Arial" w:eastAsia="Arial" w:hAnsi="Arial"/>
          <w:sz w:val="18"/>
          <w:szCs w:val="18"/>
          <w:color w:val="auto"/>
        </w:rPr>
      </w:pPr>
    </w:p>
    <w:p>
      <w:pPr>
        <w:ind w:left="1280" w:hanging="644"/>
        <w:spacing w:after="0"/>
        <w:tabs>
          <w:tab w:leader="none" w:pos="128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Continuing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firstLine="645"/>
        <w:spacing w:after="0" w:line="271" w:lineRule="auto"/>
        <w:tabs>
          <w:tab w:leader="none" w:pos="1934" w:val="left"/>
        </w:tabs>
        <w:numPr>
          <w:ilvl w:val="1"/>
          <w:numId w:val="240"/>
        </w:numPr>
        <w:rPr>
          <w:rFonts w:ascii="Arial" w:cs="Arial" w:eastAsia="Arial" w:hAnsi="Arial"/>
          <w:sz w:val="17"/>
          <w:szCs w:val="17"/>
          <w:color w:val="auto"/>
        </w:rPr>
      </w:pPr>
      <w:r>
        <w:rPr>
          <w:rFonts w:ascii="Arial" w:cs="Arial" w:eastAsia="Arial" w:hAnsi="Arial"/>
          <w:sz w:val="17"/>
          <w:szCs w:val="17"/>
          <w:color w:val="auto"/>
        </w:rPr>
        <w:t>This Security Agreement shall be a continuing agreement in every respect and shall remain in full force and effect so long as any of the Secured Obligations (other than contingent indemnification obligations for which no claim has been asserted) remains outstanding and until all of the Commitments relating thereto have been terminated. Upon payment or other satisfaction of all Secured Obligations (other than contingent indemnification obligations for which no claim has been asserted) and termination of the Commitments related thereto, this Security Agreement and the liens and security interests of the Administrative Agent hereunder shall be automatically terminated and the Administrative Agent shall, upon the request and at the expense of the Grantors, execute and deliver all UCC termination statements and/or other documents reasonably requested by the Grantors evidencing such termination and return to Grantors all Collateral in its possession. Notwithstanding the foregoing, all releases and indemnities provided hereunder shall survive termination of this Security Agreement.</w:t>
      </w:r>
    </w:p>
    <w:p>
      <w:pPr>
        <w:spacing w:after="0" w:line="178" w:lineRule="exact"/>
        <w:rPr>
          <w:rFonts w:ascii="Arial" w:cs="Arial" w:eastAsia="Arial" w:hAnsi="Arial"/>
          <w:sz w:val="17"/>
          <w:szCs w:val="17"/>
          <w:color w:val="auto"/>
        </w:rPr>
      </w:pPr>
    </w:p>
    <w:p>
      <w:pPr>
        <w:ind w:left="640" w:right="60" w:firstLine="645"/>
        <w:spacing w:after="0" w:line="293" w:lineRule="auto"/>
        <w:tabs>
          <w:tab w:leader="none" w:pos="1944"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This Security Agreement shall continue to be effective or be automatically reinstated, as the case may be, if at any time payment, in whole or in part, of any of the Secured Obligations is rescinded or must otherwise be restored or returned by the Administrative Agent or any Secured Party as a preference, fraudulent conveyance or otherwise under any bankruptcy, insolvency or similar law, all as though such payment had not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payment of all or any part of the Secured Obligations is rescinded or must be restored or returned, all costs and expenses (including, without limitation, reasonable attorneys’ fees and disbursements) incurred by the Administrative Agent or any Secured Party in defending and enforcing such reinstatement shall be deemed to be included as a part of the Secured Obligations.</w:t>
      </w:r>
    </w:p>
    <w:p>
      <w:pPr>
        <w:spacing w:after="0" w:line="164" w:lineRule="exact"/>
        <w:rPr>
          <w:rFonts w:ascii="Arial" w:cs="Arial" w:eastAsia="Arial" w:hAnsi="Arial"/>
          <w:sz w:val="16"/>
          <w:szCs w:val="16"/>
          <w:color w:val="auto"/>
        </w:rPr>
      </w:pPr>
    </w:p>
    <w:p>
      <w:pPr>
        <w:ind w:left="-20" w:right="780" w:firstLine="656"/>
        <w:spacing w:after="0" w:line="277" w:lineRule="auto"/>
        <w:tabs>
          <w:tab w:leader="none" w:pos="1272"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This Security Agreement and the provisions hereof may not be amended, waived, modified, changed, discharged or terminated except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Credit Agreement.</w:t>
      </w:r>
    </w:p>
    <w:p>
      <w:pPr>
        <w:spacing w:after="0" w:line="170" w:lineRule="exact"/>
        <w:rPr>
          <w:rFonts w:ascii="Arial" w:cs="Arial" w:eastAsia="Arial" w:hAnsi="Arial"/>
          <w:sz w:val="18"/>
          <w:szCs w:val="18"/>
          <w:color w:val="auto"/>
        </w:rPr>
      </w:pPr>
    </w:p>
    <w:p>
      <w:pPr>
        <w:ind w:left="-20" w:right="140" w:firstLine="656"/>
        <w:spacing w:after="0" w:line="302" w:lineRule="auto"/>
        <w:tabs>
          <w:tab w:leader="none" w:pos="1272"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Successors in Interest</w:t>
      </w:r>
      <w:r>
        <w:rPr>
          <w:rFonts w:ascii="Arial" w:cs="Arial" w:eastAsia="Arial" w:hAnsi="Arial"/>
          <w:sz w:val="16"/>
          <w:szCs w:val="16"/>
          <w:color w:val="auto"/>
        </w:rPr>
        <w:t xml:space="preserve">. This Security Agreement shall create a continuing security interest in the Collateral and shall be binding upon each Grantor, its successors and assigns, and shall inure, together with the rights and remedies of the Administrative Agent and the Secured Parties hereunder, to the benefit of the Administrative Agent and the Secured Parties and their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none of the Grantors may assign its rights or delegate its duties hereunder without the prior written consent of the requisite Lenders under the Credit Agreement.</w:t>
      </w:r>
    </w:p>
    <w:p>
      <w:pPr>
        <w:spacing w:after="0" w:line="154" w:lineRule="exact"/>
        <w:rPr>
          <w:rFonts w:ascii="Arial" w:cs="Arial" w:eastAsia="Arial" w:hAnsi="Arial"/>
          <w:sz w:val="16"/>
          <w:szCs w:val="16"/>
          <w:color w:val="auto"/>
        </w:rPr>
      </w:pPr>
    </w:p>
    <w:p>
      <w:pPr>
        <w:ind w:left="-20" w:right="380" w:firstLine="656"/>
        <w:spacing w:after="0" w:line="277" w:lineRule="auto"/>
        <w:tabs>
          <w:tab w:leader="none" w:pos="1272"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required or permitted to be given under this Security Agreement shall be given as provided in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316" w:gutter="0" w:footer="0" w:header="0"/>
        </w:sectPr>
      </w:pPr>
    </w:p>
    <w:bookmarkStart w:id="114" w:name="page115"/>
    <w:bookmarkEnd w:id="114"/>
    <w:p>
      <w:pPr>
        <w:jc w:val="both"/>
        <w:ind w:right="140" w:firstLine="656"/>
        <w:spacing w:after="0" w:line="259" w:lineRule="auto"/>
        <w:tabs>
          <w:tab w:leader="none" w:pos="129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Security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Security Agreement by facsimile or other electronic imaging means (e.g. “pdf” or “tif”) shall be effective as delivery of a manually executed counterpart of this Security Agreement.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herein are included for convenience of reference only and shall not affect the interpretation of this Security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100" w:firstLine="656"/>
        <w:spacing w:after="0" w:line="312" w:lineRule="auto"/>
        <w:tabs>
          <w:tab w:leader="none" w:pos="1292"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 Waiver of Venue, Service of Process, Waiver of Right to Jury Trial</w:t>
      </w:r>
      <w:r>
        <w:rPr>
          <w:rFonts w:ascii="Arial" w:cs="Arial" w:eastAsia="Arial" w:hAnsi="Arial"/>
          <w:sz w:val="16"/>
          <w:szCs w:val="16"/>
          <w:color w:val="auto"/>
        </w:rPr>
        <w:t xml:space="preserve">.The terms of Section 11.14 of the Credit Agreement and Section 11.15 of the Credit Agreement with respect to governing law, submission to jurisdiction, waiver of venue, service of process and waiver of the right to a jury trial are each incorporated herein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 and the parties hereto agree to such terms.</w:t>
      </w:r>
    </w:p>
    <w:p>
      <w:pPr>
        <w:spacing w:after="0" w:line="146" w:lineRule="exact"/>
        <w:rPr>
          <w:rFonts w:ascii="Arial" w:cs="Arial" w:eastAsia="Arial" w:hAnsi="Arial"/>
          <w:sz w:val="16"/>
          <w:szCs w:val="16"/>
          <w:color w:val="auto"/>
        </w:rPr>
      </w:pPr>
    </w:p>
    <w:p>
      <w:pPr>
        <w:ind w:right="20" w:firstLine="656"/>
        <w:spacing w:after="0" w:line="257" w:lineRule="auto"/>
        <w:tabs>
          <w:tab w:leader="none" w:pos="129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Security Agreement is held to be illegal, invalid or unenforceable, (a) the legality, validity and enforceability of the remaining provisions of this Security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8" w:lineRule="exact"/>
        <w:rPr>
          <w:rFonts w:ascii="Arial" w:cs="Arial" w:eastAsia="Arial" w:hAnsi="Arial"/>
          <w:sz w:val="18"/>
          <w:szCs w:val="18"/>
          <w:color w:val="auto"/>
        </w:rPr>
      </w:pPr>
    </w:p>
    <w:p>
      <w:pPr>
        <w:ind w:right="20" w:firstLine="656"/>
        <w:spacing w:after="0" w:line="259" w:lineRule="auto"/>
        <w:tabs>
          <w:tab w:leader="none" w:pos="129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Entirety</w:t>
      </w:r>
      <w:r>
        <w:rPr>
          <w:rFonts w:ascii="Arial" w:cs="Arial" w:eastAsia="Arial" w:hAnsi="Arial"/>
          <w:sz w:val="18"/>
          <w:szCs w:val="18"/>
          <w:color w:val="auto"/>
        </w:rPr>
        <w:t>. This Security Agreement, the other Loan Documents and the other documents relating to the Secured Obligations represent the entire agreement of the parties hereto and thereto, and supersede all prior agreements and understandings, oral or written, if any, including any proposal letters or correspondence relating to the Loan Documents, any other documents relating to the Secured Obligations, or the transactions contemplated herein and therein.</w:t>
      </w:r>
    </w:p>
    <w:p>
      <w:pPr>
        <w:spacing w:after="0" w:line="186" w:lineRule="exact"/>
        <w:rPr>
          <w:rFonts w:ascii="Arial" w:cs="Arial" w:eastAsia="Arial" w:hAnsi="Arial"/>
          <w:sz w:val="18"/>
          <w:szCs w:val="18"/>
          <w:color w:val="auto"/>
        </w:rPr>
      </w:pPr>
    </w:p>
    <w:p>
      <w:pPr>
        <w:jc w:val="both"/>
        <w:ind w:right="60" w:firstLine="656"/>
        <w:spacing w:after="0" w:line="264" w:lineRule="auto"/>
        <w:tabs>
          <w:tab w:leader="none" w:pos="129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of the Grantors hereunder shall survive the execution and delivery of this Security Agreement, the other Loan Documents and the other documents relating to the Secured Obligations, the delivery of the Notes and the extension of credit thereunder or in connection therewith.</w:t>
      </w:r>
    </w:p>
    <w:p>
      <w:pPr>
        <w:spacing w:after="0" w:line="181" w:lineRule="exact"/>
        <w:rPr>
          <w:rFonts w:ascii="Arial" w:cs="Arial" w:eastAsia="Arial" w:hAnsi="Arial"/>
          <w:sz w:val="18"/>
          <w:szCs w:val="18"/>
          <w:color w:val="auto"/>
        </w:rPr>
      </w:pPr>
    </w:p>
    <w:p>
      <w:pPr>
        <w:ind w:right="80" w:firstLine="656"/>
        <w:spacing w:after="0" w:line="254" w:lineRule="auto"/>
        <w:tabs>
          <w:tab w:leader="none" w:pos="129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Other Security</w:t>
      </w:r>
      <w:r>
        <w:rPr>
          <w:rFonts w:ascii="Arial" w:cs="Arial" w:eastAsia="Arial" w:hAnsi="Arial"/>
          <w:sz w:val="18"/>
          <w:szCs w:val="18"/>
          <w:color w:val="auto"/>
        </w:rPr>
        <w:t>. To the extent that any of the Secured Obligations are now or hereafter secured by property other than the Collateral (including, without limitation, real and other personal property and securities owned by a Grantor) or by a guarantee, endorsement or property of any other Person, then to the extent permitted by applicable law the Administrative Agent shall have the right to proceed against such other property, guarantee or endorsement upon the occurrence and during the continuation of any Event of Default, and the Administrative Agent shall have the right, in its sole discretion, to determine which rights, security, liens, security interests or remedies the Administrative Agent shall at any time pursue, relinquish, subordinate, modify or take with respect thereto, without in any way modifying or affecting any of them or the Secured Obligations or any of the rights of the Administrative Agent or the Secured Parties under this Security Agreement, under any of the other Loan Documents or under any other document relating to the Secured Obligations.</w:t>
      </w:r>
    </w:p>
    <w:p>
      <w:pPr>
        <w:spacing w:after="0" w:line="192" w:lineRule="exact"/>
        <w:rPr>
          <w:rFonts w:ascii="Arial" w:cs="Arial" w:eastAsia="Arial" w:hAnsi="Arial"/>
          <w:sz w:val="18"/>
          <w:szCs w:val="18"/>
          <w:color w:val="auto"/>
        </w:rPr>
      </w:pPr>
    </w:p>
    <w:p>
      <w:pPr>
        <w:ind w:right="560" w:firstLine="656"/>
        <w:spacing w:after="0" w:line="277" w:lineRule="auto"/>
        <w:tabs>
          <w:tab w:leader="none" w:pos="129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Rights of Required Lenders</w:t>
      </w:r>
      <w:r>
        <w:rPr>
          <w:rFonts w:ascii="Arial" w:cs="Arial" w:eastAsia="Arial" w:hAnsi="Arial"/>
          <w:sz w:val="18"/>
          <w:szCs w:val="18"/>
          <w:color w:val="auto"/>
        </w:rPr>
        <w:t>. All rights of the Administrative Agent hereunder, if not exercised by the Administrative Agent, may be exercised by the Required Lenders.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Joint and Several Obligations of Grantors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20" w:firstLine="645"/>
        <w:spacing w:after="0" w:line="312" w:lineRule="auto"/>
        <w:tabs>
          <w:tab w:leader="none" w:pos="1954" w:val="left"/>
        </w:tabs>
        <w:numPr>
          <w:ilvl w:val="1"/>
          <w:numId w:val="242"/>
        </w:numPr>
        <w:rPr>
          <w:rFonts w:ascii="Arial" w:cs="Arial" w:eastAsia="Arial" w:hAnsi="Arial"/>
          <w:sz w:val="16"/>
          <w:szCs w:val="16"/>
          <w:color w:val="auto"/>
        </w:rPr>
      </w:pPr>
      <w:r>
        <w:rPr>
          <w:rFonts w:ascii="Arial" w:cs="Arial" w:eastAsia="Arial" w:hAnsi="Arial"/>
          <w:sz w:val="16"/>
          <w:szCs w:val="16"/>
          <w:color w:val="auto"/>
        </w:rPr>
        <w:t xml:space="preserve">Subject to subsection (c) of this </w:t>
      </w:r>
      <w:r>
        <w:rPr>
          <w:rFonts w:ascii="Arial" w:cs="Arial" w:eastAsia="Arial" w:hAnsi="Arial"/>
          <w:sz w:val="16"/>
          <w:szCs w:val="16"/>
          <w:u w:val="single" w:color="auto"/>
          <w:color w:val="auto"/>
        </w:rPr>
        <w:t>Section 23</w:t>
      </w:r>
      <w:r>
        <w:rPr>
          <w:rFonts w:ascii="Arial" w:cs="Arial" w:eastAsia="Arial" w:hAnsi="Arial"/>
          <w:sz w:val="16"/>
          <w:szCs w:val="16"/>
          <w:color w:val="auto"/>
        </w:rPr>
        <w:t>, each of the Grantors is accepting joint and several liability hereunder in consideration of the financial accommodation to be provided by the Secured Parties, for the mutual benefit, directly and indirectly, of each of the Grantors and in consideration of the undertakings of each of the Grantors to accept joint and several liability for the obligations of each of them.</w:t>
      </w:r>
    </w:p>
    <w:p>
      <w:pPr>
        <w:spacing w:after="0" w:line="146" w:lineRule="exact"/>
        <w:rPr>
          <w:rFonts w:ascii="Arial" w:cs="Arial" w:eastAsia="Arial" w:hAnsi="Arial"/>
          <w:sz w:val="16"/>
          <w:szCs w:val="16"/>
          <w:color w:val="auto"/>
        </w:rPr>
      </w:pPr>
    </w:p>
    <w:p>
      <w:pPr>
        <w:ind w:left="660" w:firstLine="645"/>
        <w:spacing w:after="0" w:line="257" w:lineRule="auto"/>
        <w:tabs>
          <w:tab w:leader="none" w:pos="196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 xml:space="preserve">Subject to subsection (c) of this </w:t>
      </w:r>
      <w:r>
        <w:rPr>
          <w:rFonts w:ascii="Arial" w:cs="Arial" w:eastAsia="Arial" w:hAnsi="Arial"/>
          <w:sz w:val="18"/>
          <w:szCs w:val="18"/>
          <w:u w:val="single" w:color="auto"/>
          <w:color w:val="auto"/>
        </w:rPr>
        <w:t>Section 23</w:t>
      </w:r>
      <w:r>
        <w:rPr>
          <w:rFonts w:ascii="Arial" w:cs="Arial" w:eastAsia="Arial" w:hAnsi="Arial"/>
          <w:sz w:val="18"/>
          <w:szCs w:val="18"/>
          <w:color w:val="auto"/>
        </w:rPr>
        <w:t>, each of the Grantors jointly and severally hereby irrevocably and unconditionally accepts, not merely as a surety but also as a co-debtor, joint and several liability with the other Grantors with respect to the payment and performance of all of the Secured Obligations arising under this Security Agreement, the other Loan Documents and any other documents relating to the Secured Obligations, it being the intention of the parties hereto that all the Secured Obligations shall be the joint and several obligations of each of the Grantors without preferences or distinction among them.</w:t>
      </w:r>
    </w:p>
    <w:p>
      <w:pPr>
        <w:spacing w:after="0" w:line="188" w:lineRule="exact"/>
        <w:rPr>
          <w:rFonts w:ascii="Arial" w:cs="Arial" w:eastAsia="Arial" w:hAnsi="Arial"/>
          <w:sz w:val="18"/>
          <w:szCs w:val="18"/>
          <w:color w:val="auto"/>
        </w:rPr>
      </w:pPr>
    </w:p>
    <w:p>
      <w:pPr>
        <w:ind w:left="660" w:right="140" w:firstLine="645"/>
        <w:spacing w:after="0" w:line="302" w:lineRule="auto"/>
        <w:tabs>
          <w:tab w:leader="none" w:pos="1967" w:val="left"/>
        </w:tabs>
        <w:numPr>
          <w:ilvl w:val="1"/>
          <w:numId w:val="242"/>
        </w:numPr>
        <w:rPr>
          <w:rFonts w:ascii="Arial" w:cs="Arial" w:eastAsia="Arial" w:hAnsi="Arial"/>
          <w:sz w:val="16"/>
          <w:szCs w:val="16"/>
          <w:color w:val="auto"/>
        </w:rPr>
      </w:pPr>
      <w:r>
        <w:rPr>
          <w:rFonts w:ascii="Arial" w:cs="Arial" w:eastAsia="Arial" w:hAnsi="Arial"/>
          <w:sz w:val="16"/>
          <w:szCs w:val="16"/>
          <w:color w:val="auto"/>
        </w:rPr>
        <w:t>Notwithstanding any provision to the contrary contained herein, in any other of the Loan Documents or in any other documents relating to the Secured Obligations, the obligations of each Guarantor under the Credit Agreement, the other Loan Documents and the other documents relating to the Secured Obligations shall be limited to an aggregate amount equal to the largest amount that would not render such obligations subject to avoidance under Section 548 of the United States Bankruptcy Code or any comparable provisions of any applicable state law.</w:t>
      </w:r>
    </w:p>
    <w:p>
      <w:pPr>
        <w:spacing w:after="0" w:line="154" w:lineRule="exact"/>
        <w:rPr>
          <w:rFonts w:ascii="Arial" w:cs="Arial" w:eastAsia="Arial" w:hAnsi="Arial"/>
          <w:sz w:val="16"/>
          <w:szCs w:val="16"/>
          <w:color w:val="auto"/>
        </w:rPr>
      </w:pPr>
    </w:p>
    <w:p>
      <w:pPr>
        <w:jc w:val="both"/>
        <w:ind w:right="160" w:firstLine="656"/>
        <w:spacing w:after="0" w:line="302" w:lineRule="auto"/>
        <w:tabs>
          <w:tab w:leader="none" w:pos="1292"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Joinder</w:t>
      </w:r>
      <w:r>
        <w:rPr>
          <w:rFonts w:ascii="Arial" w:cs="Arial" w:eastAsia="Arial" w:hAnsi="Arial"/>
          <w:sz w:val="16"/>
          <w:szCs w:val="16"/>
          <w:color w:val="auto"/>
        </w:rPr>
        <w:t>. At any time after the date of this Security Agreement, one or more additional Domestic Subsidiaries may become party hereto by executing and delivering to the Administrative Agent a Joinder Agreement. Immediately upon such execution and delivery of such Joinder Agreement (and without any further action), each such additional Domestic Subsidiary will become a party to this Security Agreement as a “Grantor” and have all the rights and obligations of a Grantor hereunder and this Security Agreement and the schedules hereto shall be deemed amended by such Joinder Agreement.</w:t>
      </w:r>
    </w:p>
    <w:p>
      <w:pPr>
        <w:spacing w:after="0" w:line="154" w:lineRule="exact"/>
        <w:rPr>
          <w:rFonts w:ascii="Arial" w:cs="Arial" w:eastAsia="Arial" w:hAnsi="Arial"/>
          <w:sz w:val="16"/>
          <w:szCs w:val="16"/>
          <w:color w:val="auto"/>
        </w:rPr>
      </w:pPr>
    </w:p>
    <w:p>
      <w:pPr>
        <w:ind w:right="200" w:firstLine="656"/>
        <w:spacing w:after="0" w:line="308" w:lineRule="auto"/>
        <w:tabs>
          <w:tab w:leader="none" w:pos="1292"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Intercreditor Agreement</w:t>
      </w:r>
      <w:r>
        <w:rPr>
          <w:rFonts w:ascii="Arial" w:cs="Arial" w:eastAsia="Arial" w:hAnsi="Arial"/>
          <w:sz w:val="17"/>
          <w:szCs w:val="17"/>
          <w:color w:val="auto"/>
        </w:rPr>
        <w:t>. The Liens, security interests and rights granted pursuant to this Security Agreement are subject to the terms and conditions of any intercreditor agreement entered into by and between the Administrative Agent and the Revolving Credit Lender, if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Each of the parties hereto has caused a counterpart of this Security Agreement to be duly executed and delivered as of the date first above written.</w:t>
      </w:r>
    </w:p>
    <w:p>
      <w:pPr>
        <w:sectPr>
          <w:pgSz w:w="11900" w:h="16838" w:orient="portrait"/>
          <w:cols w:equalWidth="0" w:num="1">
            <w:col w:w="11420"/>
          </w:cols>
          <w:pgMar w:left="240" w:top="125" w:right="239" w:bottom="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color w:val="auto"/>
              </w:rPr>
              <w:t>GRANTOR:</w:t>
            </w: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VERACYTE, INC.,</w:t>
            </w:r>
          </w:p>
        </w:tc>
      </w:tr>
      <w:tr>
        <w:trPr>
          <w:trHeight w:val="237"/>
        </w:trPr>
        <w:tc>
          <w:tcPr>
            <w:tcW w:w="880" w:type="dxa"/>
            <w:vAlign w:val="bottom"/>
            <w:tcBorders>
              <w:top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a Delaware corporation</w:t>
            </w:r>
          </w:p>
        </w:tc>
      </w:tr>
      <w:tr>
        <w:trPr>
          <w:trHeight w:val="432"/>
        </w:trPr>
        <w:tc>
          <w:tcPr>
            <w:tcW w:w="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By:   /s/ Bonnie Anderson</w:t>
            </w:r>
          </w:p>
        </w:tc>
      </w:tr>
      <w:tr>
        <w:trPr>
          <w:trHeight w:val="182"/>
        </w:trPr>
        <w:tc>
          <w:tcPr>
            <w:tcW w:w="8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880" w:type="dxa"/>
            <w:vAlign w:val="bottom"/>
          </w:tcPr>
          <w:p>
            <w:pPr>
              <w:ind w:left="2400"/>
              <w:spacing w:after="0" w:line="182" w:lineRule="exact"/>
              <w:rPr>
                <w:sz w:val="20"/>
                <w:szCs w:val="20"/>
                <w:color w:val="auto"/>
              </w:rPr>
            </w:pPr>
            <w:r>
              <w:rPr>
                <w:rFonts w:ascii="Arial" w:cs="Arial" w:eastAsia="Arial" w:hAnsi="Arial"/>
                <w:sz w:val="18"/>
                <w:szCs w:val="18"/>
                <w:color w:val="auto"/>
                <w:w w:val="86"/>
              </w:rPr>
              <w:t>Name:</w:t>
            </w:r>
          </w:p>
        </w:tc>
        <w:tc>
          <w:tcPr>
            <w:tcW w:w="5220" w:type="dxa"/>
            <w:vAlign w:val="bottom"/>
            <w:tcBorders>
              <w:top w:val="single" w:sz="8" w:color="auto"/>
            </w:tcBorders>
          </w:tcPr>
          <w:p>
            <w:pPr>
              <w:ind w:left="40"/>
              <w:spacing w:after="0" w:line="182" w:lineRule="exact"/>
              <w:rPr>
                <w:sz w:val="20"/>
                <w:szCs w:val="20"/>
                <w:color w:val="auto"/>
              </w:rPr>
            </w:pPr>
            <w:r>
              <w:rPr>
                <w:rFonts w:ascii="Arial" w:cs="Arial" w:eastAsia="Arial" w:hAnsi="Arial"/>
                <w:sz w:val="18"/>
                <w:szCs w:val="18"/>
                <w:color w:val="auto"/>
              </w:rPr>
              <w:t>Bonnie Anderson</w:t>
            </w:r>
          </w:p>
        </w:tc>
      </w:tr>
      <w:tr>
        <w:trPr>
          <w:trHeight w:val="230"/>
        </w:trPr>
        <w:tc>
          <w:tcPr>
            <w:tcW w:w="8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Title: President &amp; CEO</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9380"/>
        <w:spacing w:after="0"/>
        <w:rPr>
          <w:sz w:val="20"/>
          <w:szCs w:val="20"/>
          <w:color w:val="auto"/>
        </w:rPr>
      </w:pPr>
      <w:r>
        <w:rPr>
          <w:rFonts w:ascii="Arial" w:cs="Arial" w:eastAsia="Arial" w:hAnsi="Arial"/>
          <w:sz w:val="17"/>
          <w:szCs w:val="17"/>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Accepted and agreed to as of the date first above written.</w:t>
            </w:r>
          </w:p>
        </w:tc>
        <w:tc>
          <w:tcPr>
            <w:tcW w:w="2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ADMINISTRATIVE AGENT:</w:t>
            </w:r>
          </w:p>
        </w:tc>
        <w:tc>
          <w:tcPr>
            <w:tcW w:w="6500" w:type="dxa"/>
            <w:vAlign w:val="bottom"/>
            <w:gridSpan w:val="3"/>
          </w:tcPr>
          <w:p>
            <w:pPr>
              <w:ind w:left="800"/>
              <w:spacing w:after="0"/>
              <w:rPr>
                <w:sz w:val="20"/>
                <w:szCs w:val="20"/>
                <w:color w:val="auto"/>
              </w:rPr>
            </w:pPr>
            <w:r>
              <w:rPr>
                <w:rFonts w:ascii="Arial" w:cs="Arial" w:eastAsia="Arial" w:hAnsi="Arial"/>
                <w:sz w:val="18"/>
                <w:szCs w:val="18"/>
                <w:color w:val="auto"/>
              </w:rPr>
              <w:t>VISIUM HEALTHCARE PARTNERS, LP,</w:t>
            </w:r>
          </w:p>
        </w:tc>
      </w:tr>
      <w:tr>
        <w:trPr>
          <w:trHeight w:val="230"/>
        </w:trPr>
        <w:tc>
          <w:tcPr>
            <w:tcW w:w="4920" w:type="dxa"/>
            <w:vAlign w:val="bottom"/>
          </w:tcPr>
          <w:p>
            <w:pPr>
              <w:spacing w:after="0"/>
              <w:rPr>
                <w:sz w:val="20"/>
                <w:szCs w:val="20"/>
                <w:color w:val="auto"/>
              </w:rPr>
            </w:pPr>
          </w:p>
        </w:tc>
        <w:tc>
          <w:tcPr>
            <w:tcW w:w="6500" w:type="dxa"/>
            <w:vAlign w:val="bottom"/>
            <w:gridSpan w:val="3"/>
          </w:tcPr>
          <w:p>
            <w:pPr>
              <w:ind w:left="1160"/>
              <w:spacing w:after="0"/>
              <w:rPr>
                <w:sz w:val="20"/>
                <w:szCs w:val="20"/>
                <w:color w:val="auto"/>
              </w:rPr>
            </w:pPr>
            <w:r>
              <w:rPr>
                <w:rFonts w:ascii="Arial" w:cs="Arial" w:eastAsia="Arial" w:hAnsi="Arial"/>
                <w:sz w:val="18"/>
                <w:szCs w:val="18"/>
                <w:color w:val="auto"/>
              </w:rPr>
              <w:t>a Delaware limited partnership</w:t>
            </w:r>
          </w:p>
        </w:tc>
      </w:tr>
      <w:tr>
        <w:trPr>
          <w:trHeight w:val="418"/>
        </w:trPr>
        <w:tc>
          <w:tcPr>
            <w:tcW w:w="4920" w:type="dxa"/>
            <w:vAlign w:val="bottom"/>
          </w:tcPr>
          <w:p>
            <w:pPr>
              <w:spacing w:after="0"/>
              <w:rPr>
                <w:sz w:val="24"/>
                <w:szCs w:val="24"/>
                <w:color w:val="auto"/>
              </w:rPr>
            </w:pPr>
          </w:p>
        </w:tc>
        <w:tc>
          <w:tcPr>
            <w:tcW w:w="6500" w:type="dxa"/>
            <w:vAlign w:val="bottom"/>
            <w:gridSpan w:val="3"/>
          </w:tcPr>
          <w:p>
            <w:pPr>
              <w:ind w:left="1160"/>
              <w:spacing w:after="0"/>
              <w:rPr>
                <w:sz w:val="20"/>
                <w:szCs w:val="20"/>
                <w:color w:val="auto"/>
              </w:rPr>
            </w:pPr>
            <w:r>
              <w:rPr>
                <w:rFonts w:ascii="Arial" w:cs="Arial" w:eastAsia="Arial" w:hAnsi="Arial"/>
                <w:sz w:val="18"/>
                <w:szCs w:val="18"/>
                <w:color w:val="auto"/>
              </w:rPr>
              <w:t>By:   VISIUM HEALTHCARE ADVISORS, LP,</w:t>
            </w:r>
          </w:p>
        </w:tc>
      </w:tr>
      <w:tr>
        <w:trPr>
          <w:trHeight w:val="230"/>
        </w:trPr>
        <w:tc>
          <w:tcPr>
            <w:tcW w:w="4920" w:type="dxa"/>
            <w:vAlign w:val="bottom"/>
          </w:tcPr>
          <w:p>
            <w:pPr>
              <w:spacing w:after="0"/>
              <w:rPr>
                <w:sz w:val="20"/>
                <w:szCs w:val="20"/>
                <w:color w:val="auto"/>
              </w:rPr>
            </w:pPr>
          </w:p>
        </w:tc>
        <w:tc>
          <w:tcPr>
            <w:tcW w:w="6500" w:type="dxa"/>
            <w:vAlign w:val="bottom"/>
            <w:gridSpan w:val="3"/>
          </w:tcPr>
          <w:p>
            <w:pPr>
              <w:ind w:left="1700"/>
              <w:spacing w:after="0"/>
              <w:rPr>
                <w:sz w:val="20"/>
                <w:szCs w:val="20"/>
                <w:color w:val="auto"/>
              </w:rPr>
            </w:pPr>
            <w:r>
              <w:rPr>
                <w:rFonts w:ascii="Arial" w:cs="Arial" w:eastAsia="Arial" w:hAnsi="Arial"/>
                <w:sz w:val="18"/>
                <w:szCs w:val="18"/>
                <w:color w:val="auto"/>
              </w:rPr>
              <w:t>its General Partner</w:t>
            </w:r>
          </w:p>
        </w:tc>
      </w:tr>
      <w:tr>
        <w:trPr>
          <w:trHeight w:val="634"/>
        </w:trPr>
        <w:tc>
          <w:tcPr>
            <w:tcW w:w="4920" w:type="dxa"/>
            <w:vAlign w:val="bottom"/>
          </w:tcPr>
          <w:p>
            <w:pPr>
              <w:spacing w:after="0"/>
              <w:rPr>
                <w:sz w:val="24"/>
                <w:szCs w:val="24"/>
                <w:color w:val="auto"/>
              </w:rPr>
            </w:pPr>
          </w:p>
        </w:tc>
        <w:tc>
          <w:tcPr>
            <w:tcW w:w="2760" w:type="dxa"/>
            <w:vAlign w:val="bottom"/>
          </w:tcPr>
          <w:p>
            <w:pPr>
              <w:ind w:left="1700"/>
              <w:spacing w:after="0"/>
              <w:rPr>
                <w:sz w:val="20"/>
                <w:szCs w:val="20"/>
                <w:color w:val="auto"/>
              </w:rPr>
            </w:pPr>
            <w:r>
              <w:rPr>
                <w:rFonts w:ascii="Arial" w:cs="Arial" w:eastAsia="Arial" w:hAnsi="Arial"/>
                <w:sz w:val="18"/>
                <w:szCs w:val="18"/>
                <w:color w:val="auto"/>
              </w:rPr>
              <w:t>By:</w:t>
            </w:r>
          </w:p>
        </w:tc>
        <w:tc>
          <w:tcPr>
            <w:tcW w:w="3740" w:type="dxa"/>
            <w:vAlign w:val="bottom"/>
            <w:gridSpan w:val="2"/>
          </w:tcPr>
          <w:p>
            <w:pPr>
              <w:ind w:left="440"/>
              <w:spacing w:after="0"/>
              <w:rPr>
                <w:sz w:val="20"/>
                <w:szCs w:val="20"/>
                <w:color w:val="auto"/>
              </w:rPr>
            </w:pPr>
            <w:r>
              <w:rPr>
                <w:rFonts w:ascii="Arial" w:cs="Arial" w:eastAsia="Arial" w:hAnsi="Arial"/>
                <w:sz w:val="18"/>
                <w:szCs w:val="18"/>
                <w:color w:val="auto"/>
              </w:rPr>
              <w:t>JG ASSET II, LLC,</w:t>
            </w:r>
          </w:p>
        </w:tc>
      </w:tr>
      <w:tr>
        <w:trPr>
          <w:trHeight w:val="230"/>
        </w:trPr>
        <w:tc>
          <w:tcPr>
            <w:tcW w:w="49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74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648"/>
        </w:trPr>
        <w:tc>
          <w:tcPr>
            <w:tcW w:w="4920" w:type="dxa"/>
            <w:vAlign w:val="bottom"/>
          </w:tcPr>
          <w:p>
            <w:pPr>
              <w:spacing w:after="0"/>
              <w:rPr>
                <w:sz w:val="24"/>
                <w:szCs w:val="24"/>
                <w:color w:val="auto"/>
              </w:rPr>
            </w:pPr>
          </w:p>
        </w:tc>
        <w:tc>
          <w:tcPr>
            <w:tcW w:w="2760" w:type="dxa"/>
            <w:vAlign w:val="bottom"/>
          </w:tcPr>
          <w:p>
            <w:pPr>
              <w:ind w:left="2160"/>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Gottlieb</w:t>
            </w:r>
          </w:p>
        </w:tc>
      </w:tr>
      <w:tr>
        <w:trPr>
          <w:trHeight w:val="210"/>
        </w:trPr>
        <w:tc>
          <w:tcPr>
            <w:tcW w:w="4920" w:type="dxa"/>
            <w:vAlign w:val="bottom"/>
          </w:tcPr>
          <w:p>
            <w:pPr>
              <w:spacing w:after="0"/>
              <w:rPr>
                <w:sz w:val="18"/>
                <w:szCs w:val="18"/>
                <w:color w:val="auto"/>
              </w:rPr>
            </w:pPr>
          </w:p>
        </w:tc>
        <w:tc>
          <w:tcPr>
            <w:tcW w:w="2760" w:type="dxa"/>
            <w:vAlign w:val="bottom"/>
          </w:tcPr>
          <w:p>
            <w:pPr>
              <w:ind w:left="2160"/>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18"/>
                <w:szCs w:val="18"/>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Mark </w:t>
            </w:r>
            <w:r>
              <w:rPr>
                <w:rFonts w:ascii="Arial" w:cs="Arial" w:eastAsia="Arial" w:hAnsi="Arial"/>
                <w:sz w:val="17"/>
                <w:szCs w:val="17"/>
                <w:color w:val="auto"/>
              </w:rPr>
              <w:t>Gottlieb</w:t>
            </w:r>
          </w:p>
        </w:tc>
      </w:tr>
      <w:tr>
        <w:trPr>
          <w:trHeight w:val="224"/>
        </w:trPr>
        <w:tc>
          <w:tcPr>
            <w:tcW w:w="4920" w:type="dxa"/>
            <w:vAlign w:val="bottom"/>
          </w:tcPr>
          <w:p>
            <w:pPr>
              <w:spacing w:after="0"/>
              <w:rPr>
                <w:sz w:val="19"/>
                <w:szCs w:val="19"/>
                <w:color w:val="auto"/>
              </w:rPr>
            </w:pPr>
          </w:p>
        </w:tc>
        <w:tc>
          <w:tcPr>
            <w:tcW w:w="2760" w:type="dxa"/>
            <w:vAlign w:val="bottom"/>
          </w:tcPr>
          <w:p>
            <w:pPr>
              <w:ind w:left="2160"/>
              <w:spacing w:after="0"/>
              <w:rPr>
                <w:sz w:val="20"/>
                <w:szCs w:val="20"/>
                <w:color w:val="auto"/>
              </w:rPr>
            </w:pPr>
            <w:r>
              <w:rPr>
                <w:rFonts w:ascii="Arial" w:cs="Arial" w:eastAsia="Arial" w:hAnsi="Arial"/>
                <w:sz w:val="18"/>
                <w:szCs w:val="18"/>
                <w:color w:val="auto"/>
              </w:rPr>
              <w:t>Title:</w:t>
            </w:r>
          </w:p>
        </w:tc>
        <w:tc>
          <w:tcPr>
            <w:tcW w:w="6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9380"/>
        <w:spacing w:after="0"/>
        <w:rPr>
          <w:sz w:val="20"/>
          <w:szCs w:val="20"/>
          <w:color w:val="auto"/>
        </w:rPr>
      </w:pPr>
      <w:r>
        <w:rPr>
          <w:rFonts w:ascii="Arial" w:cs="Arial" w:eastAsia="Arial" w:hAnsi="Arial"/>
          <w:sz w:val="17"/>
          <w:szCs w:val="17"/>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10.3</w:t>
      </w:r>
    </w:p>
    <w:p>
      <w:pPr>
        <w:spacing w:after="0" w:line="252" w:lineRule="exact"/>
        <w:rPr>
          <w:sz w:val="20"/>
          <w:szCs w:val="20"/>
          <w:color w:val="auto"/>
        </w:rPr>
      </w:pPr>
    </w:p>
    <w:p>
      <w:pPr>
        <w:ind w:left="9660"/>
        <w:spacing w:after="0"/>
        <w:rPr>
          <w:sz w:val="20"/>
          <w:szCs w:val="20"/>
          <w:color w:val="auto"/>
        </w:rPr>
      </w:pPr>
      <w:r>
        <w:rPr>
          <w:rFonts w:ascii="Arial" w:cs="Arial" w:eastAsia="Arial" w:hAnsi="Arial"/>
          <w:sz w:val="16"/>
          <w:szCs w:val="16"/>
          <w:i w:val="1"/>
          <w:iCs w:val="1"/>
          <w:color w:val="auto"/>
        </w:rPr>
        <w:t>EXECUTION VERSION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 AGREEMENT</w:t>
      </w:r>
    </w:p>
    <w:p>
      <w:pPr>
        <w:spacing w:after="0" w:line="225"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THIS PLEDGE AGREEMENT </w:t>
      </w:r>
      <w:r>
        <w:rPr>
          <w:rFonts w:ascii="Arial" w:cs="Arial" w:eastAsia="Arial" w:hAnsi="Arial"/>
          <w:sz w:val="18"/>
          <w:szCs w:val="18"/>
          <w:color w:val="auto"/>
        </w:rPr>
        <w:t>dated as of March 30, 2016 (as amended, modified, restated or supplemented from time to time, this “</w:t>
      </w:r>
      <w:r>
        <w:rPr>
          <w:rFonts w:ascii="Arial" w:cs="Arial" w:eastAsia="Arial" w:hAnsi="Arial"/>
          <w:sz w:val="18"/>
          <w:szCs w:val="18"/>
          <w:u w:val="single" w:color="auto"/>
          <w:color w:val="auto"/>
        </w:rPr>
        <w:t>Pledge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among the parties identified as “Pledgors” on the signature pages hereto and such other parties as may become Pledgors hereunder after the date hereof (individually a “</w:t>
      </w:r>
      <w:r>
        <w:rPr>
          <w:rFonts w:ascii="Arial" w:cs="Arial" w:eastAsia="Arial" w:hAnsi="Arial"/>
          <w:sz w:val="18"/>
          <w:szCs w:val="18"/>
          <w:u w:val="single" w:color="auto"/>
          <w:color w:val="auto"/>
        </w:rPr>
        <w:t>Pledgor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Pledgors</w:t>
      </w:r>
      <w:r>
        <w:rPr>
          <w:rFonts w:ascii="Arial" w:cs="Arial" w:eastAsia="Arial" w:hAnsi="Arial"/>
          <w:sz w:val="18"/>
          <w:szCs w:val="18"/>
          <w:color w:val="auto"/>
        </w:rPr>
        <w:t>”) and Visium Healthcare Partners, LP,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Secured Parties (defined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1" w:lineRule="exact"/>
        <w:rPr>
          <w:sz w:val="20"/>
          <w:szCs w:val="20"/>
          <w:color w:val="auto"/>
        </w:rPr>
      </w:pPr>
    </w:p>
    <w:p>
      <w:pPr>
        <w:jc w:val="both"/>
        <w:ind w:right="80"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 credit facility has been established in favor of Veracyte,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pursuant to the terms of that</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Credit Agreement dated as of March 25, 2016 (as amended, modified, restated, supplemented or extended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Guarantors from time to time party thereto, the Lenders from time to time party thereto and the Administrative Agent;</w:t>
      </w:r>
    </w:p>
    <w:p>
      <w:pPr>
        <w:spacing w:after="0" w:line="14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required under the terms of the Credit Agreement that the Pledgors shall have granted, pledged and assigned the security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undertaken the obligations contemplated by this Pledge Agreement;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Pledge Agreement is required under the terms of the Credit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these premises and other good and valuable consideration,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166" w:lineRule="exact"/>
        <w:rPr>
          <w:sz w:val="20"/>
          <w:szCs w:val="20"/>
          <w:color w:val="auto"/>
        </w:rPr>
      </w:pPr>
    </w:p>
    <w:p>
      <w:pPr>
        <w:ind w:left="1300" w:hanging="644"/>
        <w:spacing w:after="0"/>
        <w:tabs>
          <w:tab w:leader="none" w:pos="130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Capitalized terms used and not otherwise defined herein shall have the meanings provided in the Credit Agreement.</w:t>
      </w:r>
    </w:p>
    <w:p>
      <w:pPr>
        <w:spacing w:after="0" w:line="225" w:lineRule="exact"/>
        <w:rPr>
          <w:rFonts w:ascii="Arial" w:cs="Arial" w:eastAsia="Arial" w:hAnsi="Arial"/>
          <w:sz w:val="18"/>
          <w:szCs w:val="18"/>
          <w:color w:val="auto"/>
        </w:rPr>
      </w:pPr>
    </w:p>
    <w:p>
      <w:pPr>
        <w:ind w:left="660" w:right="260" w:firstLine="645"/>
        <w:spacing w:after="0" w:line="277" w:lineRule="auto"/>
        <w:tabs>
          <w:tab w:leader="none" w:pos="196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As used herein, the following terms shall have the meanings assigned thereto in the UCC (defined below): Accession, Financial Asset, Investment Company Security, Proceeds and Security.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As used herein, the following terms shall have the meanings set forth below:</w:t>
      </w:r>
    </w:p>
    <w:p>
      <w:pPr>
        <w:spacing w:after="0" w:line="225" w:lineRule="exact"/>
        <w:rPr>
          <w:rFonts w:ascii="Arial" w:cs="Arial" w:eastAsia="Arial" w:hAnsi="Arial"/>
          <w:sz w:val="18"/>
          <w:szCs w:val="18"/>
          <w:color w:val="auto"/>
        </w:rPr>
      </w:pPr>
    </w:p>
    <w:p>
      <w:pPr>
        <w:ind w:left="1960" w:right="3140"/>
        <w:spacing w:after="0" w:line="50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provided in the introductory paragraph hereof. “</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provided in the recitals hereof.</w:t>
      </w:r>
    </w:p>
    <w:p>
      <w:pPr>
        <w:ind w:left="19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has the meaning provided in the recitals hereof.</w:t>
      </w:r>
    </w:p>
    <w:p>
      <w:pPr>
        <w:sectPr>
          <w:pgSz w:w="11900" w:h="16838" w:orient="portrait"/>
          <w:cols w:equalWidth="0" w:num="1">
            <w:col w:w="11420"/>
          </w:cols>
          <w:pgMar w:left="240" w:top="108" w:right="239" w:bottom="5" w:gutter="0" w:footer="0" w:header="0"/>
        </w:sectPr>
      </w:pPr>
    </w:p>
    <w:bookmarkStart w:id="116" w:name="page117"/>
    <w:bookmarkEnd w:id="116"/>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Equity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has the meaning provided in the introductory paragraph hereof.</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Shares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225" w:lineRule="exact"/>
        <w:rPr>
          <w:sz w:val="20"/>
          <w:szCs w:val="20"/>
          <w:color w:val="auto"/>
        </w:rPr>
      </w:pPr>
    </w:p>
    <w:p>
      <w:pPr>
        <w:ind w:left="1300"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without duplication, (a) all Obligations and (b) all costs and expenses incurred in connection with enforcement and collection of the Obligations, including the fees, charges and disbursements of counsel.</w:t>
      </w:r>
    </w:p>
    <w:p>
      <w:pPr>
        <w:spacing w:after="0" w:line="170" w:lineRule="exact"/>
        <w:rPr>
          <w:sz w:val="20"/>
          <w:szCs w:val="20"/>
          <w:color w:val="auto"/>
        </w:rPr>
      </w:pPr>
    </w:p>
    <w:p>
      <w:pPr>
        <w:ind w:left="1300"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the Administrative Agent, the Lenders and any holder of the Secured Obligations and “</w:t>
      </w:r>
      <w:r>
        <w:rPr>
          <w:rFonts w:ascii="Arial" w:cs="Arial" w:eastAsia="Arial" w:hAnsi="Arial"/>
          <w:sz w:val="18"/>
          <w:szCs w:val="18"/>
          <w:u w:val="single" w:color="auto"/>
          <w:color w:val="auto"/>
        </w:rPr>
        <w:t>Secured Party</w:t>
      </w:r>
      <w:r>
        <w:rPr>
          <w:rFonts w:ascii="Arial" w:cs="Arial" w:eastAsia="Arial" w:hAnsi="Arial"/>
          <w:sz w:val="18"/>
          <w:szCs w:val="18"/>
          <w:color w:val="auto"/>
        </w:rPr>
        <w:t>” means any one of them.</w:t>
      </w:r>
    </w:p>
    <w:p>
      <w:pPr>
        <w:spacing w:after="0" w:line="170" w:lineRule="exact"/>
        <w:rPr>
          <w:sz w:val="20"/>
          <w:szCs w:val="20"/>
          <w:color w:val="auto"/>
        </w:rPr>
      </w:pPr>
    </w:p>
    <w:p>
      <w:pPr>
        <w:ind w:left="1300"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except as such term may be used in connection with the perfection of the Pledged Collateral and then the applicable jurisdiction with respect to such affected Pledged Collateral shall apply.</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Equity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225" w:lineRule="exact"/>
        <w:rPr>
          <w:sz w:val="20"/>
          <w:szCs w:val="20"/>
          <w:color w:val="auto"/>
        </w:rPr>
      </w:pPr>
    </w:p>
    <w:p>
      <w:pPr>
        <w:ind w:right="60" w:firstLine="656"/>
        <w:spacing w:after="0" w:line="259" w:lineRule="auto"/>
        <w:tabs>
          <w:tab w:leader="none" w:pos="1296"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Pledge and Grant of Security Interest</w:t>
      </w:r>
      <w:r>
        <w:rPr>
          <w:rFonts w:ascii="Arial" w:cs="Arial" w:eastAsia="Arial" w:hAnsi="Arial"/>
          <w:sz w:val="18"/>
          <w:szCs w:val="18"/>
          <w:color w:val="auto"/>
        </w:rPr>
        <w:t>. To secure the prompt payment and performance in full when due, whether by lapse of time, acceleration, mandatory prepayment or otherwise, of the Secured Obligations, each Pledgor hereby grants, pledges and assigns to the Administrative Agent, for the benefit of the Secured Parties, a continuing security interest in any and all right, title and interest of such Pledgor in and to the following, whether now owned or existing or owned, acquired, or arising hereafter (collectively, the “</w:t>
      </w:r>
      <w:r>
        <w:rPr>
          <w:rFonts w:ascii="Arial" w:cs="Arial" w:eastAsia="Arial" w:hAnsi="Arial"/>
          <w:sz w:val="18"/>
          <w:szCs w:val="18"/>
          <w:u w:val="single" w:color="auto"/>
          <w:color w:val="auto"/>
        </w:rPr>
        <w:t>Pledged Collateral</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60" w:firstLine="645"/>
        <w:spacing w:after="0" w:line="268" w:lineRule="auto"/>
        <w:tabs>
          <w:tab w:leader="none" w:pos="1954" w:val="left"/>
        </w:tabs>
        <w:numPr>
          <w:ilvl w:val="1"/>
          <w:numId w:val="245"/>
        </w:numPr>
        <w:rPr>
          <w:rFonts w:ascii="Arial" w:cs="Arial" w:eastAsia="Arial" w:hAnsi="Arial"/>
          <w:sz w:val="17"/>
          <w:szCs w:val="17"/>
          <w:color w:val="auto"/>
        </w:rPr>
      </w:pPr>
      <w:r>
        <w:rPr>
          <w:rFonts w:ascii="Arial" w:cs="Arial" w:eastAsia="Arial" w:hAnsi="Arial"/>
          <w:sz w:val="17"/>
          <w:szCs w:val="17"/>
          <w:u w:val="single" w:color="auto"/>
          <w:color w:val="auto"/>
        </w:rPr>
        <w:t>Pledged Shares</w:t>
      </w:r>
      <w:r>
        <w:rPr>
          <w:rFonts w:ascii="Arial" w:cs="Arial" w:eastAsia="Arial" w:hAnsi="Arial"/>
          <w:sz w:val="17"/>
          <w:szCs w:val="17"/>
          <w:color w:val="auto"/>
        </w:rPr>
        <w:t xml:space="preserve">. (i) One hundred percent (100%) of the issued and outstanding Equity Interests of each Domestic Subsidiary (other than a Foreign Subsidiary Holding Company) owned directly by such Pledgor set forth on </w:t>
      </w:r>
      <w:r>
        <w:rPr>
          <w:rFonts w:ascii="Arial" w:cs="Arial" w:eastAsia="Arial" w:hAnsi="Arial"/>
          <w:sz w:val="17"/>
          <w:szCs w:val="17"/>
          <w:u w:val="single" w:color="auto"/>
          <w:color w:val="auto"/>
        </w:rPr>
        <w:t>Schedule 2(a)</w:t>
      </w:r>
      <w:r>
        <w:rPr>
          <w:rFonts w:ascii="Arial" w:cs="Arial" w:eastAsia="Arial" w:hAnsi="Arial"/>
          <w:sz w:val="17"/>
          <w:szCs w:val="17"/>
          <w:color w:val="auto"/>
        </w:rPr>
        <w:t xml:space="preserve"> attached hereto and (ii) sixty-five percent (65%) (or such greater percentage that, due to a change in an applicable Law after the date hereof, (1) could not reasonably be expected to cause the undistributed earnings of such Foreign Subsidiary or any Foreign Subsidiary of a Foreign Subsidiary Holding Company as determined for United States federal income tax purposes to be treated as a deemed dividend to such Foreign Subsidiary’s United States parent, such Foreign Subsidiary Holding Company or such Foreign Subsidiary Holding Company’s United States parent and (2) could not reasonably be expected to cause any material adverse tax consequences) of the issued and outstanding Equity Interests entitled to vote (within the meaning of Treas. Reg. Section 1.956-2(c)(2)) (“</w:t>
      </w:r>
      <w:r>
        <w:rPr>
          <w:rFonts w:ascii="Arial" w:cs="Arial" w:eastAsia="Arial" w:hAnsi="Arial"/>
          <w:sz w:val="17"/>
          <w:szCs w:val="17"/>
          <w:u w:val="single" w:color="auto"/>
          <w:color w:val="auto"/>
        </w:rPr>
        <w:t>Voting Equity</w:t>
      </w:r>
      <w:r>
        <w:rPr>
          <w:rFonts w:ascii="Arial" w:cs="Arial" w:eastAsia="Arial" w:hAnsi="Arial"/>
          <w:sz w:val="17"/>
          <w:szCs w:val="17"/>
          <w:color w:val="auto"/>
        </w:rPr>
        <w:t>”) and one hundred percent (100%) of the issued and outstanding Equity Interests not entitled to vote (within the meaning of Treas. Reg. Section 1.956-2(c)(2)) (“</w:t>
      </w:r>
      <w:r>
        <w:rPr>
          <w:rFonts w:ascii="Arial" w:cs="Arial" w:eastAsia="Arial" w:hAnsi="Arial"/>
          <w:sz w:val="17"/>
          <w:szCs w:val="17"/>
          <w:u w:val="single" w:color="auto"/>
          <w:color w:val="auto"/>
        </w:rPr>
        <w:t>Non-Voting Equity</w:t>
      </w:r>
      <w:r>
        <w:rPr>
          <w:rFonts w:ascii="Arial" w:cs="Arial" w:eastAsia="Arial" w:hAnsi="Arial"/>
          <w:sz w:val="17"/>
          <w:szCs w:val="17"/>
          <w:color w:val="auto"/>
        </w:rPr>
        <w:t xml:space="preserve">”) owned by such Pledgor of each Foreign Subsidiary and each Foreign Subsidiary Holding Company, in each case, directly owned by such Pledgor set forth on </w:t>
      </w:r>
      <w:r>
        <w:rPr>
          <w:rFonts w:ascii="Arial" w:cs="Arial" w:eastAsia="Arial" w:hAnsi="Arial"/>
          <w:sz w:val="17"/>
          <w:szCs w:val="17"/>
          <w:u w:val="single" w:color="auto"/>
          <w:color w:val="auto"/>
        </w:rPr>
        <w:t>Schedule 2(a)</w:t>
      </w:r>
      <w:r>
        <w:rPr>
          <w:rFonts w:ascii="Arial" w:cs="Arial" w:eastAsia="Arial" w:hAnsi="Arial"/>
          <w:sz w:val="17"/>
          <w:szCs w:val="17"/>
          <w:color w:val="auto"/>
        </w:rPr>
        <w:t xml:space="preserve"> attached hereto, in each case together with the certificates (or other agreements or instruments), if any, representing such Equity Interests, and all options and other rights, contractual or otherwise, with respect thereto (collectively, together with the Equity Interests described in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2(c)</w:t>
      </w:r>
      <w:r>
        <w:rPr>
          <w:rFonts w:ascii="Arial" w:cs="Arial" w:eastAsia="Arial" w:hAnsi="Arial"/>
          <w:sz w:val="17"/>
          <w:szCs w:val="17"/>
          <w:color w:val="auto"/>
        </w:rPr>
        <w:t xml:space="preserve"> below, the “</w:t>
      </w:r>
      <w:r>
        <w:rPr>
          <w:rFonts w:ascii="Arial" w:cs="Arial" w:eastAsia="Arial" w:hAnsi="Arial"/>
          <w:sz w:val="17"/>
          <w:szCs w:val="17"/>
          <w:u w:val="single" w:color="auto"/>
          <w:color w:val="auto"/>
        </w:rPr>
        <w:t>Pledged Shares</w:t>
      </w:r>
      <w:r>
        <w:rPr>
          <w:rFonts w:ascii="Arial" w:cs="Arial" w:eastAsia="Arial" w:hAnsi="Arial"/>
          <w:sz w:val="17"/>
          <w:szCs w:val="17"/>
          <w:color w:val="auto"/>
        </w:rPr>
        <w:t>”), including, but not limited to, the following:</w:t>
      </w:r>
    </w:p>
    <w:p>
      <w:pPr>
        <w:spacing w:after="0" w:line="187" w:lineRule="exact"/>
        <w:rPr>
          <w:rFonts w:ascii="Arial" w:cs="Arial" w:eastAsia="Arial" w:hAnsi="Arial"/>
          <w:sz w:val="17"/>
          <w:szCs w:val="17"/>
          <w:color w:val="auto"/>
        </w:rPr>
      </w:pPr>
    </w:p>
    <w:p>
      <w:pPr>
        <w:ind w:left="1300" w:right="20" w:firstLine="653"/>
        <w:spacing w:after="0" w:line="257" w:lineRule="auto"/>
        <w:tabs>
          <w:tab w:leader="none" w:pos="2618" w:val="left"/>
        </w:tabs>
        <w:numPr>
          <w:ilvl w:val="2"/>
          <w:numId w:val="245"/>
        </w:numPr>
        <w:rPr>
          <w:rFonts w:ascii="Arial" w:cs="Arial" w:eastAsia="Arial" w:hAnsi="Arial"/>
          <w:sz w:val="18"/>
          <w:szCs w:val="18"/>
          <w:color w:val="auto"/>
        </w:rPr>
      </w:pPr>
      <w:r>
        <w:rPr>
          <w:rFonts w:ascii="Arial" w:cs="Arial" w:eastAsia="Arial" w:hAnsi="Arial"/>
          <w:sz w:val="18"/>
          <w:szCs w:val="18"/>
          <w:color w:val="auto"/>
        </w:rPr>
        <w:t>all shares, securities, membership interests and other Equity Interests or other property representing a dividend or other distribution on or in respect of any of the Pledged Shares, or representing a distribution or return of capital upon or in respect of the Pledged Shares, or resulting from a stock split, revision, reclassification or other exchange therefor, and any other dividends, distributions, subscriptions, warrants, cash, securities, instruments, rights, options or other property issued to or received or receivable by the holder of, or otherwise in respect of, the Pledged Shares;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firstLine="653"/>
        <w:spacing w:after="0" w:line="302" w:lineRule="auto"/>
        <w:tabs>
          <w:tab w:leader="none" w:pos="2627" w:val="left"/>
        </w:tabs>
        <w:numPr>
          <w:ilvl w:val="1"/>
          <w:numId w:val="246"/>
        </w:numPr>
        <w:rPr>
          <w:rFonts w:ascii="Arial" w:cs="Arial" w:eastAsia="Arial" w:hAnsi="Arial"/>
          <w:sz w:val="16"/>
          <w:szCs w:val="16"/>
          <w:color w:val="auto"/>
        </w:rPr>
      </w:pPr>
      <w:r>
        <w:rPr>
          <w:rFonts w:ascii="Arial" w:cs="Arial" w:eastAsia="Arial" w:hAnsi="Arial"/>
          <w:sz w:val="16"/>
          <w:szCs w:val="16"/>
          <w:color w:val="auto"/>
        </w:rPr>
        <w:t>without affecting the obligations of the Pledgors under any provision prohibiting such action hereunder or under the Credit Agreement, in the event of any consolidation or merger involving the issuer of any Pledged Shares and in which such issuer is not the surviving Person, all Equity Interests of the successor Person (or such lower amount as specified above in the case of successor Persons that are Foreign Subsidiaries or Foreign Subsidiary Holding Companies) formed by or resulting from such consolidation or merger.</w:t>
      </w:r>
    </w:p>
    <w:p>
      <w:pPr>
        <w:spacing w:after="0" w:line="154" w:lineRule="exact"/>
        <w:rPr>
          <w:rFonts w:ascii="Arial" w:cs="Arial" w:eastAsia="Arial" w:hAnsi="Arial"/>
          <w:sz w:val="16"/>
          <w:szCs w:val="16"/>
          <w:color w:val="auto"/>
        </w:rPr>
      </w:pPr>
    </w:p>
    <w:p>
      <w:pPr>
        <w:ind w:left="660" w:right="60" w:firstLine="645"/>
        <w:spacing w:after="0" w:line="270" w:lineRule="auto"/>
        <w:tabs>
          <w:tab w:leader="none" w:pos="1964"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Additional Shares</w:t>
      </w:r>
      <w:r>
        <w:rPr>
          <w:rFonts w:ascii="Arial" w:cs="Arial" w:eastAsia="Arial" w:hAnsi="Arial"/>
          <w:sz w:val="17"/>
          <w:szCs w:val="17"/>
          <w:color w:val="auto"/>
        </w:rPr>
        <w:t>. (i) One hundred percent (100%) of the issued and outstanding Equity Interests of any Person that hereafter becomes a Domestic Subsidiary (other than a Foreign Subsidiary Holding Company) directly owned by such Pledgor and (ii) sixty-five percent (65%) (or such greater percentage that, due to a change in an applicable Law after the date hereof, (1) could not reasonably be expected to cause the undistributed earnings of such Foreign Subsidiary or any Foreign Subsidiary of a Foreign Subsidiary Holding Company as determined for United States federal income tax purposes to be treated as a deemed dividend to such Foreign Subsidiary’s United States parent, such Foreign Subsidiary Holding Company or such Foreign Subsidiary Holding Company’s United States parent and (2) could not reasonably be expected to cause any material adverse tax consequences) of the Voting Equity and one hundred percent (100%) of the Non-Voting Equity owned by such Pledgor of any Person that hereafter becomes a Foreign Subsidiary or a Foreign Subsidiary Holding Company, in each case, directly owned by such Pledgor, including, without limitation, the certificates (or other agreements or instruments) representing such Equity Interests and all options and other rights, contractual or otherwise, with respect thereto.</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Accessions and Proceeds</w:t>
      </w:r>
      <w:r>
        <w:rPr>
          <w:rFonts w:ascii="Arial" w:cs="Arial" w:eastAsia="Arial" w:hAnsi="Arial"/>
          <w:sz w:val="18"/>
          <w:szCs w:val="18"/>
          <w:color w:val="auto"/>
        </w:rPr>
        <w:t>. All Accessions and all Proceeds of any and all of the foregoing.</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Without limiting the generality of the foregoing, it is hereby specifically understood and agreed that a Pledgor may from time to time hereafter deliver additional Equity Interests to the Administrative Agent as collateral security for the Secured Obligations. Upon delivery to the Administrative Agent, such additional Equity Interests shall be deemed to be part of the Pledged Collateral of such Pledgor and shall be subject to the terms of this Pledge Agreement whether or not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is amended to refer to such additional Equity Interests.</w:t>
      </w:r>
    </w:p>
    <w:p>
      <w:pPr>
        <w:sectPr>
          <w:pgSz w:w="11900" w:h="16838" w:orient="portrait"/>
          <w:cols w:equalWidth="0" w:num="1">
            <w:col w:w="11420"/>
          </w:cols>
          <w:pgMar w:left="240" w:top="125" w:right="239" w:bottom="0" w:gutter="0" w:footer="0" w:header="0"/>
        </w:sectPr>
      </w:pPr>
    </w:p>
    <w:bookmarkStart w:id="117" w:name="page118"/>
    <w:bookmarkEnd w:id="117"/>
    <w:p>
      <w:pPr>
        <w:ind w:right="420" w:firstLine="656"/>
        <w:spacing w:after="0" w:line="277" w:lineRule="auto"/>
        <w:tabs>
          <w:tab w:leader="none" w:pos="1296"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Security for Secured Obligations</w:t>
      </w:r>
      <w:r>
        <w:rPr>
          <w:rFonts w:ascii="Arial" w:cs="Arial" w:eastAsia="Arial" w:hAnsi="Arial"/>
          <w:sz w:val="18"/>
          <w:szCs w:val="18"/>
          <w:color w:val="auto"/>
        </w:rPr>
        <w:t>. The security interest created hereby in the Pledged Collateral of each Pledgor constitutes continuing collateral security for all of the Secured Obligations, whether now existing or hereinafter arising.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Delivery of the Pledged Collateral</w:t>
      </w:r>
      <w:r>
        <w:rPr>
          <w:rFonts w:ascii="Arial" w:cs="Arial" w:eastAsia="Arial" w:hAnsi="Arial"/>
          <w:sz w:val="18"/>
          <w:szCs w:val="18"/>
          <w:color w:val="auto"/>
        </w:rPr>
        <w:t>. Each Pledgor hereby agrees that:</w:t>
      </w:r>
    </w:p>
    <w:p>
      <w:pPr>
        <w:spacing w:after="0" w:line="225" w:lineRule="exact"/>
        <w:rPr>
          <w:rFonts w:ascii="Arial" w:cs="Arial" w:eastAsia="Arial" w:hAnsi="Arial"/>
          <w:sz w:val="18"/>
          <w:szCs w:val="18"/>
          <w:color w:val="auto"/>
        </w:rPr>
      </w:pPr>
    </w:p>
    <w:p>
      <w:pPr>
        <w:ind w:left="660" w:right="60" w:firstLine="645"/>
        <w:spacing w:after="0" w:line="284" w:lineRule="auto"/>
        <w:tabs>
          <w:tab w:leader="none" w:pos="1954"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Delivery of Certificates</w:t>
      </w:r>
      <w:r>
        <w:rPr>
          <w:rFonts w:ascii="Arial" w:cs="Arial" w:eastAsia="Arial" w:hAnsi="Arial"/>
          <w:sz w:val="16"/>
          <w:szCs w:val="16"/>
          <w:color w:val="auto"/>
        </w:rPr>
        <w:t>. Each Pledgor shall deliver to the Administrative Agent (i) simultaneously with or promptly following the execution and delivery of this Pledge Agreement, all certificates (if any) representing the Pledged Shares of such Pledgor and (ii) promptly upon the receipt thereof by or on behalf of a Pledgor, all other certificates and instruments constituting Pledged Collateral of a Pledgor. Prior to delivery to the Administrative Agent, all such certificates and instruments constituting Pledged Collateral of a Pledgor shall be held in trust by such Pledgor for the benefit of the Administrative Agent pursuant hereto. All such certificates and instruments shall be delivered in suitable form for transfer by delivery or shall be accompanied by duly executed instruments of transfer or assignment in blank, substantially in the form provided in</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Exhibit 4(a)</w:t>
      </w:r>
      <w:r>
        <w:rPr>
          <w:rFonts w:ascii="Arial" w:cs="Arial" w:eastAsia="Arial" w:hAnsi="Arial"/>
          <w:sz w:val="18"/>
          <w:szCs w:val="18"/>
          <w:color w:val="auto"/>
        </w:rPr>
        <w:t xml:space="preserve"> attached hereto.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85" w:lineRule="auto"/>
        <w:tabs>
          <w:tab w:leader="none" w:pos="1964"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Additional Securities</w:t>
      </w:r>
      <w:r>
        <w:rPr>
          <w:rFonts w:ascii="Arial" w:cs="Arial" w:eastAsia="Arial" w:hAnsi="Arial"/>
          <w:sz w:val="16"/>
          <w:szCs w:val="16"/>
          <w:color w:val="auto"/>
        </w:rPr>
        <w:t>. If such Pledgor shall receive (or become entitled to receive) by virtue of its being or having been the owner of any Pledged Collateral, any (i) certificate or instrument, including without limitation, any certificate representing a dividend or distribution in connection with any increase or reduction of capital, reclassification, merger, consolidation, sale of assets, combination of shares or membership or other Equity Interests, stock splits, spin-off or split-off, promissory notes or other instruments, (ii) option or right, whether as an addition to, substitution for, conversion of, or an exchange for, any Pledged Collateral or otherwise in respect thereof, (iii) dividends payable in securities or</w:t>
      </w:r>
    </w:p>
    <w:p>
      <w:pPr>
        <w:spacing w:after="0" w:line="2" w:lineRule="exact"/>
        <w:rPr>
          <w:rFonts w:ascii="Arial" w:cs="Arial" w:eastAsia="Arial" w:hAnsi="Arial"/>
          <w:sz w:val="16"/>
          <w:szCs w:val="16"/>
          <w:color w:val="auto"/>
        </w:rPr>
      </w:pPr>
    </w:p>
    <w:p>
      <w:pPr>
        <w:ind w:left="660" w:right="120" w:hanging="4"/>
        <w:spacing w:after="0" w:line="252" w:lineRule="auto"/>
        <w:tabs>
          <w:tab w:leader="none" w:pos="96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distributions of securities or other Equity Interests, cash or other property in connection with a partial or total liquidation, dissolution or reduction of capital, capital surplus or paid-in surplus, then such Pledgor shall accept and receive each such certificate, instrument, option, right, dividend or distribution in trust for the benefit of the Administrative Agent, shall segregate it from such Pledgor’s other property and shall deliver it forthwith to the Administrative Agent in the exact form received together with any necessary endorsement and/or appropriate stock power duly executed in blank, substantially in the form provided in </w:t>
      </w:r>
      <w:r>
        <w:rPr>
          <w:rFonts w:ascii="Arial" w:cs="Arial" w:eastAsia="Arial" w:hAnsi="Arial"/>
          <w:sz w:val="18"/>
          <w:szCs w:val="18"/>
          <w:u w:val="single" w:color="auto"/>
          <w:color w:val="auto"/>
        </w:rPr>
        <w:t>Exhibit 4(a)</w:t>
      </w:r>
      <w:r>
        <w:rPr>
          <w:rFonts w:ascii="Arial" w:cs="Arial" w:eastAsia="Arial" w:hAnsi="Arial"/>
          <w:sz w:val="18"/>
          <w:szCs w:val="18"/>
          <w:color w:val="auto"/>
        </w:rPr>
        <w:t>, to be held by the Administrative Agent as Pledged Collateral and as further collateral security for the Secured Obligations.</w:t>
      </w:r>
    </w:p>
    <w:p>
      <w:pPr>
        <w:spacing w:after="0" w:line="194" w:lineRule="exact"/>
        <w:rPr>
          <w:rFonts w:ascii="Arial" w:cs="Arial" w:eastAsia="Arial" w:hAnsi="Arial"/>
          <w:sz w:val="18"/>
          <w:szCs w:val="18"/>
          <w:color w:val="auto"/>
        </w:rPr>
      </w:pPr>
    </w:p>
    <w:p>
      <w:pPr>
        <w:ind w:left="660" w:firstLine="645"/>
        <w:spacing w:after="0" w:line="257" w:lineRule="auto"/>
        <w:tabs>
          <w:tab w:leader="none" w:pos="1967"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Financing Statements</w:t>
      </w:r>
      <w:r>
        <w:rPr>
          <w:rFonts w:ascii="Arial" w:cs="Arial" w:eastAsia="Arial" w:hAnsi="Arial"/>
          <w:sz w:val="18"/>
          <w:szCs w:val="18"/>
          <w:color w:val="auto"/>
        </w:rPr>
        <w:t>. Each Pledgor authorizes the Administrative Agent to file one or more financing statements (including authorization to describe the Pledged Collateral as “all assets” or words of similar meaning) disclosing the Administrative Agent’s security interest in the Pledged Collateral. Each Pledgor agrees to execute and deliver to the Administrative Agent such financing statements and other filings as may be reasonably requested by the Administrative Agent in order to perfect and protect the security interest created hereby in the Pledged Collateral of such Pledgor.</w:t>
      </w:r>
    </w:p>
    <w:p>
      <w:pPr>
        <w:spacing w:after="0" w:line="188" w:lineRule="exact"/>
        <w:rPr>
          <w:sz w:val="20"/>
          <w:szCs w:val="20"/>
          <w:color w:val="auto"/>
        </w:rPr>
      </w:pPr>
    </w:p>
    <w:p>
      <w:pPr>
        <w:ind w:left="1300" w:hanging="644"/>
        <w:spacing w:after="0"/>
        <w:tabs>
          <w:tab w:leader="none" w:pos="1300"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Pledgor hereby represents and warrants to the Administrative Agent, for the benefit of the Secured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that:</w:t>
      </w:r>
    </w:p>
    <w:p>
      <w:pPr>
        <w:spacing w:after="0" w:line="210" w:lineRule="exact"/>
        <w:rPr>
          <w:rFonts w:ascii="Arial" w:cs="Arial" w:eastAsia="Arial" w:hAnsi="Arial"/>
          <w:sz w:val="16"/>
          <w:szCs w:val="16"/>
          <w:color w:val="auto"/>
        </w:rPr>
      </w:pPr>
    </w:p>
    <w:p>
      <w:pPr>
        <w:ind w:left="660" w:right="60" w:firstLine="645"/>
        <w:spacing w:after="0" w:line="277" w:lineRule="auto"/>
        <w:tabs>
          <w:tab w:leader="none" w:pos="1954"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Authorization of Pledged Shares</w:t>
      </w:r>
      <w:r>
        <w:rPr>
          <w:rFonts w:ascii="Arial" w:cs="Arial" w:eastAsia="Arial" w:hAnsi="Arial"/>
          <w:sz w:val="18"/>
          <w:szCs w:val="18"/>
          <w:color w:val="auto"/>
        </w:rPr>
        <w:t>. The Pledged Shares are duly authorized and validly issued, are fully paid and nonassessable and are not subject to the preemptive rights of any Person.</w:t>
      </w:r>
    </w:p>
    <w:p>
      <w:pPr>
        <w:spacing w:after="0" w:line="170" w:lineRule="exact"/>
        <w:rPr>
          <w:rFonts w:ascii="Arial" w:cs="Arial" w:eastAsia="Arial" w:hAnsi="Arial"/>
          <w:sz w:val="18"/>
          <w:szCs w:val="18"/>
          <w:color w:val="auto"/>
        </w:rPr>
      </w:pPr>
    </w:p>
    <w:p>
      <w:pPr>
        <w:jc w:val="both"/>
        <w:ind w:left="660" w:right="100" w:firstLine="645"/>
        <w:spacing w:after="0" w:line="291" w:lineRule="auto"/>
        <w:tabs>
          <w:tab w:leader="none" w:pos="1964" w:val="left"/>
        </w:tabs>
        <w:numPr>
          <w:ilvl w:val="1"/>
          <w:numId w:val="251"/>
        </w:numPr>
        <w:rPr>
          <w:rFonts w:ascii="Arial" w:cs="Arial" w:eastAsia="Arial" w:hAnsi="Arial"/>
          <w:sz w:val="16"/>
          <w:szCs w:val="16"/>
          <w:color w:val="auto"/>
        </w:rPr>
      </w:pPr>
      <w:r>
        <w:rPr>
          <w:rFonts w:ascii="Arial" w:cs="Arial" w:eastAsia="Arial" w:hAnsi="Arial"/>
          <w:sz w:val="16"/>
          <w:szCs w:val="16"/>
          <w:u w:val="single" w:color="auto"/>
          <w:color w:val="auto"/>
        </w:rPr>
        <w:t>Title</w:t>
      </w:r>
      <w:r>
        <w:rPr>
          <w:rFonts w:ascii="Arial" w:cs="Arial" w:eastAsia="Arial" w:hAnsi="Arial"/>
          <w:sz w:val="16"/>
          <w:szCs w:val="16"/>
          <w:color w:val="auto"/>
        </w:rPr>
        <w:t>. Each Pledgor has good and indefeasible title to the Pledged Collateral of such Pledgor and is the legal and beneficial owner of such Pledged Collateral free and clear of any Lien, other than Permitted Liens. There exists no “adverse claim” within the meaning of Section 8-</w:t>
      </w:r>
    </w:p>
    <w:p>
      <w:pPr>
        <w:ind w:left="980" w:hanging="324"/>
        <w:spacing w:after="0"/>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of the UCC with respect to the Pledged Shares of such Pledgor, other than Permitted Liens.</w:t>
      </w:r>
    </w:p>
    <w:p>
      <w:pPr>
        <w:spacing w:after="0" w:line="210" w:lineRule="exact"/>
        <w:rPr>
          <w:rFonts w:ascii="Arial" w:cs="Arial" w:eastAsia="Arial" w:hAnsi="Arial"/>
          <w:sz w:val="18"/>
          <w:szCs w:val="18"/>
          <w:color w:val="auto"/>
        </w:rPr>
      </w:pPr>
    </w:p>
    <w:p>
      <w:pPr>
        <w:ind w:left="660" w:right="180" w:firstLine="645"/>
        <w:spacing w:after="0" w:line="276" w:lineRule="auto"/>
        <w:tabs>
          <w:tab w:leader="none" w:pos="1967" w:val="left"/>
        </w:tabs>
        <w:numPr>
          <w:ilvl w:val="1"/>
          <w:numId w:val="252"/>
        </w:numPr>
        <w:rPr>
          <w:rFonts w:ascii="Arial" w:cs="Arial" w:eastAsia="Arial" w:hAnsi="Arial"/>
          <w:sz w:val="17"/>
          <w:szCs w:val="17"/>
          <w:color w:val="auto"/>
        </w:rPr>
      </w:pPr>
      <w:r>
        <w:rPr>
          <w:rFonts w:ascii="Arial" w:cs="Arial" w:eastAsia="Arial" w:hAnsi="Arial"/>
          <w:sz w:val="17"/>
          <w:szCs w:val="17"/>
          <w:u w:val="single" w:color="auto"/>
          <w:color w:val="auto"/>
        </w:rPr>
        <w:t>Exercising of Rights</w:t>
      </w:r>
      <w:r>
        <w:rPr>
          <w:rFonts w:ascii="Arial" w:cs="Arial" w:eastAsia="Arial" w:hAnsi="Arial"/>
          <w:sz w:val="17"/>
          <w:szCs w:val="17"/>
          <w:color w:val="auto"/>
        </w:rPr>
        <w:t>. The exercise by the Administrative Agent of its rights and remedies hereunder will not violate any Law or governmental regulation applicable to such Pledgor or any material contractual restriction binding on or affecting a Pledgor or any of its property. There are no restrictions in any Organization Document governing any Pledged Collateral or any document related thereto which would limit or restrict the grant of a Lien pursuant to this Pledge Agreement on such Pledged Collateral, the perfection of such Lien or the exercise of remedies in respect of such perfected Lien in the Pledged Collateral as contemplated by this Pledge Agreement.</w:t>
      </w:r>
    </w:p>
    <w:p>
      <w:pPr>
        <w:spacing w:after="0" w:line="172" w:lineRule="exact"/>
        <w:rPr>
          <w:rFonts w:ascii="Arial" w:cs="Arial" w:eastAsia="Arial" w:hAnsi="Arial"/>
          <w:sz w:val="17"/>
          <w:szCs w:val="17"/>
          <w:color w:val="auto"/>
        </w:rPr>
      </w:pPr>
    </w:p>
    <w:p>
      <w:pPr>
        <w:ind w:left="660" w:right="60" w:firstLine="645"/>
        <w:spacing w:after="0" w:line="277" w:lineRule="auto"/>
        <w:tabs>
          <w:tab w:leader="none" w:pos="1964"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Pledgor’s Authority</w:t>
      </w:r>
      <w:r>
        <w:rPr>
          <w:rFonts w:ascii="Arial" w:cs="Arial" w:eastAsia="Arial" w:hAnsi="Arial"/>
          <w:sz w:val="18"/>
          <w:szCs w:val="18"/>
          <w:color w:val="auto"/>
        </w:rPr>
        <w:t>. No authorization, approval or action by, and no notice or filing with any Governmental Authority or with the issuer of any Pledged Shares or any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60"/>
        <w:spacing w:after="0" w:line="312" w:lineRule="auto"/>
        <w:rPr>
          <w:sz w:val="20"/>
          <w:szCs w:val="20"/>
          <w:color w:val="auto"/>
        </w:rPr>
      </w:pPr>
      <w:r>
        <w:rPr>
          <w:rFonts w:ascii="Arial" w:cs="Arial" w:eastAsia="Arial" w:hAnsi="Arial"/>
          <w:sz w:val="16"/>
          <w:szCs w:val="16"/>
          <w:color w:val="auto"/>
        </w:rPr>
        <w:t>Person is required either (i) for the pledge made by a Pledgor or for the granting of the security interest by a Pledgor pursuant to this Pledge Agreement (except as have been already obtained) or (ii) for the exercise by the Administrative Agent or the Secured Parties of their rights and remedies hereunder (except as may be required by the UCC or applicable foreign laws or laws affecting the offering and sale of securities).</w:t>
      </w:r>
    </w:p>
    <w:p>
      <w:pPr>
        <w:spacing w:after="0" w:line="147" w:lineRule="exact"/>
        <w:rPr>
          <w:sz w:val="20"/>
          <w:szCs w:val="20"/>
          <w:color w:val="auto"/>
        </w:rPr>
      </w:pPr>
    </w:p>
    <w:p>
      <w:pPr>
        <w:ind w:left="660" w:right="40" w:firstLine="645"/>
        <w:spacing w:after="0" w:line="255" w:lineRule="auto"/>
        <w:tabs>
          <w:tab w:leader="none" w:pos="1967"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Security Interest/Priority</w:t>
      </w:r>
      <w:r>
        <w:rPr>
          <w:rFonts w:ascii="Arial" w:cs="Arial" w:eastAsia="Arial" w:hAnsi="Arial"/>
          <w:sz w:val="18"/>
          <w:szCs w:val="18"/>
          <w:color w:val="auto"/>
        </w:rPr>
        <w:t xml:space="preserve">. This Pledge Agreement creates a valid security interest in favor of the Administrative Agent for the benefit of the Secured Parties, in the Pledged Collateral. The taking of possession by the Administrative Agent of the certificates representing the Pledged Shares and all other certificates and instruments constituting Pledged Collateral will perfect and establish the first priority of the Administrative Agent’s security interest in the Pledged Shares and, when properly perfected by filing a UCC financing statement or registration, in all other Pledged Collateral represented by such Pledged Shares and instruments securing the Secured Obligations to the extent such security interest can be perfected by filing a UCC financing statement. Except as set forth in this </w:t>
      </w:r>
      <w:r>
        <w:rPr>
          <w:rFonts w:ascii="Arial" w:cs="Arial" w:eastAsia="Arial" w:hAnsi="Arial"/>
          <w:sz w:val="18"/>
          <w:szCs w:val="18"/>
          <w:u w:val="single" w:color="auto"/>
          <w:color w:val="auto"/>
        </w:rPr>
        <w:t>Section 5(e)</w:t>
      </w:r>
      <w:r>
        <w:rPr>
          <w:rFonts w:ascii="Arial" w:cs="Arial" w:eastAsia="Arial" w:hAnsi="Arial"/>
          <w:sz w:val="18"/>
          <w:szCs w:val="18"/>
          <w:color w:val="auto"/>
        </w:rPr>
        <w:t>, no action is necessary to perfect or otherwise protect such security interest.</w:t>
      </w:r>
    </w:p>
    <w:p>
      <w:pPr>
        <w:spacing w:after="0" w:line="189" w:lineRule="exact"/>
        <w:rPr>
          <w:rFonts w:ascii="Arial" w:cs="Arial" w:eastAsia="Arial" w:hAnsi="Arial"/>
          <w:sz w:val="18"/>
          <w:szCs w:val="18"/>
          <w:color w:val="auto"/>
        </w:rPr>
      </w:pPr>
    </w:p>
    <w:p>
      <w:pPr>
        <w:ind w:left="660" w:right="340" w:firstLine="645"/>
        <w:spacing w:after="0" w:line="291" w:lineRule="auto"/>
        <w:tabs>
          <w:tab w:leader="none" w:pos="1961"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Partnership and Membership Interests</w:t>
      </w:r>
      <w:r>
        <w:rPr>
          <w:rFonts w:ascii="Arial" w:cs="Arial" w:eastAsia="Arial" w:hAnsi="Arial"/>
          <w:sz w:val="16"/>
          <w:szCs w:val="16"/>
          <w:color w:val="auto"/>
        </w:rPr>
        <w:t>. Except as disclosed to the Administrative Agent by written notice, none of the Pledged Shares consisting of partnership or limited liability company interests (i) is dealt in or traded on a securities exchange or in a securities market,</w:t>
      </w:r>
    </w:p>
    <w:p>
      <w:pPr>
        <w:ind w:left="660" w:right="260" w:hanging="4"/>
        <w:spacing w:after="0" w:line="261" w:lineRule="auto"/>
        <w:tabs>
          <w:tab w:leader="none" w:pos="92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by its terms expressly provides that it is a security governed by Article 8 of the UCC, (iii) is an Investment Company Security, (iv) is held in a securities account or (v) constitutes a Security or a Financial Asset.</w:t>
      </w:r>
    </w:p>
    <w:p>
      <w:pPr>
        <w:sectPr>
          <w:pgSz w:w="11900" w:h="16838" w:orient="portrait"/>
          <w:cols w:equalWidth="0" w:num="1">
            <w:col w:w="11420"/>
          </w:cols>
          <w:pgMar w:left="240" w:top="125" w:right="239" w:bottom="0" w:gutter="0" w:footer="0" w:header="0"/>
        </w:sectPr>
      </w:pPr>
    </w:p>
    <w:bookmarkStart w:id="118" w:name="page119"/>
    <w:bookmarkEnd w:id="118"/>
    <w:p>
      <w:pPr>
        <w:spacing w:after="0" w:line="94" w:lineRule="exact"/>
        <w:rPr>
          <w:sz w:val="20"/>
          <w:szCs w:val="20"/>
          <w:color w:val="auto"/>
        </w:rPr>
      </w:pPr>
    </w:p>
    <w:p>
      <w:pPr>
        <w:ind w:left="640" w:right="560" w:firstLine="645"/>
        <w:spacing w:after="0" w:line="277" w:lineRule="auto"/>
        <w:tabs>
          <w:tab w:leader="none" w:pos="1957"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No Other Interests</w:t>
      </w:r>
      <w:r>
        <w:rPr>
          <w:rFonts w:ascii="Arial" w:cs="Arial" w:eastAsia="Arial" w:hAnsi="Arial"/>
          <w:sz w:val="18"/>
          <w:szCs w:val="18"/>
          <w:color w:val="auto"/>
        </w:rPr>
        <w:t xml:space="preserve">. As of the date hereof, no Pledgor owns any Equity Interests in any Subsidiary other than as set forth on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20" w:right="240" w:firstLine="656"/>
        <w:spacing w:after="0" w:line="264" w:lineRule="auto"/>
        <w:tabs>
          <w:tab w:leader="none" w:pos="1276"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Each Pledgor hereby covenants, that so long as any of the Secured Obligations (other than contingent indemnification obligations for which no claim has been asserted) remain outstanding and until all of the Commitments relating thereto have been terminated, such Pledgor shall:</w:t>
      </w:r>
    </w:p>
    <w:p>
      <w:pPr>
        <w:spacing w:after="0" w:line="181" w:lineRule="exact"/>
        <w:rPr>
          <w:rFonts w:ascii="Arial" w:cs="Arial" w:eastAsia="Arial" w:hAnsi="Arial"/>
          <w:sz w:val="18"/>
          <w:szCs w:val="18"/>
          <w:color w:val="auto"/>
        </w:rPr>
      </w:pPr>
    </w:p>
    <w:p>
      <w:pPr>
        <w:jc w:val="both"/>
        <w:ind w:left="640" w:right="160" w:firstLine="645"/>
        <w:spacing w:after="0" w:line="259" w:lineRule="auto"/>
        <w:tabs>
          <w:tab w:leader="none" w:pos="1934"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Defense of Title</w:t>
      </w:r>
      <w:r>
        <w:rPr>
          <w:rFonts w:ascii="Arial" w:cs="Arial" w:eastAsia="Arial" w:hAnsi="Arial"/>
          <w:sz w:val="18"/>
          <w:szCs w:val="18"/>
          <w:color w:val="auto"/>
        </w:rPr>
        <w:t>. Warrant and defend title to and ownership of the Pledged Collateral of such Pledgor at its own expense against the claims and demands of all other parties claiming an interest therein, keep the Pledged Collateral free from all Liens, except for Permitted Liens, and not sell, exchange, transfer, assign, lease or otherwise dispose of Pledged Collateral of such Pledgor or any interest therein, except as permitted under the Credit Agreement and the other Loan Documents.</w:t>
      </w:r>
    </w:p>
    <w:p>
      <w:pPr>
        <w:spacing w:after="0" w:line="186" w:lineRule="exact"/>
        <w:rPr>
          <w:rFonts w:ascii="Arial" w:cs="Arial" w:eastAsia="Arial" w:hAnsi="Arial"/>
          <w:sz w:val="18"/>
          <w:szCs w:val="18"/>
          <w:color w:val="auto"/>
        </w:rPr>
      </w:pPr>
    </w:p>
    <w:p>
      <w:pPr>
        <w:jc w:val="both"/>
        <w:ind w:left="640" w:right="140" w:firstLine="645"/>
        <w:spacing w:after="0" w:line="285" w:lineRule="auto"/>
        <w:tabs>
          <w:tab w:leader="none" w:pos="1944"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Promptly execute and deliver at its expense all further instruments and documents and take all further action that may be necessary and desirable or that the Administrative Agent may reasonably request in order to (i) perfect and protect the security interest created hereby in the Pledged Collateral of such Pledgor (including, without limitation, any and all other action reasonably necessary to satisfy the Administrative Agent that the Administrative Agent has obtained a first priority perfected security interest in all Pledged Collateral), (ii) enable the Administrative Agent to exercise and enforce its rights and remedies hereunder in respect of the Pledged Collateral of such Pledgor and</w:t>
      </w:r>
    </w:p>
    <w:p>
      <w:pPr>
        <w:spacing w:after="0" w:line="2" w:lineRule="exact"/>
        <w:rPr>
          <w:rFonts w:ascii="Arial" w:cs="Arial" w:eastAsia="Arial" w:hAnsi="Arial"/>
          <w:sz w:val="16"/>
          <w:szCs w:val="16"/>
          <w:color w:val="auto"/>
        </w:rPr>
      </w:pPr>
    </w:p>
    <w:p>
      <w:pPr>
        <w:ind w:left="640" w:right="20"/>
        <w:spacing w:after="0" w:line="261" w:lineRule="auto"/>
        <w:rPr>
          <w:rFonts w:ascii="Arial" w:cs="Arial" w:eastAsia="Arial" w:hAnsi="Arial"/>
          <w:sz w:val="16"/>
          <w:szCs w:val="16"/>
          <w:color w:val="auto"/>
        </w:rPr>
      </w:pPr>
      <w:r>
        <w:rPr>
          <w:rFonts w:ascii="Arial" w:cs="Arial" w:eastAsia="Arial" w:hAnsi="Arial"/>
          <w:sz w:val="18"/>
          <w:szCs w:val="18"/>
          <w:color w:val="auto"/>
        </w:rPr>
        <w:t>(iii) otherwise effect the purposes of this Pledge Agreement, including, without limitation and if requested by the Administrative Agent, delivering to the Administrative Agent upon its request following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occurrence and continuation of an Event of Default, irrevocable proxies in respect of the Pledged Collateral of such Pledgor.</w:t>
      </w:r>
    </w:p>
    <w:p>
      <w:pPr>
        <w:spacing w:after="0" w:line="225" w:lineRule="exact"/>
        <w:rPr>
          <w:sz w:val="20"/>
          <w:szCs w:val="20"/>
          <w:color w:val="auto"/>
        </w:rPr>
      </w:pPr>
    </w:p>
    <w:p>
      <w:pPr>
        <w:ind w:left="640" w:right="140" w:firstLine="645"/>
        <w:spacing w:after="0" w:line="264" w:lineRule="auto"/>
        <w:tabs>
          <w:tab w:leader="none" w:pos="1947"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Not make or consent to any amendment or other modification or waiver with respect to any of the Pledged Collateral of such Pledgor or enter into any agreement or allow to exist any restriction with respect to any of the Pledged Collateral of such Pledgor other than as may be permitted under the Credit Agreement.</w:t>
      </w:r>
    </w:p>
    <w:p>
      <w:pPr>
        <w:spacing w:after="0" w:line="181" w:lineRule="exact"/>
        <w:rPr>
          <w:rFonts w:ascii="Arial" w:cs="Arial" w:eastAsia="Arial" w:hAnsi="Arial"/>
          <w:sz w:val="18"/>
          <w:szCs w:val="18"/>
          <w:color w:val="auto"/>
        </w:rPr>
      </w:pPr>
    </w:p>
    <w:p>
      <w:pPr>
        <w:ind w:left="640" w:right="20" w:firstLine="645"/>
        <w:spacing w:after="0" w:line="308" w:lineRule="auto"/>
        <w:tabs>
          <w:tab w:leader="none" w:pos="1944" w:val="left"/>
        </w:tabs>
        <w:numPr>
          <w:ilvl w:val="1"/>
          <w:numId w:val="257"/>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w:t>
      </w:r>
      <w:r>
        <w:rPr>
          <w:rFonts w:ascii="Arial" w:cs="Arial" w:eastAsia="Arial" w:hAnsi="Arial"/>
          <w:sz w:val="17"/>
          <w:szCs w:val="17"/>
          <w:color w:val="auto"/>
        </w:rPr>
        <w:t>. File all reports and other information now or hereafter required to be filed by such Pledgor with the SEC and any other state, federal or foreign agency in connection with the ownership of the Pledged Collateral of such Pledgor.</w:t>
      </w:r>
    </w:p>
    <w:p>
      <w:pPr>
        <w:spacing w:after="0" w:line="146" w:lineRule="exact"/>
        <w:rPr>
          <w:rFonts w:ascii="Arial" w:cs="Arial" w:eastAsia="Arial" w:hAnsi="Arial"/>
          <w:sz w:val="17"/>
          <w:szCs w:val="17"/>
          <w:color w:val="auto"/>
        </w:rPr>
      </w:pPr>
    </w:p>
    <w:p>
      <w:pPr>
        <w:ind w:left="640" w:right="440" w:firstLine="645"/>
        <w:spacing w:after="0" w:line="277" w:lineRule="auto"/>
        <w:tabs>
          <w:tab w:leader="none" w:pos="1947"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Books and Records</w:t>
      </w:r>
      <w:r>
        <w:rPr>
          <w:rFonts w:ascii="Arial" w:cs="Arial" w:eastAsia="Arial" w:hAnsi="Arial"/>
          <w:sz w:val="18"/>
          <w:szCs w:val="18"/>
          <w:color w:val="auto"/>
        </w:rPr>
        <w:t>. Mark its books and records (and shall cause the issuer of the Pledged Shares of such Pledgor to mark its books and records) to reflect the security interest granted pursuant to this Pledge Agreement.</w:t>
      </w:r>
    </w:p>
    <w:p>
      <w:pPr>
        <w:spacing w:after="0" w:line="170" w:lineRule="exact"/>
        <w:rPr>
          <w:rFonts w:ascii="Arial" w:cs="Arial" w:eastAsia="Arial" w:hAnsi="Arial"/>
          <w:sz w:val="18"/>
          <w:szCs w:val="18"/>
          <w:color w:val="auto"/>
        </w:rPr>
      </w:pPr>
    </w:p>
    <w:p>
      <w:pPr>
        <w:ind w:left="640" w:right="60" w:firstLine="645"/>
        <w:spacing w:after="0" w:line="285" w:lineRule="auto"/>
        <w:tabs>
          <w:tab w:leader="none" w:pos="1941"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Issuance or Acquisition of Equity Interests</w:t>
      </w:r>
      <w:r>
        <w:rPr>
          <w:rFonts w:ascii="Arial" w:cs="Arial" w:eastAsia="Arial" w:hAnsi="Arial"/>
          <w:sz w:val="16"/>
          <w:szCs w:val="16"/>
          <w:color w:val="auto"/>
        </w:rPr>
        <w:t>. Not, without promptly executing and delivering, or causing to be executed and delivered, to the Administrative Agent such agreements, documents and instruments as the Administrative Agent may reasonably request (or as required under the Credit Agreement) for the purpose of perfecting its security interest therein, issue or acquire any Equity Interests constituting Pledged Collateral consisting of an interest in a partnership or a limited liability company that (i) is dealt in or traded on a securities exchange or in a securities market, (ii) by its terms expressly provides that it is a security governed by Article 8 of the UCC, (iii) is an Investment Company Security,</w:t>
      </w:r>
    </w:p>
    <w:p>
      <w:pPr>
        <w:spacing w:after="0" w:line="2" w:lineRule="exact"/>
        <w:rPr>
          <w:rFonts w:ascii="Arial" w:cs="Arial" w:eastAsia="Arial" w:hAnsi="Arial"/>
          <w:sz w:val="16"/>
          <w:szCs w:val="16"/>
          <w:color w:val="auto"/>
        </w:rPr>
      </w:pPr>
    </w:p>
    <w:p>
      <w:pPr>
        <w:ind w:left="940" w:hanging="304"/>
        <w:spacing w:after="0"/>
        <w:tabs>
          <w:tab w:leader="none" w:pos="9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is held in a securities account or (v) constitutes a Security or a Financial Asset.</w:t>
      </w:r>
    </w:p>
    <w:p>
      <w:pPr>
        <w:spacing w:after="0" w:line="211" w:lineRule="exact"/>
        <w:rPr>
          <w:sz w:val="20"/>
          <w:szCs w:val="20"/>
          <w:color w:val="auto"/>
        </w:rPr>
      </w:pPr>
    </w:p>
    <w:p>
      <w:pPr>
        <w:ind w:left="-20" w:right="40" w:firstLine="656"/>
        <w:spacing w:after="0" w:line="287" w:lineRule="auto"/>
        <w:tabs>
          <w:tab w:leader="none" w:pos="1276"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Advances</w:t>
      </w:r>
      <w:r>
        <w:rPr>
          <w:rFonts w:ascii="Arial" w:cs="Arial" w:eastAsia="Arial" w:hAnsi="Arial"/>
          <w:sz w:val="16"/>
          <w:szCs w:val="16"/>
          <w:color w:val="auto"/>
        </w:rPr>
        <w:t xml:space="preserve">. On failure of any Pledgor to perform any of the covenants and agreements contained herein or in any other Loan Document, the Administrative Agent may, at its sole option and in its sole discretion, perform the same and in so doing may expend such sums as the Administrative Agent may reasonably deem advisable in the performance thereof, including, without limitation, the payment of any insurance premiums, the payment of any taxes, a payment to obtain a release of a Lien or potential Lien, expenditures made in defending against any adverse claim and all other expenditures that the Administrative Agent may make for the protection of the security hereof or may be compelled to make by operation of law. All such sums and amounts so expended shall be repayable by the Pledgors on a joint and several basis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promptly upon timely notice thereof and demand therefor, shall constitute additional Secured Obligations and shall bear interest from the date said amounts are expended at the Default Rate. No such performance of any covenant or agreement by the Administrative Agent on behalf of any Pledgor, and no such advance or expenditure therefor, shall relieve the Pledgors of any Default or Event of Default. The Administrative Agent may make any payment hereby authorized in accordance with any bill, statement or estimate procured from the appropriate public office or holder of the claim to be discharged without inquiry into the accuracy of such bill, statement or estimate or into the validity of any tax assessment, sale, forfeiture, tax lien, title or claim except to the extent such payment is being contested in good faith by a Pledgor in appropriate proceedings and against which adequate reserves are being maintained in accordance with GAAP.</w:t>
      </w:r>
    </w:p>
    <w:p>
      <w:pPr>
        <w:spacing w:after="0" w:line="168" w:lineRule="exact"/>
        <w:rPr>
          <w:rFonts w:ascii="Arial" w:cs="Arial" w:eastAsia="Arial" w:hAnsi="Arial"/>
          <w:sz w:val="16"/>
          <w:szCs w:val="16"/>
          <w:color w:val="auto"/>
        </w:rPr>
      </w:pPr>
    </w:p>
    <w:p>
      <w:pPr>
        <w:ind w:left="1280" w:hanging="644"/>
        <w:spacing w:after="0"/>
        <w:tabs>
          <w:tab w:leader="none" w:pos="128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360" w:firstLine="645"/>
        <w:spacing w:after="0" w:line="342" w:lineRule="auto"/>
        <w:tabs>
          <w:tab w:leader="none" w:pos="1934"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General Remedies</w:t>
      </w:r>
      <w:r>
        <w:rPr>
          <w:rFonts w:ascii="Arial" w:cs="Arial" w:eastAsia="Arial" w:hAnsi="Arial"/>
          <w:sz w:val="16"/>
          <w:szCs w:val="16"/>
          <w:color w:val="auto"/>
        </w:rPr>
        <w:t>. Upon the occurrence of an Event of Default and during the continuation thereof, the Administrative Agent shall have, in addition to the rights and remedies provided herein, in the Loan Documents, in any other documents relating to the Secured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Obligations, or by law (including, without limitation, levy of attachment and garnishment), the rights and remedies of a secured party under the Uniform Commercial Code of the jurisdiction applicable to the affected Pledged Collateral.</w:t>
      </w:r>
    </w:p>
    <w:p>
      <w:pPr>
        <w:spacing w:after="0" w:line="170" w:lineRule="exact"/>
        <w:rPr>
          <w:sz w:val="20"/>
          <w:szCs w:val="20"/>
          <w:color w:val="auto"/>
        </w:rPr>
      </w:pPr>
    </w:p>
    <w:p>
      <w:pPr>
        <w:ind w:left="640" w:firstLine="645"/>
        <w:spacing w:after="0" w:line="290" w:lineRule="auto"/>
        <w:tabs>
          <w:tab w:leader="none" w:pos="1944"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Sale of Pledged Collateral</w:t>
      </w:r>
      <w:r>
        <w:rPr>
          <w:rFonts w:ascii="Arial" w:cs="Arial" w:eastAsia="Arial" w:hAnsi="Arial"/>
          <w:sz w:val="16"/>
          <w:szCs w:val="16"/>
          <w:color w:val="auto"/>
        </w:rPr>
        <w:t xml:space="preserve">. Upon the occurrence of an Event of Default and during the continuation thereof, without limiting the generality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without notice, the Administrative Agent may, in its sole discretion, sell or otherwise dispose of or realize upon the Pledged Collateral, or any part thereof, in one or more parcels, at public or private sale, at any exchange or broker’s board or elsewhere, at such price or prices and on such other terms as the Administrative Agent may deem commercially reasonable, for cash, credit or for future delivery or otherwise in accordance with applicable law. To the extent permitted by law, any Secured Party may in such event, bid for the purchase of such securities. Each Pledgor agrees that, to the extent notice of sale shall be required by law and has not been waived by such Pledgor, any requirement of reasonable notice shall be met if notice, specifying the place of any public sale or the time after which any private sale is to be made, is personally served on or mailed, postage prepaid, to such Pledgor, in accordance with the notice provisions of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of the Credit Agreement at least ten</w:t>
      </w:r>
    </w:p>
    <w:p>
      <w:pPr>
        <w:sectPr>
          <w:pgSz w:w="11900" w:h="16933" w:orient="portrait"/>
          <w:cols w:equalWidth="0" w:num="1">
            <w:col w:w="11400"/>
          </w:cols>
          <w:pgMar w:left="260" w:top="125" w:right="239" w:bottom="0" w:gutter="0" w:footer="0" w:header="0"/>
        </w:sectPr>
      </w:pPr>
    </w:p>
    <w:bookmarkStart w:id="119" w:name="page120"/>
    <w:bookmarkEnd w:id="119"/>
    <w:p>
      <w:pPr>
        <w:ind w:left="4" w:right="300" w:hanging="4"/>
        <w:spacing w:after="0" w:line="259" w:lineRule="auto"/>
        <w:tabs>
          <w:tab w:leader="none" w:pos="34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Business Days before the time of such sale. The Administrative Agent shall not be obligated to make any sale of Pledged Collateral of such Pledgor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186" w:lineRule="exact"/>
        <w:rPr>
          <w:rFonts w:ascii="Arial" w:cs="Arial" w:eastAsia="Arial" w:hAnsi="Arial"/>
          <w:sz w:val="18"/>
          <w:szCs w:val="18"/>
          <w:color w:val="auto"/>
        </w:rPr>
      </w:pPr>
    </w:p>
    <w:p>
      <w:pPr>
        <w:ind w:left="4" w:firstLine="645"/>
        <w:spacing w:after="0" w:line="286" w:lineRule="auto"/>
        <w:tabs>
          <w:tab w:leader="none" w:pos="1311" w:val="left"/>
        </w:tabs>
        <w:numPr>
          <w:ilvl w:val="1"/>
          <w:numId w:val="261"/>
        </w:numPr>
        <w:rPr>
          <w:rFonts w:ascii="Arial" w:cs="Arial" w:eastAsia="Arial" w:hAnsi="Arial"/>
          <w:sz w:val="16"/>
          <w:szCs w:val="16"/>
          <w:color w:val="auto"/>
        </w:rPr>
      </w:pPr>
      <w:r>
        <w:rPr>
          <w:rFonts w:ascii="Arial" w:cs="Arial" w:eastAsia="Arial" w:hAnsi="Arial"/>
          <w:sz w:val="16"/>
          <w:szCs w:val="16"/>
          <w:u w:val="single" w:color="auto"/>
          <w:color w:val="auto"/>
        </w:rPr>
        <w:t>Private Sale</w:t>
      </w:r>
      <w:r>
        <w:rPr>
          <w:rFonts w:ascii="Arial" w:cs="Arial" w:eastAsia="Arial" w:hAnsi="Arial"/>
          <w:sz w:val="16"/>
          <w:szCs w:val="16"/>
          <w:color w:val="auto"/>
        </w:rPr>
        <w:t>. Upon the occurrence of an Event of Default and during the continuation thereof, the Pledgors recognize that the Administrative Agent may be unable or deem it impracticable to effect a public sale of all or any part of the Pledged Shares or any of the securities constituting Pledged Collateral and that the Administrative Agent may, therefore, determine to make one or more private sales of any such Pledged Collateral to a restricted group of purchasers who will be obligated to agree, among other things, to acquire such Pledged Collateral for their own account, for investment and not with a view to the distribution or resale thereof. Each Pledgor acknowledges and agrees that any such private sale may be at prices and on other terms less favorable than the prices and other terms that might have been obtained at a public sale and, notwithstanding the foregoing, agrees that such private sale shall be deemed to have been made in a commercially reasonable manner and that the Administrative Agent shall have no obligation to delay sale of any such Pledged Collateral for the period of time necessary to permit the issuer of such Pledged Collateral to register such Pledged Collateral for public sale under the Securities Act or under applicable state securities laws. Each Pledgor further acknowledges and agrees that any offer to sell such Pledged Collateral that has been publicly advertised on a bona fide basis in a newspaper or other publication of general circulation in the financial community of New York, New York (to the extent that such offer may be advertised without prior registration under the Securities Act) shall be deemed to involve a “public sale” under the UCC, notwithstanding that such sale may not constitute a “public offering” under the Securities Act, and the Administrative Agent may, in such event, bid for the purchase of such Pledged Collateral.</w:t>
      </w:r>
    </w:p>
    <w:p>
      <w:pPr>
        <w:spacing w:after="0" w:line="174" w:lineRule="exact"/>
        <w:rPr>
          <w:rFonts w:ascii="Arial" w:cs="Arial" w:eastAsia="Arial" w:hAnsi="Arial"/>
          <w:sz w:val="16"/>
          <w:szCs w:val="16"/>
          <w:color w:val="auto"/>
        </w:rPr>
      </w:pPr>
    </w:p>
    <w:p>
      <w:pPr>
        <w:ind w:left="4" w:right="80" w:firstLine="645"/>
        <w:spacing w:after="0" w:line="259" w:lineRule="auto"/>
        <w:tabs>
          <w:tab w:leader="none" w:pos="1308"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Retention of Pledged Collateral</w:t>
      </w:r>
      <w:r>
        <w:rPr>
          <w:rFonts w:ascii="Arial" w:cs="Arial" w:eastAsia="Arial" w:hAnsi="Arial"/>
          <w:sz w:val="18"/>
          <w:szCs w:val="18"/>
          <w:color w:val="auto"/>
        </w:rPr>
        <w:t>. To the extent permitted by applicable law, in addition to the rights and remedies hereunder, upon the occurrence of an Event of Default and during the continuation thereof, the Administrative Agent may, after providing the notices required by Sections 9-620 and 9-621 of the UCC (or any successor section) or otherwise complying with the requirements of applicable law of the relevant jurisdiction, retain all or any</w:t>
      </w:r>
    </w:p>
    <w:p>
      <w:pPr>
        <w:spacing w:after="0" w:line="18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0"/>
        <w:spacing w:after="0" w:line="264" w:lineRule="auto"/>
        <w:rPr>
          <w:sz w:val="20"/>
          <w:szCs w:val="20"/>
          <w:color w:val="auto"/>
        </w:rPr>
      </w:pPr>
      <w:r>
        <w:rPr>
          <w:rFonts w:ascii="Arial" w:cs="Arial" w:eastAsia="Arial" w:hAnsi="Arial"/>
          <w:sz w:val="18"/>
          <w:szCs w:val="18"/>
          <w:color w:val="auto"/>
        </w:rPr>
        <w:t>portion of the Pledged Collateral in satisfaction of the Secured Obligations. Unless and until the Administrative Agent shall have provided such notices, however, the Administrative Agent shall not be deemed to have retained any Pledged Collateral in satisfaction of any Secured Obligations for any reason.</w:t>
      </w:r>
    </w:p>
    <w:p>
      <w:pPr>
        <w:spacing w:after="0" w:line="181" w:lineRule="exact"/>
        <w:rPr>
          <w:sz w:val="20"/>
          <w:szCs w:val="20"/>
          <w:color w:val="auto"/>
        </w:rPr>
      </w:pPr>
    </w:p>
    <w:p>
      <w:pPr>
        <w:ind w:left="4" w:right="40" w:firstLine="645"/>
        <w:spacing w:after="0" w:line="257" w:lineRule="auto"/>
        <w:tabs>
          <w:tab w:leader="none" w:pos="1311"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Deficiency</w:t>
      </w:r>
      <w:r>
        <w:rPr>
          <w:rFonts w:ascii="Arial" w:cs="Arial" w:eastAsia="Arial" w:hAnsi="Arial"/>
          <w:sz w:val="18"/>
          <w:szCs w:val="18"/>
          <w:color w:val="auto"/>
        </w:rPr>
        <w:t xml:space="preserve">. In the event that the proceeds of any sale, collection or realization are insufficient to pay all amounts to which the Administrative Agent or the Secured Parties are legally entitled, the Pledgors shall be jointly and severally liable (subject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for the deficiency, together with interest thereon at the Default Rate, together with the costs of collection and the reasonable fees, charges and disbursements of counsel. Any surplus remaining after the full payment and satisfaction of the Secured Obligations shall be returned to the Pledgors or to whomsoever a court of competent jurisdiction shall determine to be entitled thereto.</w:t>
      </w:r>
    </w:p>
    <w:p>
      <w:pPr>
        <w:spacing w:after="0" w:line="188" w:lineRule="exact"/>
        <w:rPr>
          <w:rFonts w:ascii="Arial" w:cs="Arial" w:eastAsia="Arial" w:hAnsi="Arial"/>
          <w:sz w:val="18"/>
          <w:szCs w:val="18"/>
          <w:color w:val="auto"/>
        </w:rPr>
      </w:pPr>
    </w:p>
    <w:p>
      <w:pPr>
        <w:ind w:left="644" w:hanging="644"/>
        <w:spacing w:after="0"/>
        <w:tabs>
          <w:tab w:leader="none" w:pos="644"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Rights of the Administrative Agent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645"/>
        <w:spacing w:after="0" w:line="264" w:lineRule="auto"/>
        <w:tabs>
          <w:tab w:leader="none" w:pos="1297"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Power of Attorney</w:t>
      </w:r>
      <w:r>
        <w:rPr>
          <w:rFonts w:ascii="Arial" w:cs="Arial" w:eastAsia="Arial" w:hAnsi="Arial"/>
          <w:sz w:val="18"/>
          <w:szCs w:val="18"/>
          <w:color w:val="auto"/>
        </w:rPr>
        <w:t>. Each Pledgor hereby designates and appoints the Administrative Agent, on behalf of the Secured Parties, and each of its designees or agents, as attorney-in-fact of such Pledgor, irrevocably and with power of substitution, with authority to take any or all of the following actions upon the occurrence and during the continuation of an Event of Default:</w:t>
      </w:r>
    </w:p>
    <w:p>
      <w:pPr>
        <w:spacing w:after="0" w:line="181" w:lineRule="exact"/>
        <w:rPr>
          <w:rFonts w:ascii="Arial" w:cs="Arial" w:eastAsia="Arial" w:hAnsi="Arial"/>
          <w:sz w:val="18"/>
          <w:szCs w:val="18"/>
          <w:color w:val="auto"/>
        </w:rPr>
      </w:pPr>
    </w:p>
    <w:p>
      <w:pPr>
        <w:ind w:left="644" w:right="40" w:firstLine="653"/>
        <w:spacing w:after="0" w:line="277" w:lineRule="auto"/>
        <w:tabs>
          <w:tab w:leader="none" w:pos="1962" w:val="left"/>
        </w:tabs>
        <w:numPr>
          <w:ilvl w:val="2"/>
          <w:numId w:val="263"/>
        </w:numPr>
        <w:rPr>
          <w:rFonts w:ascii="Arial" w:cs="Arial" w:eastAsia="Arial" w:hAnsi="Arial"/>
          <w:sz w:val="18"/>
          <w:szCs w:val="18"/>
          <w:color w:val="auto"/>
        </w:rPr>
      </w:pPr>
      <w:r>
        <w:rPr>
          <w:rFonts w:ascii="Arial" w:cs="Arial" w:eastAsia="Arial" w:hAnsi="Arial"/>
          <w:sz w:val="18"/>
          <w:szCs w:val="18"/>
          <w:color w:val="auto"/>
        </w:rPr>
        <w:t>to demand, collect, settle, compromise and adjust, and give discharges and releases concerning the Pledged Collateral, all as the Administrative Agent may deem reasonably appropriate;</w:t>
      </w:r>
    </w:p>
    <w:p>
      <w:pPr>
        <w:spacing w:after="0" w:line="170" w:lineRule="exact"/>
        <w:rPr>
          <w:rFonts w:ascii="Arial" w:cs="Arial" w:eastAsia="Arial" w:hAnsi="Arial"/>
          <w:sz w:val="18"/>
          <w:szCs w:val="18"/>
          <w:color w:val="auto"/>
        </w:rPr>
      </w:pPr>
    </w:p>
    <w:p>
      <w:pPr>
        <w:ind w:left="644" w:right="400" w:firstLine="653"/>
        <w:spacing w:after="0" w:line="277" w:lineRule="auto"/>
        <w:tabs>
          <w:tab w:leader="none" w:pos="1971" w:val="left"/>
        </w:tabs>
        <w:numPr>
          <w:ilvl w:val="2"/>
          <w:numId w:val="263"/>
        </w:numPr>
        <w:rPr>
          <w:rFonts w:ascii="Arial" w:cs="Arial" w:eastAsia="Arial" w:hAnsi="Arial"/>
          <w:sz w:val="18"/>
          <w:szCs w:val="18"/>
          <w:color w:val="auto"/>
        </w:rPr>
      </w:pPr>
      <w:r>
        <w:rPr>
          <w:rFonts w:ascii="Arial" w:cs="Arial" w:eastAsia="Arial" w:hAnsi="Arial"/>
          <w:sz w:val="18"/>
          <w:szCs w:val="18"/>
          <w:color w:val="auto"/>
        </w:rPr>
        <w:t>to commence and prosecute any actions at any court for the purposes of collecting any of the Pledged Collateral and enforcing any other right in respect thereof;</w:t>
      </w:r>
    </w:p>
    <w:p>
      <w:pPr>
        <w:spacing w:after="0" w:line="170" w:lineRule="exact"/>
        <w:rPr>
          <w:rFonts w:ascii="Arial" w:cs="Arial" w:eastAsia="Arial" w:hAnsi="Arial"/>
          <w:sz w:val="18"/>
          <w:szCs w:val="18"/>
          <w:color w:val="auto"/>
        </w:rPr>
      </w:pPr>
    </w:p>
    <w:p>
      <w:pPr>
        <w:ind w:left="644" w:right="20" w:firstLine="653"/>
        <w:spacing w:after="0" w:line="277" w:lineRule="auto"/>
        <w:tabs>
          <w:tab w:leader="none" w:pos="1981" w:val="left"/>
        </w:tabs>
        <w:numPr>
          <w:ilvl w:val="2"/>
          <w:numId w:val="263"/>
        </w:numPr>
        <w:rPr>
          <w:rFonts w:ascii="Arial" w:cs="Arial" w:eastAsia="Arial" w:hAnsi="Arial"/>
          <w:sz w:val="18"/>
          <w:szCs w:val="18"/>
          <w:color w:val="auto"/>
        </w:rPr>
      </w:pPr>
      <w:r>
        <w:rPr>
          <w:rFonts w:ascii="Arial" w:cs="Arial" w:eastAsia="Arial" w:hAnsi="Arial"/>
          <w:sz w:val="18"/>
          <w:szCs w:val="18"/>
          <w:color w:val="auto"/>
        </w:rPr>
        <w:t>to defend, settle or compromise any action brought in respect of the Pledged Collateral and, in connection therewith, give such discharge or release as the Administrative Agent may deem reasonably appropriate;</w:t>
      </w:r>
    </w:p>
    <w:p>
      <w:pPr>
        <w:spacing w:after="0" w:line="170" w:lineRule="exact"/>
        <w:rPr>
          <w:rFonts w:ascii="Arial" w:cs="Arial" w:eastAsia="Arial" w:hAnsi="Arial"/>
          <w:sz w:val="18"/>
          <w:szCs w:val="18"/>
          <w:color w:val="auto"/>
        </w:rPr>
      </w:pPr>
    </w:p>
    <w:p>
      <w:pPr>
        <w:ind w:left="644" w:right="340" w:firstLine="653"/>
        <w:spacing w:after="0" w:line="277" w:lineRule="auto"/>
        <w:tabs>
          <w:tab w:leader="none" w:pos="1957" w:val="left"/>
        </w:tabs>
        <w:numPr>
          <w:ilvl w:val="2"/>
          <w:numId w:val="263"/>
        </w:numPr>
        <w:rPr>
          <w:rFonts w:ascii="Arial" w:cs="Arial" w:eastAsia="Arial" w:hAnsi="Arial"/>
          <w:sz w:val="18"/>
          <w:szCs w:val="18"/>
          <w:color w:val="auto"/>
        </w:rPr>
      </w:pPr>
      <w:r>
        <w:rPr>
          <w:rFonts w:ascii="Arial" w:cs="Arial" w:eastAsia="Arial" w:hAnsi="Arial"/>
          <w:sz w:val="18"/>
          <w:szCs w:val="18"/>
          <w:color w:val="auto"/>
        </w:rPr>
        <w:t>to pay or discharge taxes, liens, security interests or other encumbrances levied or placed on or threatened against the Pledged Collateral;</w:t>
      </w:r>
    </w:p>
    <w:p>
      <w:pPr>
        <w:spacing w:after="0" w:line="170" w:lineRule="exact"/>
        <w:rPr>
          <w:rFonts w:ascii="Arial" w:cs="Arial" w:eastAsia="Arial" w:hAnsi="Arial"/>
          <w:sz w:val="18"/>
          <w:szCs w:val="18"/>
          <w:color w:val="auto"/>
        </w:rPr>
      </w:pPr>
    </w:p>
    <w:p>
      <w:pPr>
        <w:ind w:left="644" w:right="80" w:firstLine="653"/>
        <w:spacing w:after="0" w:line="308" w:lineRule="auto"/>
        <w:tabs>
          <w:tab w:leader="none" w:pos="1947" w:val="left"/>
        </w:tabs>
        <w:numPr>
          <w:ilvl w:val="2"/>
          <w:numId w:val="263"/>
        </w:numPr>
        <w:rPr>
          <w:rFonts w:ascii="Arial" w:cs="Arial" w:eastAsia="Arial" w:hAnsi="Arial"/>
          <w:sz w:val="17"/>
          <w:szCs w:val="17"/>
          <w:color w:val="auto"/>
        </w:rPr>
      </w:pPr>
      <w:r>
        <w:rPr>
          <w:rFonts w:ascii="Arial" w:cs="Arial" w:eastAsia="Arial" w:hAnsi="Arial"/>
          <w:sz w:val="17"/>
          <w:szCs w:val="17"/>
          <w:color w:val="auto"/>
        </w:rPr>
        <w:t>to direct any parties liable for any payment in connection with any of the Pledged Collateral to make payment of any and all monies due and to become due thereunder directly to the Administrative Agent or as the Administrative Agent shall direct;</w:t>
      </w:r>
    </w:p>
    <w:p>
      <w:pPr>
        <w:spacing w:after="0" w:line="146" w:lineRule="exact"/>
        <w:rPr>
          <w:rFonts w:ascii="Arial" w:cs="Arial" w:eastAsia="Arial" w:hAnsi="Arial"/>
          <w:sz w:val="17"/>
          <w:szCs w:val="17"/>
          <w:color w:val="auto"/>
        </w:rPr>
      </w:pPr>
    </w:p>
    <w:p>
      <w:pPr>
        <w:ind w:left="644" w:right="60" w:firstLine="653"/>
        <w:spacing w:after="0" w:line="277" w:lineRule="auto"/>
        <w:tabs>
          <w:tab w:leader="none" w:pos="1957" w:val="left"/>
        </w:tabs>
        <w:numPr>
          <w:ilvl w:val="2"/>
          <w:numId w:val="263"/>
        </w:numPr>
        <w:rPr>
          <w:rFonts w:ascii="Arial" w:cs="Arial" w:eastAsia="Arial" w:hAnsi="Arial"/>
          <w:sz w:val="18"/>
          <w:szCs w:val="18"/>
          <w:color w:val="auto"/>
        </w:rPr>
      </w:pPr>
      <w:r>
        <w:rPr>
          <w:rFonts w:ascii="Arial" w:cs="Arial" w:eastAsia="Arial" w:hAnsi="Arial"/>
          <w:sz w:val="18"/>
          <w:szCs w:val="18"/>
          <w:color w:val="auto"/>
        </w:rPr>
        <w:t>to receive payment of and receipt for any and all monies, claims and other amounts due and to become due at any time in respect of or arising out of any Pledged Collateral;</w:t>
      </w:r>
    </w:p>
    <w:p>
      <w:pPr>
        <w:spacing w:after="0" w:line="170" w:lineRule="exact"/>
        <w:rPr>
          <w:rFonts w:ascii="Arial" w:cs="Arial" w:eastAsia="Arial" w:hAnsi="Arial"/>
          <w:sz w:val="18"/>
          <w:szCs w:val="18"/>
          <w:color w:val="auto"/>
        </w:rPr>
      </w:pPr>
    </w:p>
    <w:p>
      <w:pPr>
        <w:ind w:left="644" w:right="80" w:firstLine="653"/>
        <w:spacing w:after="0" w:line="277" w:lineRule="auto"/>
        <w:tabs>
          <w:tab w:leader="none" w:pos="1966" w:val="left"/>
        </w:tabs>
        <w:numPr>
          <w:ilvl w:val="2"/>
          <w:numId w:val="263"/>
        </w:numPr>
        <w:rPr>
          <w:rFonts w:ascii="Arial" w:cs="Arial" w:eastAsia="Arial" w:hAnsi="Arial"/>
          <w:sz w:val="18"/>
          <w:szCs w:val="18"/>
          <w:color w:val="auto"/>
        </w:rPr>
      </w:pPr>
      <w:r>
        <w:rPr>
          <w:rFonts w:ascii="Arial" w:cs="Arial" w:eastAsia="Arial" w:hAnsi="Arial"/>
          <w:sz w:val="18"/>
          <w:szCs w:val="18"/>
          <w:color w:val="auto"/>
        </w:rPr>
        <w:t>to sign and endorse any drafts, assignments, proxies, stock powers, verifications, notices and other documents relating to the Pledged Collateral;</w:t>
      </w:r>
    </w:p>
    <w:p>
      <w:pPr>
        <w:spacing w:after="0" w:line="170" w:lineRule="exact"/>
        <w:rPr>
          <w:rFonts w:ascii="Arial" w:cs="Arial" w:eastAsia="Arial" w:hAnsi="Arial"/>
          <w:sz w:val="18"/>
          <w:szCs w:val="18"/>
          <w:color w:val="auto"/>
        </w:rPr>
      </w:pPr>
    </w:p>
    <w:p>
      <w:pPr>
        <w:ind w:left="644" w:right="360" w:firstLine="653"/>
        <w:spacing w:after="0" w:line="277" w:lineRule="auto"/>
        <w:tabs>
          <w:tab w:leader="none" w:pos="1976" w:val="left"/>
        </w:tabs>
        <w:numPr>
          <w:ilvl w:val="2"/>
          <w:numId w:val="263"/>
        </w:numPr>
        <w:rPr>
          <w:rFonts w:ascii="Arial" w:cs="Arial" w:eastAsia="Arial" w:hAnsi="Arial"/>
          <w:sz w:val="18"/>
          <w:szCs w:val="18"/>
          <w:color w:val="auto"/>
        </w:rPr>
      </w:pPr>
      <w:r>
        <w:rPr>
          <w:rFonts w:ascii="Arial" w:cs="Arial" w:eastAsia="Arial" w:hAnsi="Arial"/>
          <w:sz w:val="18"/>
          <w:szCs w:val="18"/>
          <w:color w:val="auto"/>
        </w:rPr>
        <w:t>to execute and deliver all assignments, conveyances, statements, financing statements, renewal financing statements, security and pledge agreements,</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20"/>
        <w:spacing w:after="0" w:line="264" w:lineRule="auto"/>
        <w:rPr>
          <w:sz w:val="20"/>
          <w:szCs w:val="20"/>
          <w:color w:val="auto"/>
        </w:rPr>
      </w:pPr>
      <w:r>
        <w:rPr>
          <w:rFonts w:ascii="Arial" w:cs="Arial" w:eastAsia="Arial" w:hAnsi="Arial"/>
          <w:sz w:val="18"/>
          <w:szCs w:val="18"/>
          <w:color w:val="auto"/>
        </w:rPr>
        <w:t>affidavits, notices and other agreements, instruments and documents that the Administrative Agent may deem reasonably appropriate in order to perfect and maintain the security interests and liens granted in this Pledge Agreement and in order to fully consummate all of the transactions contemplated therein;</w:t>
      </w:r>
    </w:p>
    <w:p>
      <w:pPr>
        <w:sectPr>
          <w:pgSz w:w="11900" w:h="16838" w:orient="portrait"/>
          <w:cols w:equalWidth="0" w:num="1">
            <w:col w:w="10744"/>
          </w:cols>
          <w:pgMar w:left="896" w:top="125" w:right="259" w:bottom="0" w:gutter="0" w:footer="0" w:header="0"/>
        </w:sectPr>
      </w:pPr>
    </w:p>
    <w:bookmarkStart w:id="120" w:name="page121"/>
    <w:bookmarkEnd w:id="120"/>
    <w:p>
      <w:pPr>
        <w:ind w:left="1960" w:hanging="667"/>
        <w:spacing w:after="0"/>
        <w:tabs>
          <w:tab w:leader="none" w:pos="19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to institute any foreclosure proceedings that the Administrative Agent may deem appropriate;</w:t>
      </w:r>
    </w:p>
    <w:p>
      <w:pPr>
        <w:spacing w:after="0" w:line="225" w:lineRule="exact"/>
        <w:rPr>
          <w:rFonts w:ascii="Arial" w:cs="Arial" w:eastAsia="Arial" w:hAnsi="Arial"/>
          <w:sz w:val="18"/>
          <w:szCs w:val="18"/>
          <w:color w:val="auto"/>
        </w:rPr>
      </w:pPr>
    </w:p>
    <w:p>
      <w:pPr>
        <w:ind w:left="640" w:right="420" w:firstLine="653"/>
        <w:spacing w:after="0" w:line="259" w:lineRule="auto"/>
        <w:tabs>
          <w:tab w:leader="none" w:pos="194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to exchange any of the Pledged Collateral or other property upon any merger, consolidation, reorganization, recapitalization or other readjustment of the issuer thereof and, in connection therewith, deposit any of the Pledged Collateral with any committee, depository, transfer agent, registrar or other designated agency upon such terms as the Administrative Agent may deem reasonably appropriate;</w:t>
      </w:r>
    </w:p>
    <w:p>
      <w:pPr>
        <w:spacing w:after="0" w:line="186" w:lineRule="exact"/>
        <w:rPr>
          <w:rFonts w:ascii="Arial" w:cs="Arial" w:eastAsia="Arial" w:hAnsi="Arial"/>
          <w:sz w:val="18"/>
          <w:szCs w:val="18"/>
          <w:color w:val="auto"/>
        </w:rPr>
      </w:pPr>
    </w:p>
    <w:p>
      <w:pPr>
        <w:jc w:val="both"/>
        <w:ind w:left="640" w:firstLine="653"/>
        <w:spacing w:after="0" w:line="264" w:lineRule="auto"/>
        <w:tabs>
          <w:tab w:leader="none" w:pos="195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to vote for a shareholder or member resolution, or to sign an instrument in writing, sanctioning the transfer of any or all of the Pledged Collateral into the name of the Administrative Agent or one or more of the Secured Parties or into the name of any transferee to whom the Pledged Collateral or any part thereof may be sold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and</w:t>
      </w:r>
    </w:p>
    <w:p>
      <w:pPr>
        <w:spacing w:after="0" w:line="181" w:lineRule="exact"/>
        <w:rPr>
          <w:rFonts w:ascii="Arial" w:cs="Arial" w:eastAsia="Arial" w:hAnsi="Arial"/>
          <w:sz w:val="18"/>
          <w:szCs w:val="18"/>
          <w:color w:val="auto"/>
        </w:rPr>
      </w:pPr>
    </w:p>
    <w:p>
      <w:pPr>
        <w:ind w:left="640" w:right="740" w:firstLine="653"/>
        <w:spacing w:after="0" w:line="277" w:lineRule="auto"/>
        <w:tabs>
          <w:tab w:leader="none" w:pos="196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to do and perform all such other acts and things as the Administrative Agent may deem reasonably necessary or appropriate in connection with the Pledged Collateral.</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This power of attorney is a power coupled with an interest and shall be irrevocable for so long as any of the Secured Obligations (other than contingent indemnification obligations for which no claim has been asserted) shall remain outstanding and until all of the Commitments relating thereto shall have been terminated. The Administrative Agent shall be under no duty to exercise or withhold the exercise of any of the rights, powers, privileges and options expressly or implicitly granted to the Administrative Agent in this Pledge Agreement, and shall not be liable for any failure to do so or any delay in doing so. The Administrative Agent shall not be liable for any act or omission or for any error of judgment or any mistake of fact or law in its individual capacity or its capacity as attorney-in-fact except acts or omissions resulting from its gross negligence or willful misconduct. This power of attorney is conferred on the Administrative Agent solely to protect, preserve and realize upon its security interest in the Pledged Collateral.</w:t>
      </w:r>
    </w:p>
    <w:p>
      <w:pPr>
        <w:spacing w:after="0" w:line="192" w:lineRule="exact"/>
        <w:rPr>
          <w:sz w:val="20"/>
          <w:szCs w:val="20"/>
          <w:color w:val="auto"/>
        </w:rPr>
      </w:pPr>
    </w:p>
    <w:p>
      <w:pPr>
        <w:ind w:right="120" w:firstLine="645"/>
        <w:spacing w:after="0" w:line="264" w:lineRule="auto"/>
        <w:tabs>
          <w:tab w:leader="none" w:pos="1304"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Assignment by the Administrative Agent</w:t>
      </w:r>
      <w:r>
        <w:rPr>
          <w:rFonts w:ascii="Arial" w:cs="Arial" w:eastAsia="Arial" w:hAnsi="Arial"/>
          <w:sz w:val="18"/>
          <w:szCs w:val="18"/>
          <w:color w:val="auto"/>
        </w:rPr>
        <w:t>. The Administrative Agent may from time to time assign the Secured Obligations to a successor administrative agent in accordance with the Credit Agreement, and such successor shall be entitled to all of the rights and remedies of the Administrative Agent under this Pledge Agreement in relation thereto.</w:t>
      </w:r>
    </w:p>
    <w:p>
      <w:pPr>
        <w:spacing w:after="0" w:line="181" w:lineRule="exact"/>
        <w:rPr>
          <w:rFonts w:ascii="Arial" w:cs="Arial" w:eastAsia="Arial" w:hAnsi="Arial"/>
          <w:sz w:val="18"/>
          <w:szCs w:val="18"/>
          <w:color w:val="auto"/>
        </w:rPr>
      </w:pPr>
    </w:p>
    <w:p>
      <w:pPr>
        <w:ind w:right="40" w:firstLine="645"/>
        <w:spacing w:after="0" w:line="293" w:lineRule="auto"/>
        <w:tabs>
          <w:tab w:leader="none" w:pos="1307"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The Administrative Agent’s Duty of Care</w:t>
      </w:r>
      <w:r>
        <w:rPr>
          <w:rFonts w:ascii="Arial" w:cs="Arial" w:eastAsia="Arial" w:hAnsi="Arial"/>
          <w:sz w:val="16"/>
          <w:szCs w:val="16"/>
          <w:color w:val="auto"/>
        </w:rPr>
        <w:t>. Other than the exercise of reasonable care to assure the safe custody of the Pledged Collateral while being held by the Administrative Agent hereunder and to account for all proceeds thereof, the Administrative Agent shall have no duty or liability to preserve rights pertaining thereto, it being understood and agreed that the Pledgors shall be responsible for preservation of all rights in the Pledged Collateral, and the Administrative Agent shall be relieved of all responsibility for the Pledged Collateral upon surrendering it or tendering the surrender of it to the Pledgors. The Administrative Agent shall be deemed to have exercised reasonable care in the custody and preservation of the Pledged Collateral in its possession if such Pledged Collateral is accorded treatment substantially equal to</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that which the Administrative Agent accords its own property, which shall be no less than the treatment employed by a reasonable and prudent agent in the industry, it being understood that the Administrative Agent shall not have responsibility for taking any necessary steps to preserve rights against any parties with respect to any of the Pledged Collateral. In the event of a public or private sale of the Pledged Collateral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the Administrative Agent shall have no responsibility for ascertaining or taking action with respect to calls, conversions, exchanges, maturities, tenders or other matters relating to any Pledged Collateral, whether or not the Administrative Agent has or is deemed to have knowledge of such matters.</w:t>
      </w:r>
    </w:p>
    <w:p>
      <w:pPr>
        <w:spacing w:after="0" w:line="193" w:lineRule="exact"/>
        <w:rPr>
          <w:sz w:val="20"/>
          <w:szCs w:val="20"/>
          <w:color w:val="auto"/>
        </w:rPr>
      </w:pPr>
    </w:p>
    <w:p>
      <w:pPr>
        <w:ind w:left="1300" w:hanging="655"/>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Voting Rights in Respect of the Pledged Collateral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140" w:firstLine="653"/>
        <w:spacing w:after="0" w:line="264" w:lineRule="auto"/>
        <w:tabs>
          <w:tab w:leader="none" w:pos="1958" w:val="left"/>
        </w:tabs>
        <w:numPr>
          <w:ilvl w:val="1"/>
          <w:numId w:val="266"/>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each Pledgor may exercise any and all voting and other consensual rights pertaining to the Pledged Collateral of such Pledgor or any part thereof for any purpose not inconsistent with the terms of this Pledge Agreement or the Credit Agreement; and</w:t>
      </w:r>
    </w:p>
    <w:p>
      <w:pPr>
        <w:spacing w:after="0" w:line="181" w:lineRule="exact"/>
        <w:rPr>
          <w:rFonts w:ascii="Arial" w:cs="Arial" w:eastAsia="Arial" w:hAnsi="Arial"/>
          <w:sz w:val="18"/>
          <w:szCs w:val="18"/>
          <w:color w:val="auto"/>
        </w:rPr>
      </w:pPr>
    </w:p>
    <w:p>
      <w:pPr>
        <w:ind w:left="640" w:right="80" w:firstLine="653"/>
        <w:spacing w:after="0" w:line="257" w:lineRule="auto"/>
        <w:tabs>
          <w:tab w:leader="none" w:pos="196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Upon the occurrence and during the continuance of an Event of Default, and delivery by the Administrative Agent to the applicable Pledgor of notice of its intent to exercise its rights under this </w:t>
      </w:r>
      <w:r>
        <w:rPr>
          <w:rFonts w:ascii="Arial" w:cs="Arial" w:eastAsia="Arial" w:hAnsi="Arial"/>
          <w:sz w:val="18"/>
          <w:szCs w:val="18"/>
          <w:u w:val="single" w:color="auto"/>
          <w:color w:val="auto"/>
        </w:rPr>
        <w:t>Section 9(d)</w:t>
      </w:r>
      <w:r>
        <w:rPr>
          <w:rFonts w:ascii="Arial" w:cs="Arial" w:eastAsia="Arial" w:hAnsi="Arial"/>
          <w:sz w:val="18"/>
          <w:szCs w:val="18"/>
          <w:color w:val="auto"/>
        </w:rPr>
        <w:t xml:space="preserve">, all rights of a Pledgor to exercise the voting and other consensual rights that it would otherwise be entitled to exercise pursuant to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of this subsection shall cease and all such rights shall thereupon become vested in the Administrative Agent, which shall then have the sole right to exercise such voting and other consensual rights.</w:t>
      </w:r>
    </w:p>
    <w:p>
      <w:pPr>
        <w:spacing w:after="0" w:line="188" w:lineRule="exact"/>
        <w:rPr>
          <w:rFonts w:ascii="Arial" w:cs="Arial" w:eastAsia="Arial" w:hAnsi="Arial"/>
          <w:sz w:val="18"/>
          <w:szCs w:val="18"/>
          <w:color w:val="auto"/>
        </w:rPr>
      </w:pPr>
    </w:p>
    <w:p>
      <w:pPr>
        <w:ind w:left="1300" w:hanging="655"/>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Dividend Rights in Respect of the Pledged Collateral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40" w:firstLine="653"/>
        <w:spacing w:after="0" w:line="259" w:lineRule="auto"/>
        <w:tabs>
          <w:tab w:leader="none" w:pos="1958"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have occurred and be continuing and subject to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hereof, each Pledgor may receive and retain any and all dividends and distributions (other than stock dividends and other dividends and distributions constituting Pledged Collateral addressed hereinabove) or interest paid in respect of the Pledged Collateral to the extent permitted under the Credit Agreement.</w:t>
      </w:r>
    </w:p>
    <w:p>
      <w:pPr>
        <w:spacing w:after="0" w:line="186" w:lineRule="exact"/>
        <w:rPr>
          <w:rFonts w:ascii="Arial" w:cs="Arial" w:eastAsia="Arial" w:hAnsi="Arial"/>
          <w:sz w:val="18"/>
          <w:szCs w:val="18"/>
          <w:color w:val="auto"/>
        </w:rPr>
      </w:pPr>
    </w:p>
    <w:p>
      <w:pPr>
        <w:ind w:left="640" w:right="100" w:firstLine="653"/>
        <w:spacing w:after="0" w:line="277" w:lineRule="auto"/>
        <w:tabs>
          <w:tab w:leader="none" w:pos="196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Upon the occurrence and during the continuance of an Event of Default, and delivery by the Administrative Agent to the applicable Pledgor of notice of its intent to exercise its rights under this </w:t>
      </w:r>
      <w:r>
        <w:rPr>
          <w:rFonts w:ascii="Arial" w:cs="Arial" w:eastAsia="Arial" w:hAnsi="Arial"/>
          <w:sz w:val="18"/>
          <w:szCs w:val="18"/>
          <w:u w:val="single" w:color="auto"/>
          <w:color w:val="auto"/>
        </w:rPr>
        <w:t>Section 9(e)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right="20" w:firstLine="641"/>
        <w:spacing w:after="0" w:line="259" w:lineRule="auto"/>
        <w:tabs>
          <w:tab w:leader="none" w:pos="2617" w:val="left"/>
        </w:tabs>
        <w:numPr>
          <w:ilvl w:val="2"/>
          <w:numId w:val="266"/>
        </w:numPr>
        <w:rPr>
          <w:rFonts w:ascii="Arial" w:cs="Arial" w:eastAsia="Arial" w:hAnsi="Arial"/>
          <w:sz w:val="18"/>
          <w:szCs w:val="18"/>
          <w:color w:val="auto"/>
        </w:rPr>
      </w:pPr>
      <w:r>
        <w:rPr>
          <w:rFonts w:ascii="Arial" w:cs="Arial" w:eastAsia="Arial" w:hAnsi="Arial"/>
          <w:sz w:val="18"/>
          <w:szCs w:val="18"/>
          <w:color w:val="auto"/>
        </w:rPr>
        <w:t xml:space="preserve">all rights of a Pledgor to receive the dividends, distributions and interest payments that it would otherwise be authorized to receive and retain pursuant to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of this subsection shall cease and all such rights shall thereupon be vested in the Administrative Agent, which shall then have the sole right to receive and hold as Pledged Collateral such dividends, distributions and interest payments; and</w:t>
      </w:r>
    </w:p>
    <w:p>
      <w:pPr>
        <w:spacing w:after="0" w:line="186" w:lineRule="exact"/>
        <w:rPr>
          <w:rFonts w:ascii="Arial" w:cs="Arial" w:eastAsia="Arial" w:hAnsi="Arial"/>
          <w:sz w:val="18"/>
          <w:szCs w:val="18"/>
          <w:color w:val="auto"/>
        </w:rPr>
      </w:pPr>
    </w:p>
    <w:p>
      <w:pPr>
        <w:ind w:left="2600" w:hanging="659"/>
        <w:spacing w:after="0"/>
        <w:tabs>
          <w:tab w:leader="none" w:pos="2600" w:val="left"/>
        </w:tabs>
        <w:numPr>
          <w:ilvl w:val="2"/>
          <w:numId w:val="266"/>
        </w:numPr>
        <w:rPr>
          <w:rFonts w:ascii="Arial" w:cs="Arial" w:eastAsia="Arial" w:hAnsi="Arial"/>
          <w:sz w:val="16"/>
          <w:szCs w:val="16"/>
          <w:color w:val="auto"/>
        </w:rPr>
      </w:pPr>
      <w:r>
        <w:rPr>
          <w:rFonts w:ascii="Arial" w:cs="Arial" w:eastAsia="Arial" w:hAnsi="Arial"/>
          <w:sz w:val="16"/>
          <w:szCs w:val="16"/>
          <w:color w:val="auto"/>
        </w:rPr>
        <w:t xml:space="preserve">all dividends and interest payments that are received by a Pledgor contrary to the provisions of </w:t>
      </w:r>
      <w:r>
        <w:rPr>
          <w:rFonts w:ascii="Arial" w:cs="Arial" w:eastAsia="Arial" w:hAnsi="Arial"/>
          <w:sz w:val="16"/>
          <w:szCs w:val="16"/>
          <w:u w:val="single" w:color="auto"/>
          <w:color w:val="auto"/>
        </w:rPr>
        <w:t>paragraph (ii)</w:t>
      </w:r>
    </w:p>
    <w:p>
      <w:pPr>
        <w:spacing w:after="0" w:line="46" w:lineRule="exact"/>
        <w:rPr>
          <w:rFonts w:ascii="Arial" w:cs="Arial" w:eastAsia="Arial" w:hAnsi="Arial"/>
          <w:sz w:val="16"/>
          <w:szCs w:val="16"/>
          <w:color w:val="auto"/>
        </w:rPr>
      </w:pPr>
    </w:p>
    <w:p>
      <w:pPr>
        <w:ind w:left="1300" w:right="4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(A)</w:t>
      </w:r>
      <w:r>
        <w:rPr>
          <w:rFonts w:ascii="Arial" w:cs="Arial" w:eastAsia="Arial" w:hAnsi="Arial"/>
          <w:sz w:val="16"/>
          <w:szCs w:val="16"/>
          <w:color w:val="auto"/>
        </w:rPr>
        <w:t xml:space="preserve"> of this subsection shall be received in trust for the benefit of the Administrative Agent, shall be segregated from other property or funds of such Pledgor, and shall be promptly paid over to the Administrative Agent as Pledged Collateral in the exact form</w:t>
      </w:r>
    </w:p>
    <w:p>
      <w:pPr>
        <w:sectPr>
          <w:pgSz w:w="11900" w:h="16838" w:orient="portrait"/>
          <w:cols w:equalWidth="0" w:num="1">
            <w:col w:w="10760"/>
          </w:cols>
          <w:pgMar w:left="900" w:top="125" w:right="239" w:bottom="0" w:gutter="0" w:footer="0" w:header="0"/>
        </w:sectPr>
      </w:pPr>
    </w:p>
    <w:bookmarkStart w:id="121" w:name="page122"/>
    <w:bookmarkEnd w:id="121"/>
    <w:p>
      <w:pPr>
        <w:ind w:left="1960" w:right="880"/>
        <w:spacing w:after="0" w:line="277" w:lineRule="auto"/>
        <w:rPr>
          <w:sz w:val="20"/>
          <w:szCs w:val="20"/>
          <w:color w:val="auto"/>
        </w:rPr>
      </w:pPr>
      <w:r>
        <w:rPr>
          <w:rFonts w:ascii="Arial" w:cs="Arial" w:eastAsia="Arial" w:hAnsi="Arial"/>
          <w:sz w:val="18"/>
          <w:szCs w:val="18"/>
          <w:color w:val="auto"/>
        </w:rPr>
        <w:t>received, to be held by the Administrative Agent as Pledged Collateral and as further collateral security for the Secured Obligations.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firstLine="645"/>
        <w:spacing w:after="0" w:line="272" w:lineRule="auto"/>
        <w:tabs>
          <w:tab w:leader="none" w:pos="1961" w:val="left"/>
        </w:tabs>
        <w:numPr>
          <w:ilvl w:val="1"/>
          <w:numId w:val="267"/>
        </w:numPr>
        <w:rPr>
          <w:rFonts w:ascii="Arial" w:cs="Arial" w:eastAsia="Arial" w:hAnsi="Arial"/>
          <w:sz w:val="17"/>
          <w:szCs w:val="17"/>
          <w:color w:val="auto"/>
        </w:rPr>
      </w:pPr>
      <w:r>
        <w:rPr>
          <w:rFonts w:ascii="Arial" w:cs="Arial" w:eastAsia="Arial" w:hAnsi="Arial"/>
          <w:sz w:val="17"/>
          <w:szCs w:val="17"/>
          <w:u w:val="single" w:color="auto"/>
          <w:color w:val="auto"/>
        </w:rPr>
        <w:t>Release of Pledged Collateral</w:t>
      </w:r>
      <w:r>
        <w:rPr>
          <w:rFonts w:ascii="Arial" w:cs="Arial" w:eastAsia="Arial" w:hAnsi="Arial"/>
          <w:sz w:val="17"/>
          <w:szCs w:val="17"/>
          <w:color w:val="auto"/>
        </w:rPr>
        <w:t>. The Administrative Agent may release any of the Pledged Collateral from this Pledge Agreement or may substitute any of the Pledged Collateral for other Pledged Collateral without altering, varying or diminishing in any way the force, effect, lien, pledge or security interest of this Pledge Agreement as to any Pledged Collateral not expressly released or substituted, and this Pledge Agreement shall continue as a first priority lien on all Pledged Collateral not expressly released or substituted. If any of the Pledged Collateral shall be sold, transferred or otherwise disposed of by any Pledgor in a transaction permitted by the Credit Agreement, then the Administrative Agent, at the request and sole expense of such Pledgor, shall execute and deliver to such Pledgor all releases or other documents reasonably necessary for the release of the Liens created hereby on such Pledged Collateral.</w:t>
      </w:r>
    </w:p>
    <w:p>
      <w:pPr>
        <w:spacing w:after="0" w:line="177" w:lineRule="exact"/>
        <w:rPr>
          <w:rFonts w:ascii="Arial" w:cs="Arial" w:eastAsia="Arial" w:hAnsi="Arial"/>
          <w:sz w:val="17"/>
          <w:szCs w:val="17"/>
          <w:color w:val="auto"/>
        </w:rPr>
      </w:pPr>
    </w:p>
    <w:p>
      <w:pPr>
        <w:ind w:right="80" w:firstLine="656"/>
        <w:spacing w:after="0" w:line="273" w:lineRule="auto"/>
        <w:tabs>
          <w:tab w:leader="none" w:pos="1292"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Application of Proceeds</w:t>
      </w:r>
      <w:r>
        <w:rPr>
          <w:rFonts w:ascii="Arial" w:cs="Arial" w:eastAsia="Arial" w:hAnsi="Arial"/>
          <w:sz w:val="17"/>
          <w:szCs w:val="17"/>
          <w:color w:val="auto"/>
        </w:rPr>
        <w:t xml:space="preserve">. Upon the acceleration of the Obligations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of the Credit Agreement, any payments in respect of the Secured Obligations and any proceeds of the Pledged Collateral, when received by the Administrative Agent or any of the Secured Parties in cash or its equivalent, will be applied in reduction of the Secured Obligations in the order set forth in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of the Credit Agreement, and each Pledgor irrevocably waives the right to direct the application of such payments and proceeds and acknowledges and agrees that the Administrative Agent shall have the continuing and exclusive right to apply and reapply any and all such payments and proceeds in the Administrative Agent’s sole discretion, notwithstanding any entry to the contrary upon any of its books and records.</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Continuing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5"/>
        <w:spacing w:after="0" w:line="290" w:lineRule="auto"/>
        <w:tabs>
          <w:tab w:leader="none" w:pos="195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This Pledge Agreement shall be a continuing agreement in every respect and shall remain in full force and effect so long as any of the Secured Obligations (other than contingent indemnification obligations for which no claim has been asserted) remains outstanding and until all of the Commitments relating thereto have been terminated. Upon payment or other satisfaction of all Secured Obligations (other than contingent indemnification obligations for which no claim has been asserted) and termination of the Commitments related thereto, this Pledge Agreement and the liens and security interests of the Administrative Agent hereunder shall be automatically terminated and the Administrative Agent shall, upon the request and at the expense of the Pledgors, execute and deliver all UCC termination statements and/or other documents reasonably requested by the Pledgors evidencing such termination and return to Pledgors all Pledged Collateral in its possession. Notwithstanding the foregoing, all releases and indemnities provided hereunder shall survive termination of this Pledge Agreement.</w:t>
      </w:r>
    </w:p>
    <w:p>
      <w:pPr>
        <w:spacing w:after="0" w:line="166" w:lineRule="exact"/>
        <w:rPr>
          <w:rFonts w:ascii="Arial" w:cs="Arial" w:eastAsia="Arial" w:hAnsi="Arial"/>
          <w:sz w:val="16"/>
          <w:szCs w:val="16"/>
          <w:color w:val="auto"/>
        </w:rPr>
      </w:pPr>
    </w:p>
    <w:p>
      <w:pPr>
        <w:ind w:left="660" w:right="60" w:firstLine="645"/>
        <w:spacing w:after="0" w:line="293" w:lineRule="auto"/>
        <w:tabs>
          <w:tab w:leader="none" w:pos="196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 xml:space="preserve">This Pledge Agreement shall continue to be effective or be automatically reinstated, as the case may be, if at any time payment, in whole or in part, of any of the Secured Obligations is rescinded or must otherwise be restored or returned by the Administrative Agent or any Secured Party as a preference, fraudulent conveyance or otherwise under any bankruptcy, insolvency or similar law, all as though such payment had not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payment of all or any part of the Secured Obligations is rescinded or must be restored or returned, all costs and expenses (including, without limitation, reasonable attorneys’ fees and disbursements) incurred by the Administrative Agent or any Secured Party in defending and enforcing such reinstatement shall be deemed to be included as a part of the Secured Obligations.</w:t>
      </w:r>
    </w:p>
    <w:p>
      <w:pPr>
        <w:spacing w:after="0" w:line="164" w:lineRule="exact"/>
        <w:rPr>
          <w:rFonts w:ascii="Arial" w:cs="Arial" w:eastAsia="Arial" w:hAnsi="Arial"/>
          <w:sz w:val="16"/>
          <w:szCs w:val="16"/>
          <w:color w:val="auto"/>
        </w:rPr>
      </w:pPr>
    </w:p>
    <w:p>
      <w:pPr>
        <w:ind w:right="80" w:firstLine="656"/>
        <w:spacing w:after="0" w:line="277" w:lineRule="auto"/>
        <w:tabs>
          <w:tab w:leader="none" w:pos="1292"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This Pledge Agreement and the provisions hereof may not be amended, waived, modified, changed, discharged or terminated except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56"/>
        <w:spacing w:after="0" w:line="302" w:lineRule="auto"/>
        <w:tabs>
          <w:tab w:leader="none" w:pos="1292"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Successors in Interest</w:t>
      </w:r>
      <w:r>
        <w:rPr>
          <w:rFonts w:ascii="Arial" w:cs="Arial" w:eastAsia="Arial" w:hAnsi="Arial"/>
          <w:sz w:val="16"/>
          <w:szCs w:val="16"/>
          <w:color w:val="auto"/>
        </w:rPr>
        <w:t xml:space="preserve">. This Pledge Agreement shall create a continuing security interest in the Pledged Collateral and shall be binding upon each Pledgor, its successors and assigns, and shall inure, together with the rights and remedies of the Administrative Agent and the Secured Parties hereunder, to the benefit of the Administrative Agent and the Secured Parties and their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none of the Pledgors may assign its rights or delegate its duties hereunder without the prior written consent of the requisite Lenders under the Credit Agreement.</w:t>
      </w:r>
    </w:p>
    <w:p>
      <w:pPr>
        <w:spacing w:after="0" w:line="154" w:lineRule="exact"/>
        <w:rPr>
          <w:rFonts w:ascii="Arial" w:cs="Arial" w:eastAsia="Arial" w:hAnsi="Arial"/>
          <w:sz w:val="16"/>
          <w:szCs w:val="16"/>
          <w:color w:val="auto"/>
        </w:rPr>
      </w:pPr>
    </w:p>
    <w:p>
      <w:pPr>
        <w:ind w:right="500" w:firstLine="656"/>
        <w:spacing w:after="0" w:line="277" w:lineRule="auto"/>
        <w:tabs>
          <w:tab w:leader="none" w:pos="1292"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required or permitted to be given under this Pledge Agreement shall be given as provided in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of the Credit Agreement.</w:t>
      </w:r>
    </w:p>
    <w:p>
      <w:pPr>
        <w:spacing w:after="0" w:line="170" w:lineRule="exact"/>
        <w:rPr>
          <w:rFonts w:ascii="Arial" w:cs="Arial" w:eastAsia="Arial" w:hAnsi="Arial"/>
          <w:sz w:val="18"/>
          <w:szCs w:val="18"/>
          <w:color w:val="auto"/>
        </w:rPr>
      </w:pPr>
    </w:p>
    <w:p>
      <w:pPr>
        <w:ind w:right="200" w:firstLine="656"/>
        <w:spacing w:after="0" w:line="259" w:lineRule="auto"/>
        <w:tabs>
          <w:tab w:leader="none" w:pos="1292"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Pledge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Pledge Agreement by facsimile or other electronic imaging means (e.g. “pdf” or “tif”) shall be effective as delivery of a manually executed counterpart of this Pledge Agreement.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Section headings herein are included for convenience of reference only and shall not affect the interpretation of this Pledge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firstLine="656"/>
        <w:spacing w:after="0" w:line="312" w:lineRule="auto"/>
        <w:tabs>
          <w:tab w:leader="none" w:pos="1292"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 Waiver of Venue, Service of Process, Waiver of Right to Jury Trial</w:t>
      </w:r>
      <w:r>
        <w:rPr>
          <w:rFonts w:ascii="Arial" w:cs="Arial" w:eastAsia="Arial" w:hAnsi="Arial"/>
          <w:sz w:val="16"/>
          <w:szCs w:val="16"/>
          <w:color w:val="auto"/>
        </w:rPr>
        <w:t xml:space="preserve">. The terms of Section 11.14 of the Credit Agreement and Section 11.15 of the Credit Agreement with respect to governing law, submission to jurisdiction, waiver of venue, service of process and waiver of the right to a jury trial are each incorporated herein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 and the parties hereto agree to such terms.</w:t>
      </w:r>
    </w:p>
    <w:p>
      <w:pPr>
        <w:spacing w:after="0" w:line="146" w:lineRule="exact"/>
        <w:rPr>
          <w:rFonts w:ascii="Arial" w:cs="Arial" w:eastAsia="Arial" w:hAnsi="Arial"/>
          <w:sz w:val="16"/>
          <w:szCs w:val="16"/>
          <w:color w:val="auto"/>
        </w:rPr>
      </w:pPr>
    </w:p>
    <w:p>
      <w:pPr>
        <w:ind w:right="40" w:firstLine="656"/>
        <w:spacing w:after="0" w:line="257" w:lineRule="auto"/>
        <w:tabs>
          <w:tab w:leader="none" w:pos="1292"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Pledge Agreement is held to be illegal, invalid or unenforceable, (a) the legality, validity and enforceability of the remaining provisions of this Pledge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8" w:lineRule="exact"/>
        <w:rPr>
          <w:rFonts w:ascii="Arial" w:cs="Arial" w:eastAsia="Arial" w:hAnsi="Arial"/>
          <w:sz w:val="18"/>
          <w:szCs w:val="18"/>
          <w:color w:val="auto"/>
        </w:rPr>
      </w:pPr>
    </w:p>
    <w:p>
      <w:pPr>
        <w:ind w:right="20" w:firstLine="656"/>
        <w:spacing w:after="0" w:line="342" w:lineRule="auto"/>
        <w:tabs>
          <w:tab w:leader="none" w:pos="1292"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Entirety</w:t>
      </w:r>
      <w:r>
        <w:rPr>
          <w:rFonts w:ascii="Arial" w:cs="Arial" w:eastAsia="Arial" w:hAnsi="Arial"/>
          <w:sz w:val="16"/>
          <w:szCs w:val="16"/>
          <w:color w:val="auto"/>
        </w:rPr>
        <w:t>. This Pledge Agreement, the other Loan Documents and the other documents relating to the Secured Obligations represent the entire agreement of the parties hereto and thereto, and supersede all prior agreements and understandings, oral or written, if any, including any proposal letters</w:t>
      </w:r>
    </w:p>
    <w:p>
      <w:pPr>
        <w:sectPr>
          <w:pgSz w:w="11900" w:h="16838" w:orient="portrait"/>
          <w:cols w:equalWidth="0" w:num="1">
            <w:col w:w="11420"/>
          </w:cols>
          <w:pgMar w:left="240" w:top="125" w:right="239" w:bottom="0" w:gutter="0" w:footer="0" w:header="0"/>
        </w:sectPr>
      </w:pPr>
    </w:p>
    <w:bookmarkStart w:id="122" w:name="page123"/>
    <w:bookmarkEnd w:id="122"/>
    <w:p>
      <w:pPr>
        <w:ind w:right="440"/>
        <w:spacing w:after="0" w:line="277" w:lineRule="auto"/>
        <w:rPr>
          <w:sz w:val="20"/>
          <w:szCs w:val="20"/>
          <w:color w:val="auto"/>
        </w:rPr>
      </w:pPr>
      <w:r>
        <w:rPr>
          <w:rFonts w:ascii="Arial" w:cs="Arial" w:eastAsia="Arial" w:hAnsi="Arial"/>
          <w:sz w:val="18"/>
          <w:szCs w:val="18"/>
          <w:color w:val="auto"/>
        </w:rPr>
        <w:t>or correspondence relating to the Loan Documents, any other documents relating to the Secured Obligations, or the transactions contemplated herein and therein.</w:t>
      </w:r>
    </w:p>
    <w:p>
      <w:pPr>
        <w:spacing w:after="0" w:line="170" w:lineRule="exact"/>
        <w:rPr>
          <w:sz w:val="20"/>
          <w:szCs w:val="20"/>
          <w:color w:val="auto"/>
        </w:rPr>
      </w:pPr>
    </w:p>
    <w:p>
      <w:pPr>
        <w:ind w:right="160" w:firstLine="656"/>
        <w:spacing w:after="0" w:line="264" w:lineRule="auto"/>
        <w:tabs>
          <w:tab w:leader="none" w:pos="1292"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of the Pledgors hereunder shall survive the execution and delivery of this Pledge Agreement, the other Loan Documents and the other documents relating to the Secured Obligations, the delivery of the Notes and the extension of credit thereunder or in connection therewith.</w:t>
      </w:r>
    </w:p>
    <w:p>
      <w:pPr>
        <w:spacing w:after="0" w:line="181" w:lineRule="exact"/>
        <w:rPr>
          <w:rFonts w:ascii="Arial" w:cs="Arial" w:eastAsia="Arial" w:hAnsi="Arial"/>
          <w:sz w:val="18"/>
          <w:szCs w:val="18"/>
          <w:color w:val="auto"/>
        </w:rPr>
      </w:pPr>
    </w:p>
    <w:p>
      <w:pPr>
        <w:ind w:right="60" w:firstLine="656"/>
        <w:spacing w:after="0" w:line="302" w:lineRule="auto"/>
        <w:tabs>
          <w:tab w:leader="none" w:pos="1292"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Other Security</w:t>
      </w:r>
      <w:r>
        <w:rPr>
          <w:rFonts w:ascii="Arial" w:cs="Arial" w:eastAsia="Arial" w:hAnsi="Arial"/>
          <w:sz w:val="16"/>
          <w:szCs w:val="16"/>
          <w:color w:val="auto"/>
        </w:rPr>
        <w:t>. To the extent that any of the Secured Obligations are now or hereafter secured by property other than the Pledged Collateral (including, without limitation, real and other personal property and securities owned by a Pledgor), or by a guarantee, endorsement or property of any other Person, then to the extent permitted by applicable law the Administrative Agent shall have the right to proceed against such other property, guarantee or endorsement upon the occurrence and during the continuation of any Event of Default, and the Administrative Agent shall have the right, in its sole</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discretion, to determine which rights, security, liens, security interests or remedies the Administrative Agent shall at any time pursue, relinquish, subordinate, modify or take with respect thereto, without in any way modifying or affecting any of them or the Secured Obligations or any of the rights of the Administrative Agent or the Secured Parties under this Pledge Agreement, under any of the other Loan Documents or under any other document relating to the Secured Obligations.</w:t>
      </w:r>
    </w:p>
    <w:p>
      <w:pPr>
        <w:spacing w:after="0" w:line="187" w:lineRule="exact"/>
        <w:rPr>
          <w:sz w:val="20"/>
          <w:szCs w:val="20"/>
          <w:color w:val="auto"/>
        </w:rPr>
      </w:pPr>
    </w:p>
    <w:p>
      <w:pPr>
        <w:ind w:right="600" w:firstLine="656"/>
        <w:spacing w:after="0" w:line="277" w:lineRule="auto"/>
        <w:tabs>
          <w:tab w:leader="none" w:pos="1292"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Rights of Required Lenders</w:t>
      </w:r>
      <w:r>
        <w:rPr>
          <w:rFonts w:ascii="Arial" w:cs="Arial" w:eastAsia="Arial" w:hAnsi="Arial"/>
          <w:sz w:val="18"/>
          <w:szCs w:val="18"/>
          <w:color w:val="auto"/>
        </w:rPr>
        <w:t>. All rights of the Administrative Agent hereunder, if not exercised by the Administrative Agent, may be exercised by the Required Lenders.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Joint and Several Obligations of Pledgors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right="160" w:firstLine="645"/>
        <w:spacing w:after="0" w:line="312" w:lineRule="auto"/>
        <w:tabs>
          <w:tab w:leader="none" w:pos="1954" w:val="left"/>
        </w:tabs>
        <w:numPr>
          <w:ilvl w:val="1"/>
          <w:numId w:val="271"/>
        </w:numPr>
        <w:rPr>
          <w:rFonts w:ascii="Arial" w:cs="Arial" w:eastAsia="Arial" w:hAnsi="Arial"/>
          <w:sz w:val="16"/>
          <w:szCs w:val="16"/>
          <w:color w:val="auto"/>
        </w:rPr>
      </w:pPr>
      <w:r>
        <w:rPr>
          <w:rFonts w:ascii="Arial" w:cs="Arial" w:eastAsia="Arial" w:hAnsi="Arial"/>
          <w:sz w:val="16"/>
          <w:szCs w:val="16"/>
          <w:color w:val="auto"/>
        </w:rPr>
        <w:t xml:space="preserve">Subject to subsection (c) of this </w:t>
      </w:r>
      <w:r>
        <w:rPr>
          <w:rFonts w:ascii="Arial" w:cs="Arial" w:eastAsia="Arial" w:hAnsi="Arial"/>
          <w:sz w:val="16"/>
          <w:szCs w:val="16"/>
          <w:u w:val="single" w:color="auto"/>
          <w:color w:val="auto"/>
        </w:rPr>
        <w:t>Section 23</w:t>
      </w:r>
      <w:r>
        <w:rPr>
          <w:rFonts w:ascii="Arial" w:cs="Arial" w:eastAsia="Arial" w:hAnsi="Arial"/>
          <w:sz w:val="16"/>
          <w:szCs w:val="16"/>
          <w:color w:val="auto"/>
        </w:rPr>
        <w:t>, each of the Pledgors is accepting joint and several liability hereunder in consideration of the financial accommodation to be provided by the Secured Parties, for the mutual benefit, directly and indirectly, of each of the Pledgors and in consideration of the undertakings of each of the Pledgors to accept joint and several liability for the obligations of each of them.</w:t>
      </w:r>
    </w:p>
    <w:p>
      <w:pPr>
        <w:spacing w:after="0" w:line="146" w:lineRule="exact"/>
        <w:rPr>
          <w:rFonts w:ascii="Arial" w:cs="Arial" w:eastAsia="Arial" w:hAnsi="Arial"/>
          <w:sz w:val="16"/>
          <w:szCs w:val="16"/>
          <w:color w:val="auto"/>
        </w:rPr>
      </w:pPr>
    </w:p>
    <w:p>
      <w:pPr>
        <w:ind w:left="660" w:right="40" w:firstLine="645"/>
        <w:spacing w:after="0" w:line="257" w:lineRule="auto"/>
        <w:tabs>
          <w:tab w:leader="none" w:pos="1964" w:val="left"/>
        </w:tabs>
        <w:numPr>
          <w:ilvl w:val="1"/>
          <w:numId w:val="271"/>
        </w:numPr>
        <w:rPr>
          <w:rFonts w:ascii="Arial" w:cs="Arial" w:eastAsia="Arial" w:hAnsi="Arial"/>
          <w:sz w:val="18"/>
          <w:szCs w:val="18"/>
          <w:color w:val="auto"/>
        </w:rPr>
      </w:pPr>
      <w:r>
        <w:rPr>
          <w:rFonts w:ascii="Arial" w:cs="Arial" w:eastAsia="Arial" w:hAnsi="Arial"/>
          <w:sz w:val="18"/>
          <w:szCs w:val="18"/>
          <w:color w:val="auto"/>
        </w:rPr>
        <w:t xml:space="preserve">Subject to subsection (c) of this </w:t>
      </w:r>
      <w:r>
        <w:rPr>
          <w:rFonts w:ascii="Arial" w:cs="Arial" w:eastAsia="Arial" w:hAnsi="Arial"/>
          <w:sz w:val="18"/>
          <w:szCs w:val="18"/>
          <w:u w:val="single" w:color="auto"/>
          <w:color w:val="auto"/>
        </w:rPr>
        <w:t>Section 23</w:t>
      </w:r>
      <w:r>
        <w:rPr>
          <w:rFonts w:ascii="Arial" w:cs="Arial" w:eastAsia="Arial" w:hAnsi="Arial"/>
          <w:sz w:val="18"/>
          <w:szCs w:val="18"/>
          <w:color w:val="auto"/>
        </w:rPr>
        <w:t>, each of the Pledgors jointly and severally hereby irrevocably and unconditionally accepts, not merely as a surety but also as a co-debtor, joint and several liability with the other Pledgors with respect to the payment and performance of all of the Secured Obligations arising under this Pledge Agreement, the other Loan Documents and any other documents relating to the Secured Obligations, it being the intention of the parties hereto that all the Secured Obligations shall be the joint and several obligations of each of the Pledgors without preferences or distinction among them.</w:t>
      </w:r>
    </w:p>
    <w:p>
      <w:pPr>
        <w:spacing w:after="0" w:line="188" w:lineRule="exact"/>
        <w:rPr>
          <w:rFonts w:ascii="Arial" w:cs="Arial" w:eastAsia="Arial" w:hAnsi="Arial"/>
          <w:sz w:val="18"/>
          <w:szCs w:val="18"/>
          <w:color w:val="auto"/>
        </w:rPr>
      </w:pPr>
    </w:p>
    <w:p>
      <w:pPr>
        <w:ind w:left="660" w:right="180" w:firstLine="645"/>
        <w:spacing w:after="0" w:line="302" w:lineRule="auto"/>
        <w:tabs>
          <w:tab w:leader="none" w:pos="196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Notwithstanding any provision to the contrary contained herein, in any other of the Loan Documents or in any other documents relating to the Secured Obligations, the obligations of each Guarantor under the Credit Agreement, the other Loan Documents and the other documents relating to the Secured Obligations shall be limited to an aggregate amount equal to the largest amount that would not render such obligations subject to avoidance under Section 548 of the United States Bankruptcy Code or any comparable provisions of any applicable state law.</w:t>
      </w:r>
    </w:p>
    <w:p>
      <w:pPr>
        <w:spacing w:after="0" w:line="154" w:lineRule="exact"/>
        <w:rPr>
          <w:rFonts w:ascii="Arial" w:cs="Arial" w:eastAsia="Arial" w:hAnsi="Arial"/>
          <w:sz w:val="16"/>
          <w:szCs w:val="16"/>
          <w:color w:val="auto"/>
        </w:rPr>
      </w:pPr>
    </w:p>
    <w:p>
      <w:pPr>
        <w:ind w:right="40" w:firstLine="656"/>
        <w:spacing w:after="0" w:line="302" w:lineRule="auto"/>
        <w:tabs>
          <w:tab w:leader="none" w:pos="1292"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Joinder</w:t>
      </w:r>
      <w:r>
        <w:rPr>
          <w:rFonts w:ascii="Arial" w:cs="Arial" w:eastAsia="Arial" w:hAnsi="Arial"/>
          <w:sz w:val="16"/>
          <w:szCs w:val="16"/>
          <w:color w:val="auto"/>
        </w:rPr>
        <w:t>. At any time after the date of this Pledge Agreement, one or more additional Domestic Subsidiaries may become party hereto by executing and delivering to the Administrative Agent a Joinder Agreement. Immediately upon such execution and delivery of such Joinder Agreement (and without any further action), each such additional Domestic Subsidiary will become a party to this Pledge Agreement as a “Pledgor” and have all the rights and obligations of a Pledgor hereunder and this Pledge Agreement and the schedules hereto shall be deemed amended by such Joinder Agreement.</w:t>
      </w:r>
    </w:p>
    <w:p>
      <w:pPr>
        <w:spacing w:after="0" w:line="154" w:lineRule="exact"/>
        <w:rPr>
          <w:rFonts w:ascii="Arial" w:cs="Arial" w:eastAsia="Arial" w:hAnsi="Arial"/>
          <w:sz w:val="16"/>
          <w:szCs w:val="16"/>
          <w:color w:val="auto"/>
        </w:rPr>
      </w:pPr>
    </w:p>
    <w:p>
      <w:pPr>
        <w:ind w:right="280" w:firstLine="656"/>
        <w:spacing w:after="0" w:line="279" w:lineRule="auto"/>
        <w:tabs>
          <w:tab w:leader="none" w:pos="1292"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Consent of Issuers of Pledged Shares</w:t>
      </w:r>
      <w:r>
        <w:rPr>
          <w:rFonts w:ascii="Arial" w:cs="Arial" w:eastAsia="Arial" w:hAnsi="Arial"/>
          <w:sz w:val="17"/>
          <w:szCs w:val="17"/>
          <w:color w:val="auto"/>
        </w:rPr>
        <w:t>. Each issuer of Pledged Shares party to this Pledge Agreement hereby acknowledges, consents and agrees to the grant of the security interest in such Pledged Shares by the applicable Pledgors pursuant to this Pledge Agreement, together with all rights accompanying such security interest as provided by this Pledge Agreement and applicable law, notwithstanding any anti-assignment provisions in any operating agreement, limited partnership agreement or similar organizational or governance documents of such issuer.</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the parties hereto has caused a counterpart of this Pledge Agreement to be duly executed and delivered as of the date first above written.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sz w:val="20"/>
                <w:szCs w:val="20"/>
                <w:color w:val="auto"/>
              </w:rPr>
            </w:pPr>
            <w:r>
              <w:rPr>
                <w:rFonts w:ascii="Arial" w:cs="Arial" w:eastAsia="Arial" w:hAnsi="Arial"/>
                <w:sz w:val="18"/>
                <w:szCs w:val="18"/>
                <w:color w:val="auto"/>
              </w:rPr>
              <w:t>PLEDGOR:</w:t>
            </w: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18"/>
                <w:szCs w:val="18"/>
                <w:color w:val="auto"/>
              </w:rPr>
            </w:pPr>
          </w:p>
        </w:tc>
      </w:tr>
      <w:tr>
        <w:trPr>
          <w:trHeight w:val="237"/>
        </w:trPr>
        <w:tc>
          <w:tcPr>
            <w:tcW w:w="840" w:type="dxa"/>
            <w:vAlign w:val="bottom"/>
            <w:tcBorders>
              <w:top w:val="single" w:sz="8" w:color="auto"/>
            </w:tcBorders>
          </w:tcPr>
          <w:p>
            <w:pPr>
              <w:spacing w:after="0"/>
              <w:rPr>
                <w:sz w:val="20"/>
                <w:szCs w:val="20"/>
                <w:color w:val="auto"/>
              </w:rPr>
            </w:pPr>
          </w:p>
        </w:tc>
        <w:tc>
          <w:tcPr>
            <w:tcW w:w="2460" w:type="dxa"/>
            <w:vAlign w:val="bottom"/>
          </w:tcPr>
          <w:p>
            <w:pPr>
              <w:spacing w:after="0"/>
              <w:rPr>
                <w:sz w:val="20"/>
                <w:szCs w:val="20"/>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a Delaware corporation</w:t>
            </w:r>
          </w:p>
        </w:tc>
        <w:tc>
          <w:tcPr>
            <w:tcW w:w="4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By:  /s/ Bonnie Anderson</w:t>
            </w:r>
          </w:p>
        </w:tc>
        <w:tc>
          <w:tcPr>
            <w:tcW w:w="40" w:type="dxa"/>
            <w:vAlign w:val="bottom"/>
          </w:tcPr>
          <w:p>
            <w:pPr>
              <w:spacing w:after="0"/>
              <w:rPr>
                <w:sz w:val="24"/>
                <w:szCs w:val="24"/>
                <w:color w:val="auto"/>
              </w:rPr>
            </w:pPr>
          </w:p>
        </w:tc>
      </w:tr>
      <w:tr>
        <w:trPr>
          <w:trHeight w:val="182"/>
        </w:trPr>
        <w:tc>
          <w:tcPr>
            <w:tcW w:w="8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800" w:type="dxa"/>
            <w:vAlign w:val="bottom"/>
          </w:tcPr>
          <w:p>
            <w:pPr>
              <w:ind w:left="2420"/>
              <w:spacing w:after="0" w:line="182" w:lineRule="exact"/>
              <w:rPr>
                <w:sz w:val="20"/>
                <w:szCs w:val="20"/>
                <w:color w:val="auto"/>
              </w:rPr>
            </w:pPr>
            <w:r>
              <w:rPr>
                <w:rFonts w:ascii="Arial" w:cs="Arial" w:eastAsia="Arial" w:hAnsi="Arial"/>
                <w:sz w:val="17"/>
                <w:szCs w:val="17"/>
                <w:color w:val="auto"/>
                <w:w w:val="71"/>
              </w:rPr>
              <w:t>Name:</w:t>
            </w:r>
          </w:p>
        </w:tc>
        <w:tc>
          <w:tcPr>
            <w:tcW w:w="532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Bonnie Anderson</w:t>
            </w:r>
          </w:p>
        </w:tc>
        <w:tc>
          <w:tcPr>
            <w:tcW w:w="40" w:type="dxa"/>
            <w:vAlign w:val="bottom"/>
          </w:tcPr>
          <w:p>
            <w:pPr>
              <w:spacing w:after="0"/>
              <w:rPr>
                <w:sz w:val="15"/>
                <w:szCs w:val="15"/>
                <w:color w:val="auto"/>
              </w:rPr>
            </w:pPr>
          </w:p>
        </w:tc>
      </w:tr>
      <w:tr>
        <w:trPr>
          <w:trHeight w:val="230"/>
        </w:trPr>
        <w:tc>
          <w:tcPr>
            <w:tcW w:w="8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Title: President &amp; CEO</w:t>
            </w:r>
          </w:p>
        </w:tc>
        <w:tc>
          <w:tcPr>
            <w:tcW w:w="40" w:type="dxa"/>
            <w:vAlign w:val="bottom"/>
          </w:tcPr>
          <w:p>
            <w:pPr>
              <w:spacing w:after="0"/>
              <w:rPr>
                <w:sz w:val="20"/>
                <w:szCs w:val="20"/>
                <w:color w:val="auto"/>
              </w:rPr>
            </w:pPr>
          </w:p>
        </w:tc>
      </w:tr>
      <w:tr>
        <w:trPr>
          <w:trHeight w:val="348"/>
        </w:trPr>
        <w:tc>
          <w:tcPr>
            <w:tcW w:w="84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above written.</w:t>
      </w:r>
    </w:p>
    <w:p>
      <w:pPr>
        <w:sectPr>
          <w:pgSz w:w="11900" w:h="16838" w:orient="portrait"/>
          <w:cols w:equalWidth="0" w:num="1">
            <w:col w:w="11460"/>
          </w:cols>
          <w:pgMar w:left="240" w:top="125" w:right="19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VISIUM HEALTHCARE PARTNERS, LP,</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Delaware limited partnership</w:t>
      </w:r>
    </w:p>
    <w:p>
      <w:pPr>
        <w:spacing w:after="0" w:line="200" w:lineRule="exact"/>
        <w:rPr>
          <w:sz w:val="20"/>
          <w:szCs w:val="20"/>
          <w:color w:val="auto"/>
        </w:rPr>
      </w:pPr>
    </w:p>
    <w:p>
      <w:pPr>
        <w:sectPr>
          <w:pgSz w:w="11900" w:h="16838" w:orient="portrait"/>
          <w:cols w:equalWidth="0" w:num="2">
            <w:col w:w="5000" w:space="720"/>
            <w:col w:w="5740"/>
          </w:cols>
          <w:pgMar w:left="240" w:top="125" w:right="199" w:bottom="0" w:gutter="0" w:footer="0" w:header="0"/>
          <w:type w:val="continuous"/>
        </w:sectPr>
      </w:pPr>
    </w:p>
    <w:p>
      <w:pPr>
        <w:spacing w:after="0" w:line="11"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VISIUM HEALTHCARE ADVISORS, LP,</w:t>
      </w:r>
    </w:p>
    <w:p>
      <w:pPr>
        <w:sectPr>
          <w:pgSz w:w="11900" w:h="16838" w:orient="portrait"/>
          <w:cols w:equalWidth="0" w:num="2">
            <w:col w:w="6340" w:space="240"/>
            <w:col w:w="4880"/>
          </w:cols>
          <w:pgMar w:left="240" w:top="125" w:right="199" w:bottom="0" w:gutter="0" w:footer="0" w:header="0"/>
          <w:type w:val="continuous"/>
        </w:sectPr>
      </w:pPr>
    </w:p>
    <w:bookmarkStart w:id="123" w:name="page124"/>
    <w:bookmarkEnd w:id="123"/>
    <w:p>
      <w:pPr>
        <w:ind w:left="6620"/>
        <w:spacing w:after="0"/>
        <w:rPr>
          <w:sz w:val="20"/>
          <w:szCs w:val="20"/>
          <w:color w:val="auto"/>
        </w:rPr>
      </w:pPr>
      <w:r>
        <w:rPr>
          <w:rFonts w:ascii="Arial" w:cs="Arial" w:eastAsia="Arial" w:hAnsi="Arial"/>
          <w:sz w:val="18"/>
          <w:szCs w:val="18"/>
          <w:color w:val="auto"/>
        </w:rPr>
        <w:t>its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ind w:left="6620"/>
              <w:spacing w:after="0"/>
              <w:rPr>
                <w:sz w:val="20"/>
                <w:szCs w:val="20"/>
                <w:color w:val="auto"/>
              </w:rPr>
            </w:pPr>
            <w:r>
              <w:rPr>
                <w:rFonts w:ascii="Arial" w:cs="Arial" w:eastAsia="Arial" w:hAnsi="Arial"/>
                <w:sz w:val="18"/>
                <w:szCs w:val="18"/>
                <w:color w:val="auto"/>
              </w:rPr>
              <w:t>By:</w:t>
            </w:r>
          </w:p>
        </w:tc>
        <w:tc>
          <w:tcPr>
            <w:tcW w:w="3780" w:type="dxa"/>
            <w:vAlign w:val="bottom"/>
            <w:gridSpan w:val="2"/>
          </w:tcPr>
          <w:p>
            <w:pPr>
              <w:ind w:left="420"/>
              <w:spacing w:after="0"/>
              <w:rPr>
                <w:sz w:val="20"/>
                <w:szCs w:val="20"/>
                <w:color w:val="auto"/>
              </w:rPr>
            </w:pPr>
            <w:r>
              <w:rPr>
                <w:rFonts w:ascii="Arial" w:cs="Arial" w:eastAsia="Arial" w:hAnsi="Arial"/>
                <w:sz w:val="18"/>
                <w:szCs w:val="18"/>
                <w:color w:val="auto"/>
              </w:rPr>
              <w:t>JG ASSET II, LLC,</w:t>
            </w:r>
          </w:p>
        </w:tc>
        <w:tc>
          <w:tcPr>
            <w:tcW w:w="40" w:type="dxa"/>
            <w:vAlign w:val="bottom"/>
          </w:tcPr>
          <w:p>
            <w:pPr>
              <w:spacing w:after="0"/>
              <w:rPr>
                <w:sz w:val="18"/>
                <w:szCs w:val="18"/>
                <w:color w:val="auto"/>
              </w:rPr>
            </w:pPr>
          </w:p>
        </w:tc>
      </w:tr>
      <w:tr>
        <w:trPr>
          <w:trHeight w:val="230"/>
        </w:trPr>
        <w:tc>
          <w:tcPr>
            <w:tcW w:w="7640" w:type="dxa"/>
            <w:vAlign w:val="bottom"/>
          </w:tcPr>
          <w:p>
            <w:pPr>
              <w:spacing w:after="0"/>
              <w:rPr>
                <w:sz w:val="20"/>
                <w:szCs w:val="20"/>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648"/>
        </w:trPr>
        <w:tc>
          <w:tcPr>
            <w:tcW w:w="7640" w:type="dxa"/>
            <w:vAlign w:val="bottom"/>
          </w:tcPr>
          <w:p>
            <w:pPr>
              <w:ind w:left="7040"/>
              <w:spacing w:after="0"/>
              <w:rPr>
                <w:sz w:val="20"/>
                <w:szCs w:val="20"/>
                <w:color w:val="auto"/>
              </w:rPr>
            </w:pPr>
            <w:r>
              <w:rPr>
                <w:rFonts w:ascii="Arial" w:cs="Arial" w:eastAsia="Arial" w:hAnsi="Arial"/>
                <w:sz w:val="18"/>
                <w:szCs w:val="18"/>
                <w:color w:val="auto"/>
              </w:rPr>
              <w:t>By:</w:t>
            </w:r>
          </w:p>
        </w:tc>
        <w:tc>
          <w:tcPr>
            <w:tcW w:w="60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Gottlieb</w:t>
            </w:r>
          </w:p>
        </w:tc>
        <w:tc>
          <w:tcPr>
            <w:tcW w:w="40" w:type="dxa"/>
            <w:vAlign w:val="bottom"/>
          </w:tcPr>
          <w:p>
            <w:pPr>
              <w:spacing w:after="0"/>
              <w:rPr>
                <w:sz w:val="24"/>
                <w:szCs w:val="24"/>
                <w:color w:val="auto"/>
              </w:rPr>
            </w:pPr>
          </w:p>
        </w:tc>
      </w:tr>
      <w:tr>
        <w:trPr>
          <w:trHeight w:val="210"/>
        </w:trPr>
        <w:tc>
          <w:tcPr>
            <w:tcW w:w="7640" w:type="dxa"/>
            <w:vAlign w:val="bottom"/>
          </w:tcPr>
          <w:p>
            <w:pPr>
              <w:ind w:left="7040"/>
              <w:spacing w:after="0"/>
              <w:rPr>
                <w:sz w:val="20"/>
                <w:szCs w:val="20"/>
                <w:color w:val="auto"/>
              </w:rPr>
            </w:pPr>
            <w:r>
              <w:rPr>
                <w:rFonts w:ascii="Arial" w:cs="Arial" w:eastAsia="Arial" w:hAnsi="Arial"/>
                <w:sz w:val="18"/>
                <w:szCs w:val="18"/>
                <w:color w:val="auto"/>
              </w:rPr>
              <w:t>Name:</w:t>
            </w:r>
          </w:p>
        </w:tc>
        <w:tc>
          <w:tcPr>
            <w:tcW w:w="600" w:type="dxa"/>
            <w:vAlign w:val="bottom"/>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Gottlieb</w:t>
            </w:r>
          </w:p>
        </w:tc>
        <w:tc>
          <w:tcPr>
            <w:tcW w:w="40" w:type="dxa"/>
            <w:vAlign w:val="bottom"/>
          </w:tcPr>
          <w:p>
            <w:pPr>
              <w:spacing w:after="0"/>
              <w:rPr>
                <w:sz w:val="18"/>
                <w:szCs w:val="18"/>
                <w:color w:val="auto"/>
              </w:rPr>
            </w:pPr>
          </w:p>
        </w:tc>
      </w:tr>
      <w:tr>
        <w:trPr>
          <w:trHeight w:val="210"/>
        </w:trPr>
        <w:tc>
          <w:tcPr>
            <w:tcW w:w="7640" w:type="dxa"/>
            <w:vAlign w:val="bottom"/>
          </w:tcPr>
          <w:p>
            <w:pPr>
              <w:ind w:left="7040"/>
              <w:spacing w:after="0"/>
              <w:rPr>
                <w:sz w:val="20"/>
                <w:szCs w:val="20"/>
                <w:color w:val="auto"/>
              </w:rPr>
            </w:pPr>
            <w:r>
              <w:rPr>
                <w:rFonts w:ascii="Arial" w:cs="Arial" w:eastAsia="Arial" w:hAnsi="Arial"/>
                <w:sz w:val="18"/>
                <w:szCs w:val="18"/>
                <w:color w:val="auto"/>
              </w:rPr>
              <w:t>Title:</w:t>
            </w:r>
          </w:p>
        </w:tc>
        <w:tc>
          <w:tcPr>
            <w:tcW w:w="600" w:type="dxa"/>
            <w:vAlign w:val="bottom"/>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Member</w:t>
            </w:r>
          </w:p>
        </w:tc>
        <w:tc>
          <w:tcPr>
            <w:tcW w:w="40" w:type="dxa"/>
            <w:vAlign w:val="bottom"/>
          </w:tcPr>
          <w:p>
            <w:pPr>
              <w:spacing w:after="0"/>
              <w:rPr>
                <w:sz w:val="18"/>
                <w:szCs w:val="18"/>
                <w:color w:val="auto"/>
              </w:rPr>
            </w:pPr>
          </w:p>
        </w:tc>
      </w:tr>
      <w:tr>
        <w:trPr>
          <w:trHeight w:val="341"/>
        </w:trPr>
        <w:tc>
          <w:tcPr>
            <w:tcW w:w="76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South San Francisco, CA 94080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STRICTLY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Visium Healthcare Partners, LP</w:t>
      </w:r>
    </w:p>
    <w:p>
      <w:pPr>
        <w:spacing w:after="0" w:line="218" w:lineRule="auto"/>
        <w:rPr>
          <w:sz w:val="20"/>
          <w:szCs w:val="20"/>
          <w:color w:val="auto"/>
        </w:rPr>
      </w:pPr>
      <w:r>
        <w:rPr>
          <w:rFonts w:ascii="Arial" w:cs="Arial" w:eastAsia="Arial" w:hAnsi="Arial"/>
          <w:sz w:val="18"/>
          <w:szCs w:val="18"/>
          <w:color w:val="auto"/>
        </w:rPr>
        <w:t>888 7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22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i w:val="1"/>
          <w:iCs w:val="1"/>
          <w:color w:val="auto"/>
        </w:rPr>
        <w:t>Re:</w:t>
      </w:r>
      <w:r>
        <w:rPr>
          <w:sz w:val="20"/>
          <w:szCs w:val="20"/>
          <w:color w:val="auto"/>
        </w:rPr>
        <w:tab/>
      </w:r>
      <w:r>
        <w:rPr>
          <w:rFonts w:ascii="Arial" w:cs="Arial" w:eastAsia="Arial" w:hAnsi="Arial"/>
          <w:sz w:val="18"/>
          <w:szCs w:val="18"/>
          <w:b w:val="1"/>
          <w:bCs w:val="1"/>
          <w:i w:val="1"/>
          <w:iCs w:val="1"/>
          <w:color w:val="auto"/>
        </w:rPr>
        <w:t>Agreement Regarding Potential Opportunity to Purchase Common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5"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Reference is made to the Credit Agreement (as amended, restated, supplemented or otherwise modified, the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dated as of March 25, 2016 by and among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as Borrower under the Credit Agreement, each of the Guarantors party to the Credit Agreement, Visium Healthcare Partners, LP, a Delaware limited partnership, as Administrative Agent under the Credit Agreement, and each of the Lenders party to the Credit Agreement, including their successors and assigns (the “</w:t>
      </w:r>
      <w:r>
        <w:rPr>
          <w:rFonts w:ascii="Arial" w:cs="Arial" w:eastAsia="Arial" w:hAnsi="Arial"/>
          <w:sz w:val="17"/>
          <w:szCs w:val="17"/>
          <w:b w:val="1"/>
          <w:bCs w:val="1"/>
          <w:i w:val="1"/>
          <w:iCs w:val="1"/>
          <w:color w:val="auto"/>
        </w:rPr>
        <w:t>Purchasers</w:t>
      </w:r>
      <w:r>
        <w:rPr>
          <w:rFonts w:ascii="Arial" w:cs="Arial" w:eastAsia="Arial" w:hAnsi="Arial"/>
          <w:sz w:val="17"/>
          <w:szCs w:val="17"/>
          <w:color w:val="auto"/>
        </w:rPr>
        <w:t>”).</w:t>
      </w:r>
    </w:p>
    <w:p>
      <w:pPr>
        <w:spacing w:after="0" w:line="17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connection with entering into the Credit Agreement, the Company, the Administrative Agent, and each of the Purchasers desire to enter into this letter agreement (this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with respect to the potential opportunity to purchase Common Equity (as defined below) of the Company by the Purchasers in connection with one or more Equity Offerings (as defined below) for a period of one year following the Funding Date, subject to the terms and conditions of this Letter Agreement. As used in this Letter Agreement, “</w:t>
      </w:r>
      <w:r>
        <w:rPr>
          <w:rFonts w:ascii="Arial" w:cs="Arial" w:eastAsia="Arial" w:hAnsi="Arial"/>
          <w:sz w:val="18"/>
          <w:szCs w:val="18"/>
          <w:b w:val="1"/>
          <w:bCs w:val="1"/>
          <w:i w:val="1"/>
          <w:iCs w:val="1"/>
          <w:color w:val="auto"/>
        </w:rPr>
        <w:t>Common Equity</w:t>
      </w:r>
      <w:r>
        <w:rPr>
          <w:rFonts w:ascii="Arial" w:cs="Arial" w:eastAsia="Arial" w:hAnsi="Arial"/>
          <w:sz w:val="18"/>
          <w:szCs w:val="18"/>
          <w:i w:val="1"/>
          <w:iCs w:val="1"/>
          <w:color w:val="auto"/>
        </w:rPr>
        <w:t>”</w:t>
      </w:r>
      <w:r>
        <w:rPr>
          <w:rFonts w:ascii="Arial" w:cs="Arial" w:eastAsia="Arial" w:hAnsi="Arial"/>
          <w:sz w:val="18"/>
          <w:szCs w:val="18"/>
          <w:color w:val="auto"/>
        </w:rPr>
        <w:t xml:space="preserve"> means (i) shares of common stock of the Company, (ii) warrants, options or other rights for the purchase or acquisition from the Company of shares of common stock of the Company or (iii) securities convertible into or exchangeable for shares of common stock of the Company.</w:t>
      </w:r>
    </w:p>
    <w:p>
      <w:pPr>
        <w:spacing w:after="0" w:line="19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Each of the parties to this Letter Agreement agree that this Letter Agreement is effective as of the Funding Date. Unless otherwise defined herein, capitalized terms used in this Letter Agreement shall have the meanings set forth in the Credit Agreement.</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consideration of the foregoing and the mutual promises, representations, warranties, and covenants hereinafter set forth and for other good and valuable consideration, the receipt and sufficiency of which are hereby acknowledged, the parties hereto agree as follows:</w:t>
      </w:r>
    </w:p>
    <w:p>
      <w:pPr>
        <w:spacing w:after="0" w:line="166" w:lineRule="exact"/>
        <w:rPr>
          <w:sz w:val="20"/>
          <w:szCs w:val="20"/>
          <w:color w:val="auto"/>
        </w:rPr>
      </w:pPr>
    </w:p>
    <w:p>
      <w:pPr>
        <w:ind w:left="1300" w:hanging="644"/>
        <w:spacing w:after="0"/>
        <w:tabs>
          <w:tab w:leader="none" w:pos="130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Rights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20" w:firstLine="1305"/>
        <w:spacing w:after="0" w:line="290" w:lineRule="auto"/>
        <w:tabs>
          <w:tab w:leader="none" w:pos="1952" w:val="left"/>
        </w:tabs>
        <w:numPr>
          <w:ilvl w:val="1"/>
          <w:numId w:val="272"/>
        </w:numPr>
        <w:rPr>
          <w:rFonts w:ascii="Arial" w:cs="Arial" w:eastAsia="Arial" w:hAnsi="Arial"/>
          <w:sz w:val="16"/>
          <w:szCs w:val="16"/>
          <w:b w:val="1"/>
          <w:bCs w:val="1"/>
          <w:color w:val="auto"/>
        </w:rPr>
      </w:pPr>
      <w:r>
        <w:rPr>
          <w:rFonts w:ascii="Arial" w:cs="Arial" w:eastAsia="Arial" w:hAnsi="Arial"/>
          <w:sz w:val="16"/>
          <w:szCs w:val="16"/>
          <w:color w:val="auto"/>
        </w:rPr>
        <w:t>In the event the Company intends to offer Common Equity pursuant to one or more Qualifying Follow-On Offerings (as defined below) no later than one year following the Funding Date, each Purchaser, in its sole discretion, shall have the right but not the obligation to submit to the underwriters a non-binding indication of interest to purchase in each Qualifying Follow-On Offering (the “</w:t>
      </w:r>
      <w:r>
        <w:rPr>
          <w:rFonts w:ascii="Arial" w:cs="Arial" w:eastAsia="Arial" w:hAnsi="Arial"/>
          <w:sz w:val="16"/>
          <w:szCs w:val="16"/>
          <w:b w:val="1"/>
          <w:bCs w:val="1"/>
          <w:i w:val="1"/>
          <w:iCs w:val="1"/>
          <w:color w:val="auto"/>
        </w:rPr>
        <w:t>Public Offering Participation Right</w:t>
      </w:r>
      <w:r>
        <w:rPr>
          <w:rFonts w:ascii="Arial" w:cs="Arial" w:eastAsia="Arial" w:hAnsi="Arial"/>
          <w:sz w:val="16"/>
          <w:szCs w:val="16"/>
          <w:color w:val="auto"/>
        </w:rPr>
        <w:t>”) such Purchaser’s Pro Rata Percentage (as defined below) of up to an aggregate number of shares or units of Common Equity equal to (i) the Available Amount (as defined below) divided by (ii) the price at which each share or unit of Common Equity is issued and sold to the public in the Qualifying Follow-On Offering (the “</w:t>
      </w:r>
      <w:r>
        <w:rPr>
          <w:rFonts w:ascii="Arial" w:cs="Arial" w:eastAsia="Arial" w:hAnsi="Arial"/>
          <w:sz w:val="16"/>
          <w:szCs w:val="16"/>
          <w:b w:val="1"/>
          <w:bCs w:val="1"/>
          <w:i w:val="1"/>
          <w:iCs w:val="1"/>
          <w:color w:val="auto"/>
        </w:rPr>
        <w:t>Public Offering Price</w:t>
      </w:r>
      <w:r>
        <w:rPr>
          <w:rFonts w:ascii="Arial" w:cs="Arial" w:eastAsia="Arial" w:hAnsi="Arial"/>
          <w:sz w:val="16"/>
          <w:szCs w:val="16"/>
          <w:color w:val="auto"/>
        </w:rPr>
        <w:t>”), at a price per share or unit equal to the Public Offering Price in the closing of the Qualifying Follow-On Offering (the “</w:t>
      </w:r>
      <w:r>
        <w:rPr>
          <w:rFonts w:ascii="Arial" w:cs="Arial" w:eastAsia="Arial" w:hAnsi="Arial"/>
          <w:sz w:val="16"/>
          <w:szCs w:val="16"/>
          <w:b w:val="1"/>
          <w:bCs w:val="1"/>
          <w:i w:val="1"/>
          <w:iCs w:val="1"/>
          <w:color w:val="auto"/>
        </w:rPr>
        <w:t>Public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Offering Closing</w:t>
      </w:r>
      <w:r>
        <w:rPr>
          <w:rFonts w:ascii="Arial" w:cs="Arial" w:eastAsia="Arial" w:hAnsi="Arial"/>
          <w:sz w:val="16"/>
          <w:szCs w:val="16"/>
          <w:color w:val="auto"/>
        </w:rPr>
        <w:t>”). Notwithstanding the foregoing, the Public Offering Participation Right shall be subject to (i) a determination by any of the Company,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Administrative Agent (on behalf of the Purchasers) or the underwriters, with the advice of outside counsel, that the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Participation Right does not violate applicable Laws and the rules, regulations and requirements of securities exchanges or securities listing organizations, including but not limited to any applicable state or federal securities laws or regulations and any applicable rule, policy or limit imposed by the U.S. Securities and Exchange Commission, the National Association of Securities Dealers, or any securities exchange (“</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and (ii) any carve backs, restrictions and other limitations reasonably requested by the Company’s underwriters in connection with the Qualifying Follow-On Offering. For purposes of this Letter Agreement, “</w:t>
      </w:r>
      <w:r>
        <w:rPr>
          <w:rFonts w:ascii="Arial" w:cs="Arial" w:eastAsia="Arial" w:hAnsi="Arial"/>
          <w:sz w:val="16"/>
          <w:szCs w:val="16"/>
          <w:b w:val="1"/>
          <w:bCs w:val="1"/>
          <w:i w:val="1"/>
          <w:iCs w:val="1"/>
          <w:color w:val="auto"/>
        </w:rPr>
        <w:t>Available Amount</w:t>
      </w:r>
      <w:r>
        <w:rPr>
          <w:rFonts w:ascii="Arial" w:cs="Arial" w:eastAsia="Arial" w:hAnsi="Arial"/>
          <w:sz w:val="16"/>
          <w:szCs w:val="16"/>
          <w:color w:val="auto"/>
        </w:rPr>
        <w:t>”, as determined from time to time, means (i) Five Million Dollars ($5,000,000) less (ii) the aggregate dollar amount paid by the Purchasers, if any, to purchase Common Equity in Equity Offerings prior to when the Available Amount is being calculated.</w:t>
      </w:r>
    </w:p>
    <w:p>
      <w:pPr>
        <w:spacing w:after="0" w:line="165" w:lineRule="exact"/>
        <w:rPr>
          <w:sz w:val="20"/>
          <w:szCs w:val="20"/>
          <w:color w:val="auto"/>
        </w:rPr>
      </w:pPr>
    </w:p>
    <w:p>
      <w:pPr>
        <w:ind w:right="80" w:firstLine="1305"/>
        <w:spacing w:after="0" w:line="293" w:lineRule="auto"/>
        <w:tabs>
          <w:tab w:leader="none" w:pos="1962" w:val="left"/>
        </w:tabs>
        <w:numPr>
          <w:ilvl w:val="0"/>
          <w:numId w:val="273"/>
        </w:numPr>
        <w:rPr>
          <w:rFonts w:ascii="Arial" w:cs="Arial" w:eastAsia="Arial" w:hAnsi="Arial"/>
          <w:sz w:val="16"/>
          <w:szCs w:val="16"/>
          <w:b w:val="1"/>
          <w:bCs w:val="1"/>
          <w:color w:val="auto"/>
        </w:rPr>
      </w:pPr>
      <w:r>
        <w:rPr>
          <w:rFonts w:ascii="Arial" w:cs="Arial" w:eastAsia="Arial" w:hAnsi="Arial"/>
          <w:sz w:val="16"/>
          <w:szCs w:val="16"/>
          <w:color w:val="auto"/>
        </w:rPr>
        <w:t>Notwithstanding the foregoing, in the event (i) any of the Company, the Administrative Agent (on behalf of the Purchasers), or the underwriters, with the advice of counsel, determine that the Public Offering Participation Right violates Applicable Laws (including, without limitation, as a result of the Purchasers having material non-public information), (ii) the Public Offering Participation Right is limited by carve backs, restrictions or other limitations reasonably requested by the underwriters, or (iii) the Purchasers are otherwise not permitted or decline, in their sole discretion, to participate in a Qualifying Follow-On Offering pursuant to the terms hereof (each, a “</w:t>
      </w:r>
      <w:r>
        <w:rPr>
          <w:rFonts w:ascii="Arial" w:cs="Arial" w:eastAsia="Arial" w:hAnsi="Arial"/>
          <w:sz w:val="16"/>
          <w:szCs w:val="16"/>
          <w:b w:val="1"/>
          <w:bCs w:val="1"/>
          <w:i w:val="1"/>
          <w:iCs w:val="1"/>
          <w:color w:val="auto"/>
        </w:rPr>
        <w:t>Public Offering Disqualification Event</w:t>
      </w:r>
      <w:r>
        <w:rPr>
          <w:rFonts w:ascii="Arial" w:cs="Arial" w:eastAsia="Arial" w:hAnsi="Arial"/>
          <w:sz w:val="16"/>
          <w:szCs w:val="16"/>
          <w:color w:val="auto"/>
        </w:rPr>
        <w:t>”), then, each Purchaser, in its sole discretion, shall have the right but not the obligation (the “</w:t>
      </w:r>
      <w:r>
        <w:rPr>
          <w:rFonts w:ascii="Arial" w:cs="Arial" w:eastAsia="Arial" w:hAnsi="Arial"/>
          <w:sz w:val="16"/>
          <w:szCs w:val="16"/>
          <w:b w:val="1"/>
          <w:bCs w:val="1"/>
          <w:i w:val="1"/>
          <w:iCs w:val="1"/>
          <w:color w:val="auto"/>
        </w:rPr>
        <w:t>Private Placement Participation Right</w:t>
      </w:r>
      <w:r>
        <w:rPr>
          <w:rFonts w:ascii="Arial" w:cs="Arial" w:eastAsia="Arial" w:hAnsi="Arial"/>
          <w:sz w:val="16"/>
          <w:szCs w:val="16"/>
          <w:color w:val="auto"/>
        </w:rPr>
        <w:t>”), to purchase, in a private placement exempt from the registration</w:t>
      </w:r>
    </w:p>
    <w:p>
      <w:pPr>
        <w:sectPr>
          <w:pgSz w:w="11900" w:h="16838" w:orient="portrait"/>
          <w:cols w:equalWidth="0" w:num="1">
            <w:col w:w="11460"/>
          </w:cols>
          <w:pgMar w:left="240" w:top="125" w:right="199" w:bottom="0" w:gutter="0" w:footer="0" w:header="0"/>
        </w:sectPr>
      </w:pPr>
    </w:p>
    <w:bookmarkStart w:id="124" w:name="page125"/>
    <w:bookmarkEnd w:id="124"/>
    <w:p>
      <w:pPr>
        <w:ind w:right="80"/>
        <w:spacing w:after="0" w:line="254" w:lineRule="auto"/>
        <w:rPr>
          <w:sz w:val="20"/>
          <w:szCs w:val="20"/>
          <w:color w:val="auto"/>
        </w:rPr>
      </w:pPr>
      <w:r>
        <w:rPr>
          <w:rFonts w:ascii="Arial" w:cs="Arial" w:eastAsia="Arial" w:hAnsi="Arial"/>
          <w:sz w:val="18"/>
          <w:szCs w:val="18"/>
          <w:color w:val="auto"/>
        </w:rPr>
        <w:t>requirements of the Securities Act of 1933, as amended, concurrent to the Qualifying Follow-On Offering, (the “</w:t>
      </w:r>
      <w:r>
        <w:rPr>
          <w:rFonts w:ascii="Arial" w:cs="Arial" w:eastAsia="Arial" w:hAnsi="Arial"/>
          <w:sz w:val="18"/>
          <w:szCs w:val="18"/>
          <w:b w:val="1"/>
          <w:bCs w:val="1"/>
          <w:i w:val="1"/>
          <w:iCs w:val="1"/>
          <w:color w:val="auto"/>
        </w:rPr>
        <w:t>Private Placement</w:t>
      </w:r>
      <w:r>
        <w:rPr>
          <w:rFonts w:ascii="Arial" w:cs="Arial" w:eastAsia="Arial" w:hAnsi="Arial"/>
          <w:sz w:val="18"/>
          <w:szCs w:val="18"/>
          <w:color w:val="auto"/>
        </w:rPr>
        <w:t>”), such Purchaser’s Pro Rata Percentage (as defined below) of up to an aggregate number of shares or units of Common Equity equal to (A) the Available Amount divided by (B) the Equity Purchase Price (as defined below), at a price per share or unit equal to the Equity Purchase Price (the “</w:t>
      </w:r>
      <w:r>
        <w:rPr>
          <w:rFonts w:ascii="Arial" w:cs="Arial" w:eastAsia="Arial" w:hAnsi="Arial"/>
          <w:sz w:val="18"/>
          <w:szCs w:val="18"/>
          <w:b w:val="1"/>
          <w:bCs w:val="1"/>
          <w:i w:val="1"/>
          <w:iCs w:val="1"/>
          <w:color w:val="auto"/>
        </w:rPr>
        <w:t>Private Placement Price</w:t>
      </w:r>
      <w:r>
        <w:rPr>
          <w:rFonts w:ascii="Arial" w:cs="Arial" w:eastAsia="Arial" w:hAnsi="Arial"/>
          <w:sz w:val="18"/>
          <w:szCs w:val="18"/>
          <w:color w:val="auto"/>
        </w:rPr>
        <w:t>”) in a closing to be held concurrently with the closing of the Qualifying Follow-On Offering. Notwithstanding the foregoing, the Participation Right shall be subject to a determination by the Company or the Administrative Agent with the advice of outside counsel, that the Private Placement does not violate Applicable Law.If neither the Public Offering Participation Right nor the Private Placement Participation Right with respect to a Qualifying Follow-On Offering can be effected in compliance with Applicable Law, then the Company shall have no further obligation to the Purchasers pursuant to this Letter Agreement with respect to such Qualifying Follow-On Offering.</w:t>
      </w:r>
    </w:p>
    <w:p>
      <w:pPr>
        <w:spacing w:after="0" w:line="192" w:lineRule="exact"/>
        <w:rPr>
          <w:sz w:val="20"/>
          <w:szCs w:val="20"/>
          <w:color w:val="auto"/>
        </w:rPr>
      </w:pPr>
    </w:p>
    <w:p>
      <w:pPr>
        <w:ind w:firstLine="1305"/>
        <w:spacing w:after="0" w:line="287" w:lineRule="auto"/>
        <w:tabs>
          <w:tab w:leader="none" w:pos="1955" w:val="left"/>
        </w:tabs>
        <w:numPr>
          <w:ilvl w:val="0"/>
          <w:numId w:val="274"/>
        </w:numPr>
        <w:rPr>
          <w:rFonts w:ascii="Arial" w:cs="Arial" w:eastAsia="Arial" w:hAnsi="Arial"/>
          <w:sz w:val="16"/>
          <w:szCs w:val="16"/>
          <w:b w:val="1"/>
          <w:bCs w:val="1"/>
          <w:color w:val="auto"/>
        </w:rPr>
      </w:pPr>
      <w:r>
        <w:rPr>
          <w:rFonts w:ascii="Arial" w:cs="Arial" w:eastAsia="Arial" w:hAnsi="Arial"/>
          <w:sz w:val="16"/>
          <w:szCs w:val="16"/>
          <w:color w:val="auto"/>
        </w:rPr>
        <w:t>In the event the Company intends to offer or sell Common Equity in one or more transactions in any manner other than pursuant to a Qualifying Follow-On Offering or Private Placement as set forth above, including without limitation, any other private placement of Common Equity solely for cash, but excluding an underwritten Rule 144A offering of securities convertible into or exchangeable for shares of common stock of the Company (a “</w:t>
      </w:r>
      <w:r>
        <w:rPr>
          <w:rFonts w:ascii="Arial" w:cs="Arial" w:eastAsia="Arial" w:hAnsi="Arial"/>
          <w:sz w:val="16"/>
          <w:szCs w:val="16"/>
          <w:b w:val="1"/>
          <w:bCs w:val="1"/>
          <w:i w:val="1"/>
          <w:iCs w:val="1"/>
          <w:color w:val="auto"/>
        </w:rPr>
        <w:t>Private Sale</w:t>
      </w:r>
      <w:r>
        <w:rPr>
          <w:rFonts w:ascii="Arial" w:cs="Arial" w:eastAsia="Arial" w:hAnsi="Arial"/>
          <w:sz w:val="16"/>
          <w:szCs w:val="16"/>
          <w:color w:val="auto"/>
        </w:rPr>
        <w:t>”, and together with a Private Placement and a Qualifying Follow-On Offering, each, an “</w:t>
      </w:r>
      <w:r>
        <w:rPr>
          <w:rFonts w:ascii="Arial" w:cs="Arial" w:eastAsia="Arial" w:hAnsi="Arial"/>
          <w:sz w:val="16"/>
          <w:szCs w:val="16"/>
          <w:b w:val="1"/>
          <w:bCs w:val="1"/>
          <w:i w:val="1"/>
          <w:iCs w:val="1"/>
          <w:color w:val="auto"/>
        </w:rPr>
        <w:t>Equity Offering</w:t>
      </w:r>
      <w:r>
        <w:rPr>
          <w:rFonts w:ascii="Arial" w:cs="Arial" w:eastAsia="Arial" w:hAnsi="Arial"/>
          <w:sz w:val="16"/>
          <w:szCs w:val="16"/>
          <w:color w:val="auto"/>
        </w:rPr>
        <w:t>”), no later than one year following the Funding Date, then, each Purchaser, in its sole discretion, shall have the right but not the obligation (the “</w:t>
      </w:r>
      <w:r>
        <w:rPr>
          <w:rFonts w:ascii="Arial" w:cs="Arial" w:eastAsia="Arial" w:hAnsi="Arial"/>
          <w:sz w:val="16"/>
          <w:szCs w:val="16"/>
          <w:b w:val="1"/>
          <w:bCs w:val="1"/>
          <w:i w:val="1"/>
          <w:iCs w:val="1"/>
          <w:color w:val="auto"/>
        </w:rPr>
        <w:t>Private Sale Participation Right</w:t>
      </w:r>
      <w:r>
        <w:rPr>
          <w:rFonts w:ascii="Arial" w:cs="Arial" w:eastAsia="Arial" w:hAnsi="Arial"/>
          <w:sz w:val="16"/>
          <w:szCs w:val="16"/>
          <w:color w:val="auto"/>
        </w:rPr>
        <w:t>”), to participate in such Private Sale and purchase such Purchaser’s Pro Rata Percentage of up to an aggregate number of shares or units of Common Equity equal to (i) the Available Amount divided by (ii) the Equity Purchase Price, at a price per share or unit equal to the Equity Purchase Price. Notwithstanding the foregoing, the following shall not be deemed to be Private Sales or offers or sales of Common Equity: (i) issuances of equity compensation to employees and directors of the Company pursuant to the equity compensation plans that have been approved by shareholders of the Company prior to the Funding Date and (ii) issuances of Common Equity in connection with strategic transactions involving the Company and other entities, including joint ventures, manufacturing, marketing or distribution arrangements, and technology transfer or development arrangements.</w:t>
      </w:r>
    </w:p>
    <w:p>
      <w:pPr>
        <w:spacing w:after="0" w:line="172" w:lineRule="exact"/>
        <w:rPr>
          <w:rFonts w:ascii="Arial" w:cs="Arial" w:eastAsia="Arial" w:hAnsi="Arial"/>
          <w:sz w:val="16"/>
          <w:szCs w:val="16"/>
          <w:b w:val="1"/>
          <w:bCs w:val="1"/>
          <w:color w:val="auto"/>
        </w:rPr>
      </w:pPr>
    </w:p>
    <w:p>
      <w:pPr>
        <w:ind w:right="240" w:firstLine="1305"/>
        <w:spacing w:after="0" w:line="271" w:lineRule="auto"/>
        <w:tabs>
          <w:tab w:leader="none" w:pos="1962" w:val="left"/>
        </w:tabs>
        <w:numPr>
          <w:ilvl w:val="0"/>
          <w:numId w:val="274"/>
        </w:numPr>
        <w:rPr>
          <w:rFonts w:ascii="Arial" w:cs="Arial" w:eastAsia="Arial" w:hAnsi="Arial"/>
          <w:sz w:val="17"/>
          <w:szCs w:val="17"/>
          <w:b w:val="1"/>
          <w:bCs w:val="1"/>
          <w:color w:val="auto"/>
        </w:rPr>
      </w:pPr>
      <w:r>
        <w:rPr>
          <w:rFonts w:ascii="Arial" w:cs="Arial" w:eastAsia="Arial" w:hAnsi="Arial"/>
          <w:sz w:val="17"/>
          <w:szCs w:val="17"/>
          <w:color w:val="auto"/>
        </w:rPr>
        <w:t>For purposes of this Letter Agreement, a “</w:t>
      </w:r>
      <w:r>
        <w:rPr>
          <w:rFonts w:ascii="Arial" w:cs="Arial" w:eastAsia="Arial" w:hAnsi="Arial"/>
          <w:sz w:val="17"/>
          <w:szCs w:val="17"/>
          <w:b w:val="1"/>
          <w:bCs w:val="1"/>
          <w:i w:val="1"/>
          <w:iCs w:val="1"/>
          <w:color w:val="auto"/>
        </w:rPr>
        <w:t>Qualifying Follow-On Offering</w:t>
      </w:r>
      <w:r>
        <w:rPr>
          <w:rFonts w:ascii="Arial" w:cs="Arial" w:eastAsia="Arial" w:hAnsi="Arial"/>
          <w:sz w:val="17"/>
          <w:szCs w:val="17"/>
          <w:color w:val="auto"/>
        </w:rPr>
        <w:t>” means the issuance by the Company of Common Equity in an underwritten primary public offering (other than a public offering pursuant to a registration statement on Form S-8) pursuant to an effective registration statement filed with the SEC in accordance with the Securities Act of 1933, as amended, and such Equity Interests are listed on a nationally-recognized stock exchange in the United States. For purposes of clarity, sales of Common Equity pursuant to the Company’s existing Controlled Equity Offering Sales Agreement shall not constitute a Qualifying Follow-On Offering. The “</w:t>
      </w:r>
      <w:r>
        <w:rPr>
          <w:rFonts w:ascii="Arial" w:cs="Arial" w:eastAsia="Arial" w:hAnsi="Arial"/>
          <w:sz w:val="17"/>
          <w:szCs w:val="17"/>
          <w:b w:val="1"/>
          <w:bCs w:val="1"/>
          <w:i w:val="1"/>
          <w:iCs w:val="1"/>
          <w:color w:val="auto"/>
        </w:rPr>
        <w:t>Purchaser’s Pro Rata Percentage</w:t>
      </w:r>
      <w:r>
        <w:rPr>
          <w:rFonts w:ascii="Arial" w:cs="Arial" w:eastAsia="Arial" w:hAnsi="Arial"/>
          <w:sz w:val="17"/>
          <w:szCs w:val="17"/>
          <w:color w:val="auto"/>
        </w:rPr>
        <w:t>” means, with respect to each Purchaser at the time of the Closing, the percentage of the Outstanding Amount of all Loans and Commitments under the Credit Agreement represented by the Outstanding Amount of the Purchaser’s Loans and Commitments at the time of the Closing. The “</w:t>
      </w:r>
      <w:r>
        <w:rPr>
          <w:rFonts w:ascii="Arial" w:cs="Arial" w:eastAsia="Arial" w:hAnsi="Arial"/>
          <w:sz w:val="17"/>
          <w:szCs w:val="17"/>
          <w:b w:val="1"/>
          <w:bCs w:val="1"/>
          <w:i w:val="1"/>
          <w:iCs w:val="1"/>
          <w:color w:val="auto"/>
        </w:rPr>
        <w:t>Equity Purchase Price</w:t>
      </w:r>
      <w:r>
        <w:rPr>
          <w:rFonts w:ascii="Arial" w:cs="Arial" w:eastAsia="Arial" w:hAnsi="Arial"/>
          <w:sz w:val="17"/>
          <w:szCs w:val="17"/>
          <w:color w:val="auto"/>
        </w:rPr>
        <w:t>” means (i) in the case of a Qualifying Follow-On Offering or Private Placement, the Public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Offering Price and (ii) in the case of a Private Sale, the price per share or unit negotiated in good faith by the Purchasers, any other purchasers of Common Equity in such Private Sale, and the Company; provided, however, in no event will the Equity Purchase Price be greater than the purchase price offered to a third-party purchaser in the applicable Equity Offering.</w:t>
      </w:r>
    </w:p>
    <w:p>
      <w:pPr>
        <w:spacing w:after="0" w:line="181" w:lineRule="exact"/>
        <w:rPr>
          <w:sz w:val="20"/>
          <w:szCs w:val="20"/>
          <w:color w:val="auto"/>
        </w:rPr>
      </w:pPr>
    </w:p>
    <w:p>
      <w:pPr>
        <w:ind w:right="180" w:firstLine="1305"/>
        <w:spacing w:after="0" w:line="285" w:lineRule="auto"/>
        <w:tabs>
          <w:tab w:leader="none" w:pos="1955" w:val="left"/>
        </w:tabs>
        <w:numPr>
          <w:ilvl w:val="2"/>
          <w:numId w:val="275"/>
        </w:numPr>
        <w:rPr>
          <w:rFonts w:ascii="Arial" w:cs="Arial" w:eastAsia="Arial" w:hAnsi="Arial"/>
          <w:sz w:val="16"/>
          <w:szCs w:val="16"/>
          <w:b w:val="1"/>
          <w:bCs w:val="1"/>
          <w:color w:val="auto"/>
        </w:rPr>
      </w:pPr>
      <w:r>
        <w:rPr>
          <w:rFonts w:ascii="Arial" w:cs="Arial" w:eastAsia="Arial" w:hAnsi="Arial"/>
          <w:sz w:val="16"/>
          <w:szCs w:val="16"/>
          <w:color w:val="auto"/>
        </w:rPr>
        <w:t>In the event of a Qualifying Follow-On Offering, at least fifteen (15) business days prior to the anticipated effective date of the registration statement for the Qualifying Follow-On Offering or, if the Qualifying Follow-On Offering is to be effected using an existing effective shelf registration statement (a “</w:t>
      </w:r>
      <w:r>
        <w:rPr>
          <w:rFonts w:ascii="Arial" w:cs="Arial" w:eastAsia="Arial" w:hAnsi="Arial"/>
          <w:sz w:val="16"/>
          <w:szCs w:val="16"/>
          <w:b w:val="1"/>
          <w:bCs w:val="1"/>
          <w:i w:val="1"/>
          <w:iCs w:val="1"/>
          <w:color w:val="auto"/>
        </w:rPr>
        <w:t>Shelf Takedown</w:t>
      </w:r>
      <w:r>
        <w:rPr>
          <w:rFonts w:ascii="Arial" w:cs="Arial" w:eastAsia="Arial" w:hAnsi="Arial"/>
          <w:sz w:val="16"/>
          <w:szCs w:val="16"/>
          <w:color w:val="auto"/>
        </w:rPr>
        <w:t>”), at least twelve (12) business days prior to the anticipated initial public marketing date for the Shelf Takedown, the Company shall deliver to the Purchasers written notice (the “</w:t>
      </w:r>
      <w:r>
        <w:rPr>
          <w:rFonts w:ascii="Arial" w:cs="Arial" w:eastAsia="Arial" w:hAnsi="Arial"/>
          <w:sz w:val="16"/>
          <w:szCs w:val="16"/>
          <w:b w:val="1"/>
          <w:bCs w:val="1"/>
          <w:i w:val="1"/>
          <w:iCs w:val="1"/>
          <w:color w:val="auto"/>
        </w:rPr>
        <w:t>Qualifying Follow-On Offering Notice</w:t>
      </w:r>
      <w:r>
        <w:rPr>
          <w:rFonts w:ascii="Arial" w:cs="Arial" w:eastAsia="Arial" w:hAnsi="Arial"/>
          <w:sz w:val="16"/>
          <w:szCs w:val="16"/>
          <w:color w:val="auto"/>
        </w:rPr>
        <w:t>”) specifying (i) that the Company has filed a registration statement for a Qualifying Follow-On Offering or, in the case of a Shelf Takedown, the Company anticipates effecting such Shelf Takedown,</w:t>
      </w:r>
    </w:p>
    <w:p>
      <w:pPr>
        <w:spacing w:after="0" w:line="2" w:lineRule="exact"/>
        <w:rPr>
          <w:rFonts w:ascii="Arial" w:cs="Arial" w:eastAsia="Arial" w:hAnsi="Arial"/>
          <w:sz w:val="16"/>
          <w:szCs w:val="16"/>
          <w:b w:val="1"/>
          <w:bCs w:val="1"/>
          <w:color w:val="auto"/>
        </w:rPr>
      </w:pPr>
    </w:p>
    <w:p>
      <w:pPr>
        <w:ind w:left="280" w:hanging="272"/>
        <w:spacing w:after="0"/>
        <w:tabs>
          <w:tab w:leader="none" w:pos="28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anticipated effective date of the registration statement or initial public marketing date, as the case may be, for the Qualifying Follow-On Offering, and</w:t>
      </w:r>
    </w:p>
    <w:p>
      <w:pPr>
        <w:spacing w:after="0" w:line="32" w:lineRule="exact"/>
        <w:rPr>
          <w:rFonts w:ascii="Arial" w:cs="Arial" w:eastAsia="Arial" w:hAnsi="Arial"/>
          <w:sz w:val="16"/>
          <w:szCs w:val="16"/>
          <w:color w:val="auto"/>
        </w:rPr>
      </w:pPr>
    </w:p>
    <w:p>
      <w:pPr>
        <w:ind w:right="240" w:firstLine="8"/>
        <w:spacing w:after="0" w:line="253" w:lineRule="auto"/>
        <w:tabs>
          <w:tab w:leader="none" w:pos="31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other appropriate information required by Applicable Law. In the case of a Private Sale, at least twelve (12) business days prior to the anticipated closing of any Private Sale, the Company shall deliver to the Purchasers a written notice (the “</w:t>
      </w:r>
      <w:r>
        <w:rPr>
          <w:rFonts w:ascii="Arial" w:cs="Arial" w:eastAsia="Arial" w:hAnsi="Arial"/>
          <w:sz w:val="18"/>
          <w:szCs w:val="18"/>
          <w:b w:val="1"/>
          <w:bCs w:val="1"/>
          <w:i w:val="1"/>
          <w:iCs w:val="1"/>
          <w:color w:val="auto"/>
        </w:rPr>
        <w:t>Private Sale Offering Notice</w:t>
      </w:r>
      <w:r>
        <w:rPr>
          <w:rFonts w:ascii="Arial" w:cs="Arial" w:eastAsia="Arial" w:hAnsi="Arial"/>
          <w:sz w:val="18"/>
          <w:szCs w:val="18"/>
          <w:color w:val="auto"/>
        </w:rPr>
        <w:t>”) specifying that the Company intends to offer Common Equity for sale and the anticipated closing date of the sale of such Common Equity that includes copies of the definitive documentation pursuant to which the Company intends to offer or sell the Common Equity as well as any other appropriate information required by Applicable Law.</w:t>
      </w:r>
    </w:p>
    <w:p>
      <w:pPr>
        <w:spacing w:after="0" w:line="191" w:lineRule="exact"/>
        <w:rPr>
          <w:rFonts w:ascii="Arial" w:cs="Arial" w:eastAsia="Arial" w:hAnsi="Arial"/>
          <w:sz w:val="18"/>
          <w:szCs w:val="18"/>
          <w:color w:val="auto"/>
        </w:rPr>
      </w:pPr>
    </w:p>
    <w:p>
      <w:pPr>
        <w:ind w:right="40" w:firstLine="1305"/>
        <w:spacing w:after="0" w:line="257" w:lineRule="auto"/>
        <w:tabs>
          <w:tab w:leader="none" w:pos="1949" w:val="left"/>
        </w:tabs>
        <w:numPr>
          <w:ilvl w:val="2"/>
          <w:numId w:val="276"/>
        </w:numPr>
        <w:rPr>
          <w:rFonts w:ascii="Arial" w:cs="Arial" w:eastAsia="Arial" w:hAnsi="Arial"/>
          <w:sz w:val="18"/>
          <w:szCs w:val="18"/>
          <w:b w:val="1"/>
          <w:bCs w:val="1"/>
          <w:color w:val="auto"/>
        </w:rPr>
      </w:pPr>
      <w:r>
        <w:rPr>
          <w:rFonts w:ascii="Arial" w:cs="Arial" w:eastAsia="Arial" w:hAnsi="Arial"/>
          <w:sz w:val="18"/>
          <w:szCs w:val="18"/>
          <w:color w:val="auto"/>
        </w:rPr>
        <w:t>Upon receipt of the Qualifying Follow-On Offering Notice or Private Sale Offering Notice, as applicable, each Purchaser shall promptly, but in no event later than twelve (12) business days (eight (8) business days in the case of a Shelf Takedown) from receipt of such notice in the case of a Qualifying Follow-On Offering or ten (10) business days from receipt of such notice in the case of a Private Sale, inform the Company in writing whether such Purchaser wishes to exercise its (i) Public Offering Participation Right,or (ii) Private Placement Participation Right or (iii) Private Sale Participation Right.</w:t>
      </w:r>
    </w:p>
    <w:p>
      <w:pPr>
        <w:spacing w:after="0" w:line="188" w:lineRule="exact"/>
        <w:rPr>
          <w:rFonts w:ascii="Arial" w:cs="Arial" w:eastAsia="Arial" w:hAnsi="Arial"/>
          <w:sz w:val="18"/>
          <w:szCs w:val="18"/>
          <w:b w:val="1"/>
          <w:bCs w:val="1"/>
          <w:color w:val="auto"/>
        </w:rPr>
      </w:pPr>
    </w:p>
    <w:p>
      <w:pPr>
        <w:ind w:firstLine="1305"/>
        <w:spacing w:after="0" w:line="257" w:lineRule="auto"/>
        <w:tabs>
          <w:tab w:leader="none" w:pos="1952" w:val="left"/>
        </w:tabs>
        <w:numPr>
          <w:ilvl w:val="2"/>
          <w:numId w:val="276"/>
        </w:numPr>
        <w:rPr>
          <w:rFonts w:ascii="Arial" w:cs="Arial" w:eastAsia="Arial" w:hAnsi="Arial"/>
          <w:sz w:val="18"/>
          <w:szCs w:val="18"/>
          <w:b w:val="1"/>
          <w:bCs w:val="1"/>
          <w:color w:val="auto"/>
        </w:rPr>
      </w:pPr>
      <w:r>
        <w:rPr>
          <w:rFonts w:ascii="Arial" w:cs="Arial" w:eastAsia="Arial" w:hAnsi="Arial"/>
          <w:sz w:val="18"/>
          <w:szCs w:val="18"/>
          <w:color w:val="auto"/>
        </w:rPr>
        <w:t>As a condition to each Purchaser participating in the Qualifying Follow-On Offering, each such Purchaser shall execute such other documents as may be required of all participants in the Qualifying Follow-On Offering or as deemed reasonably necessary by the underwriter of the Qualifying Follow-On Offering or the Company, as applicable, including, without limitation a “lock-up” agreement; provided, however, that no Purchaser will be required to enter into a lock-up agreement unless all directors, executive officers and significant shareholders of the Company enter into a significantly similar lock-up agreement.</w:t>
      </w:r>
    </w:p>
    <w:p>
      <w:pPr>
        <w:spacing w:after="0" w:line="188" w:lineRule="exact"/>
        <w:rPr>
          <w:rFonts w:ascii="Arial" w:cs="Arial" w:eastAsia="Arial" w:hAnsi="Arial"/>
          <w:sz w:val="18"/>
          <w:szCs w:val="18"/>
          <w:b w:val="1"/>
          <w:bCs w:val="1"/>
          <w:color w:val="auto"/>
        </w:rPr>
      </w:pPr>
    </w:p>
    <w:p>
      <w:pPr>
        <w:ind w:right="140" w:firstLine="1305"/>
        <w:spacing w:after="0" w:line="259" w:lineRule="auto"/>
        <w:tabs>
          <w:tab w:leader="none" w:pos="1962" w:val="left"/>
        </w:tabs>
        <w:numPr>
          <w:ilvl w:val="2"/>
          <w:numId w:val="276"/>
        </w:numPr>
        <w:rPr>
          <w:rFonts w:ascii="Arial" w:cs="Arial" w:eastAsia="Arial" w:hAnsi="Arial"/>
          <w:sz w:val="18"/>
          <w:szCs w:val="18"/>
          <w:b w:val="1"/>
          <w:bCs w:val="1"/>
          <w:color w:val="auto"/>
        </w:rPr>
      </w:pPr>
      <w:r>
        <w:rPr>
          <w:rFonts w:ascii="Arial" w:cs="Arial" w:eastAsia="Arial" w:hAnsi="Arial"/>
          <w:sz w:val="18"/>
          <w:szCs w:val="18"/>
          <w:color w:val="auto"/>
        </w:rPr>
        <w:t>As a condition to each Purchaser participating in a Private Placement or Private Sale, as applicable, each such Purchaser shall execute such other documents as may be deemed reasonably necessary by the Company, including, without limitation a “lock-up” agreement; provided, however, that no Purchaser will be required to enter into a lock-up agreement unless, it is for ninety (90) days or less and all directors, executive officers and significant shareholders of the Company enter into a significantly similar lock-up agreements.</w:t>
      </w:r>
    </w:p>
    <w:p>
      <w:pPr>
        <w:spacing w:after="0" w:line="18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Undertakings in Connection with Exercise of Private Placement Participation Right</w:t>
      </w:r>
    </w:p>
    <w:p>
      <w:pPr>
        <w:spacing w:after="0" w:line="229"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In the event a Purchaser exercises its Private Placement Participation Right, the Company and the Purchasers shall, on or before the date of the final prospectus relating to the registration by the Company of shares or units of Common Equity in the Qualifying Follow-On Offering (the “</w:t>
      </w:r>
      <w:r>
        <w:rPr>
          <w:rFonts w:ascii="Arial" w:cs="Arial" w:eastAsia="Arial" w:hAnsi="Arial"/>
          <w:sz w:val="18"/>
          <w:szCs w:val="18"/>
          <w:b w:val="1"/>
          <w:bCs w:val="1"/>
          <w:i w:val="1"/>
          <w:iCs w:val="1"/>
          <w:color w:val="auto"/>
        </w:rPr>
        <w:t>Final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Prospectus Date</w:t>
      </w:r>
      <w:r>
        <w:rPr>
          <w:rFonts w:ascii="Arial" w:cs="Arial" w:eastAsia="Arial" w:hAnsi="Arial"/>
          <w:sz w:val="18"/>
          <w:szCs w:val="18"/>
          <w:color w:val="auto"/>
        </w:rPr>
        <w:t>”), execute and deliver such other documents, including a stock purchase agreement containing representations, warranties and conditions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that, in each case, are customary for a transaction structured as a concurrent private placement with a follow-on public offering, that are reasonably satisfactory to the Company and each Purchaser.</w:t>
      </w:r>
    </w:p>
    <w:p>
      <w:pPr>
        <w:spacing w:after="0" w:line="184" w:lineRule="exact"/>
        <w:rPr>
          <w:sz w:val="20"/>
          <w:szCs w:val="20"/>
          <w:color w:val="auto"/>
        </w:rPr>
      </w:pPr>
    </w:p>
    <w:p>
      <w:pPr>
        <w:ind w:left="1300" w:hanging="644"/>
        <w:spacing w:after="0"/>
        <w:tabs>
          <w:tab w:leader="none" w:pos="130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Undertakings in Connection with Exercise of Private Sale Participation Right</w:t>
      </w:r>
    </w:p>
    <w:p>
      <w:pPr>
        <w:sectPr>
          <w:pgSz w:w="11900" w:h="16838" w:orient="portrait"/>
          <w:cols w:equalWidth="0" w:num="1">
            <w:col w:w="11420"/>
          </w:cols>
          <w:pgMar w:left="240" w:top="125" w:right="239" w:bottom="0" w:gutter="0" w:footer="0" w:header="0"/>
        </w:sectPr>
      </w:pPr>
    </w:p>
    <w:bookmarkStart w:id="125" w:name="page126"/>
    <w:bookmarkEnd w:id="125"/>
    <w:p>
      <w:pPr>
        <w:spacing w:after="0" w:line="77" w:lineRule="exact"/>
        <w:rPr>
          <w:sz w:val="20"/>
          <w:szCs w:val="20"/>
          <w:color w:val="auto"/>
        </w:rPr>
      </w:pPr>
    </w:p>
    <w:p>
      <w:pPr>
        <w:jc w:val="both"/>
        <w:ind w:right="120" w:firstLine="1297"/>
        <w:spacing w:after="0" w:line="279" w:lineRule="auto"/>
        <w:rPr>
          <w:sz w:val="20"/>
          <w:szCs w:val="20"/>
          <w:color w:val="auto"/>
        </w:rPr>
      </w:pPr>
      <w:r>
        <w:rPr>
          <w:rFonts w:ascii="Arial" w:cs="Arial" w:eastAsia="Arial" w:hAnsi="Arial"/>
          <w:sz w:val="17"/>
          <w:szCs w:val="17"/>
          <w:color w:val="auto"/>
        </w:rPr>
        <w:t>In the event a Purchaser exercises its Private Sale Participation Right, the Company and the Purchasers shall, on or before the closing date of the Private Sale (the “</w:t>
      </w:r>
      <w:r>
        <w:rPr>
          <w:rFonts w:ascii="Arial" w:cs="Arial" w:eastAsia="Arial" w:hAnsi="Arial"/>
          <w:sz w:val="17"/>
          <w:szCs w:val="17"/>
          <w:b w:val="1"/>
          <w:bCs w:val="1"/>
          <w:i w:val="1"/>
          <w:iCs w:val="1"/>
          <w:color w:val="auto"/>
        </w:rPr>
        <w:t>Private Sale Closing Date</w:t>
      </w:r>
      <w:r>
        <w:rPr>
          <w:rFonts w:ascii="Arial" w:cs="Arial" w:eastAsia="Arial" w:hAnsi="Arial"/>
          <w:sz w:val="17"/>
          <w:szCs w:val="17"/>
          <w:color w:val="auto"/>
        </w:rPr>
        <w:t>”), execute and deliver the definitive documents, pursuant to which the Company is selling or issuing the Common Equity, including a stock purchase agreement containing representations, warranties and conditions to closing, that, in each case, are customary for a transaction structured as a similar private sale, that are reasonably satisfactory to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Company and each Purchaser. The terms included in any definitive documentation between the Company and Purchaser governing a Private Sale shall be no less favorable than those given to other purchasers of Common Equity in the Private Sale.</w:t>
      </w:r>
    </w:p>
    <w:p>
      <w:pPr>
        <w:spacing w:after="0" w:line="166" w:lineRule="exact"/>
        <w:rPr>
          <w:sz w:val="20"/>
          <w:szCs w:val="20"/>
          <w:color w:val="auto"/>
        </w:rPr>
      </w:pPr>
    </w:p>
    <w:p>
      <w:pPr>
        <w:ind w:right="220" w:firstLine="656"/>
        <w:spacing w:after="0" w:line="266" w:lineRule="auto"/>
        <w:tabs>
          <w:tab w:leader="none" w:pos="1296"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The covenants, rights and obligations set forth in Sections 1, 2 and 3 of this Letter Agreement shall terminate and be of no</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force or effect upon the earliest to occur of (i) the Available Amount being zero (0) due to purchases by the Purchasers of Five Million Dollars ($5,000,000) of Common Equity, or (ii) the date that is one (1) year from the Funding Date.</w:t>
      </w:r>
    </w:p>
    <w:p>
      <w:pPr>
        <w:spacing w:after="0" w:line="176" w:lineRule="exact"/>
        <w:rPr>
          <w:rFonts w:ascii="Arial" w:cs="Arial" w:eastAsia="Arial" w:hAnsi="Arial"/>
          <w:sz w:val="18"/>
          <w:szCs w:val="18"/>
          <w:b w:val="1"/>
          <w:bCs w:val="1"/>
          <w:color w:val="auto"/>
        </w:rPr>
      </w:pPr>
    </w:p>
    <w:p>
      <w:pPr>
        <w:ind w:right="40" w:firstLine="656"/>
        <w:spacing w:after="0" w:line="270" w:lineRule="auto"/>
        <w:tabs>
          <w:tab w:leader="none" w:pos="1296" w:val="left"/>
        </w:tabs>
        <w:numPr>
          <w:ilvl w:val="0"/>
          <w:numId w:val="2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The provisions of this Letter Agreement shall be binding upon and inure to the benefit of the parties hereto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respective successors and assigns permitted hereby, provided that (i) the Company may not assign or otherwise transfer any of its rights or obligations hereunder without the prior written consent of each Purchaser, and, (ii) except as otherwise permitted herein, each Purchaser may not assign or otherwise transfer any of its rights or obligations hereunder without the prior written consent of the Company. Notwithstanding anything to the contrary herein, each Purchaser shall assign without consent of the Company (but with notice to the Company) a proportionate part of its rights and obligations under this Letter Agreement to any successor or assign of such Purchaser’s rights and obligations under the Credit Agreement, subject to compliance with Applicable Law, including federal and state securities laws (a “</w:t>
      </w:r>
      <w:r>
        <w:rPr>
          <w:rFonts w:ascii="Arial" w:cs="Arial" w:eastAsia="Arial" w:hAnsi="Arial"/>
          <w:sz w:val="17"/>
          <w:szCs w:val="17"/>
          <w:b w:val="1"/>
          <w:bCs w:val="1"/>
          <w:i w:val="1"/>
          <w:iCs w:val="1"/>
          <w:color w:val="auto"/>
        </w:rPr>
        <w:t>Required Assignment</w:t>
      </w:r>
      <w:r>
        <w:rPr>
          <w:rFonts w:ascii="Arial" w:cs="Arial" w:eastAsia="Arial" w:hAnsi="Arial"/>
          <w:sz w:val="17"/>
          <w:szCs w:val="17"/>
          <w:color w:val="auto"/>
        </w:rPr>
        <w:t>”). Each Required Assignment hereunder shall be proportionate and ratable to its corresponding assignment under the Credit Agreement in accordance with Section 11.06(b)(ii) of the Credit Agreement. Notwithstanding anything to the contrary herein, each Purchaser shall be permitted to assign or transfer any of its rights or obligations hereunder to any Affiliate of such Purchaser without the consent of the Company.</w:t>
      </w:r>
    </w:p>
    <w:p>
      <w:pPr>
        <w:spacing w:after="0" w:line="177" w:lineRule="exact"/>
        <w:rPr>
          <w:rFonts w:ascii="Arial" w:cs="Arial" w:eastAsia="Arial" w:hAnsi="Arial"/>
          <w:sz w:val="17"/>
          <w:szCs w:val="17"/>
          <w:b w:val="1"/>
          <w:bCs w:val="1"/>
          <w:color w:val="auto"/>
        </w:rPr>
      </w:pPr>
    </w:p>
    <w:p>
      <w:pPr>
        <w:ind w:left="1300" w:hanging="644"/>
        <w:spacing w:after="0"/>
        <w:tabs>
          <w:tab w:leader="none" w:pos="13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20" w:firstLine="1305"/>
        <w:spacing w:after="0" w:line="266" w:lineRule="auto"/>
        <w:tabs>
          <w:tab w:leader="none" w:pos="1952"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Letter Agreement and any controversy arising out of or relating to this Letter Agreement shall be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by and construed under the laws of the State of New York, without regard to conflict of law principles that would result in the application of any laws other than the laws of the State of New York.</w:t>
      </w:r>
    </w:p>
    <w:p>
      <w:pPr>
        <w:spacing w:after="0" w:line="176" w:lineRule="exact"/>
        <w:rPr>
          <w:rFonts w:ascii="Arial" w:cs="Arial" w:eastAsia="Arial" w:hAnsi="Arial"/>
          <w:sz w:val="18"/>
          <w:szCs w:val="18"/>
          <w:b w:val="1"/>
          <w:bCs w:val="1"/>
          <w:color w:val="auto"/>
        </w:rPr>
      </w:pPr>
    </w:p>
    <w:p>
      <w:pPr>
        <w:ind w:left="1980" w:hanging="675"/>
        <w:spacing w:after="0"/>
        <w:tabs>
          <w:tab w:leader="none" w:pos="1980"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right="140" w:firstLine="1305"/>
        <w:spacing w:after="0" w:line="266" w:lineRule="auto"/>
        <w:tabs>
          <w:tab w:leader="none" w:pos="1955"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Letter Agreement and the exhibits and schedules hereto, constitute the full and entire understanding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parties with regard to the subjects hereof and no party shall be liable for or bound to any other in any manner by any oral or written representations, warranties, covenants and agreements except as specifically set forth herein.</w:t>
      </w:r>
    </w:p>
    <w:p>
      <w:pPr>
        <w:spacing w:after="0" w:line="176" w:lineRule="exact"/>
        <w:rPr>
          <w:rFonts w:ascii="Arial" w:cs="Arial" w:eastAsia="Arial" w:hAnsi="Arial"/>
          <w:sz w:val="18"/>
          <w:szCs w:val="18"/>
          <w:b w:val="1"/>
          <w:bCs w:val="1"/>
          <w:color w:val="auto"/>
        </w:rPr>
      </w:pPr>
    </w:p>
    <w:p>
      <w:pPr>
        <w:ind w:right="260" w:firstLine="1305"/>
        <w:spacing w:after="0" w:line="289" w:lineRule="auto"/>
        <w:tabs>
          <w:tab w:leader="none" w:pos="1962" w:val="left"/>
        </w:tabs>
        <w:numPr>
          <w:ilvl w:val="1"/>
          <w:numId w:val="2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In the event one or more of the provisions of this Letter Agreement should, for any reason, be held to be invalid,</w:t>
      </w:r>
      <w:r>
        <w:rPr>
          <w:rFonts w:ascii="Arial" w:cs="Arial" w:eastAsia="Arial" w:hAnsi="Arial"/>
          <w:sz w:val="17"/>
          <w:szCs w:val="17"/>
          <w:b w:val="1"/>
          <w:bCs w:val="1"/>
          <w:color w:val="auto"/>
        </w:rPr>
        <w:t xml:space="preserve"> </w:t>
      </w:r>
      <w:r>
        <w:rPr>
          <w:rFonts w:ascii="Arial" w:cs="Arial" w:eastAsia="Arial" w:hAnsi="Arial"/>
          <w:sz w:val="17"/>
          <w:szCs w:val="17"/>
          <w:color w:val="auto"/>
        </w:rPr>
        <w:t>illegal or unenforceable in any respect, such invalidity, illegality or unenforceability shall not affect any other provisions of this Letter Agreement, and this Letter Agreement shall be construed as if such invalid, illegal or unenforceable provision had never been contained herein.</w:t>
      </w:r>
    </w:p>
    <w:p>
      <w:pPr>
        <w:spacing w:after="0" w:line="158" w:lineRule="exact"/>
        <w:rPr>
          <w:rFonts w:ascii="Arial" w:cs="Arial" w:eastAsia="Arial" w:hAnsi="Arial"/>
          <w:sz w:val="17"/>
          <w:szCs w:val="17"/>
          <w:b w:val="1"/>
          <w:bCs w:val="1"/>
          <w:color w:val="auto"/>
        </w:rPr>
      </w:pPr>
    </w:p>
    <w:p>
      <w:pPr>
        <w:ind w:right="20" w:firstLine="1305"/>
        <w:spacing w:after="0" w:line="313" w:lineRule="auto"/>
        <w:tabs>
          <w:tab w:leader="none" w:pos="1955" w:val="left"/>
        </w:tabs>
        <w:numPr>
          <w:ilvl w:val="1"/>
          <w:numId w:val="2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 and Waiver. </w:t>
      </w:r>
      <w:r>
        <w:rPr>
          <w:rFonts w:ascii="Arial" w:cs="Arial" w:eastAsia="Arial" w:hAnsi="Arial"/>
          <w:sz w:val="17"/>
          <w:szCs w:val="17"/>
          <w:color w:val="auto"/>
        </w:rPr>
        <w:t>This Letter Agreement may be amended or modified, and the rights and the obligations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rights and obligations of the Purchasers may be waived, only upon the written consent of the Company and each Purchaser.</w:t>
      </w:r>
    </w:p>
    <w:p>
      <w:pPr>
        <w:spacing w:after="0" w:line="138" w:lineRule="exact"/>
        <w:rPr>
          <w:rFonts w:ascii="Arial" w:cs="Arial" w:eastAsia="Arial" w:hAnsi="Arial"/>
          <w:sz w:val="17"/>
          <w:szCs w:val="17"/>
          <w:b w:val="1"/>
          <w:bCs w:val="1"/>
          <w:color w:val="auto"/>
        </w:rPr>
      </w:pPr>
    </w:p>
    <w:p>
      <w:pPr>
        <w:ind w:firstLine="1305"/>
        <w:spacing w:after="0" w:line="295" w:lineRule="auto"/>
        <w:tabs>
          <w:tab w:leader="none" w:pos="1949" w:val="left"/>
        </w:tabs>
        <w:numPr>
          <w:ilvl w:val="1"/>
          <w:numId w:val="2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Delays or Omissions. </w:t>
      </w:r>
      <w:r>
        <w:rPr>
          <w:rFonts w:ascii="Arial" w:cs="Arial" w:eastAsia="Arial" w:hAnsi="Arial"/>
          <w:sz w:val="16"/>
          <w:szCs w:val="16"/>
          <w:color w:val="auto"/>
        </w:rPr>
        <w:t>It is agreed that no delay or omission to exercise any right, power or remedy accruing to any party,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breach, default or noncompliance by another party under this Letter Agreement, shall impair any such right, power or remedy, nor shall it be construed to be a waiver of any such breach, default or noncompliance, or any acquiescence therein, or waiver of or acquiescence in any similar breach, default or noncompliance thereafter occurring. It is further agreed that any waiver, permit, consent or approval of any kind or character on any party’s part of any breach, default or noncompliance under this Letter Agreement or any waiver on such party’s part of any provisions or conditions of this Letter Agreement must be in writing and shall be effective only to the extent specifically set forth in such writing. All remedies, either under this Letter Agreement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organizational documents of the Company, the Credit Agreement or otherwise afforded to any party, shall be cumulative and not alternative.</w:t>
      </w:r>
    </w:p>
    <w:p>
      <w:pPr>
        <w:spacing w:after="0" w:line="233" w:lineRule="exact"/>
        <w:rPr>
          <w:sz w:val="20"/>
          <w:szCs w:val="20"/>
          <w:color w:val="auto"/>
        </w:rPr>
      </w:pPr>
    </w:p>
    <w:p>
      <w:pPr>
        <w:ind w:right="240" w:firstLine="1305"/>
        <w:spacing w:after="0" w:line="282" w:lineRule="auto"/>
        <w:tabs>
          <w:tab w:leader="none" w:pos="1952"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required or permitted hereunder shall be in writing and shall be deemed effectively given when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Section 11.02 of the Credit Agreement.</w:t>
      </w:r>
    </w:p>
    <w:p>
      <w:pPr>
        <w:spacing w:after="0" w:line="161" w:lineRule="exact"/>
        <w:rPr>
          <w:rFonts w:ascii="Arial" w:cs="Arial" w:eastAsia="Arial" w:hAnsi="Arial"/>
          <w:sz w:val="18"/>
          <w:szCs w:val="18"/>
          <w:b w:val="1"/>
          <w:bCs w:val="1"/>
          <w:color w:val="auto"/>
        </w:rPr>
      </w:pPr>
    </w:p>
    <w:p>
      <w:pPr>
        <w:ind w:right="20" w:firstLine="1305"/>
        <w:spacing w:after="0" w:line="258" w:lineRule="auto"/>
        <w:tabs>
          <w:tab w:leader="none" w:pos="1962"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Company shall pay all out-of-pocket expenses incurred by the Administrative Agent and its Affiliates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fees, charges and disbursements of counsel for the Administrative Agent), in connection with the preparation, negotiation, execution, and delivery of this Letter Agreement. Each of the Company, on the one hand, and the Administrative Agent and its Affiliates, on the other hand, shall bear their own expenses in connection with the administration of this Letter Agreement or any amendments, modifications or waivers of the provisions hereof (whether or not the transactions contemplated hereby shall be consummated).</w:t>
      </w:r>
    </w:p>
    <w:p>
      <w:pPr>
        <w:spacing w:after="0" w:line="183" w:lineRule="exact"/>
        <w:rPr>
          <w:rFonts w:ascii="Arial" w:cs="Arial" w:eastAsia="Arial" w:hAnsi="Arial"/>
          <w:sz w:val="18"/>
          <w:szCs w:val="18"/>
          <w:b w:val="1"/>
          <w:bCs w:val="1"/>
          <w:color w:val="auto"/>
        </w:rPr>
      </w:pPr>
    </w:p>
    <w:p>
      <w:pPr>
        <w:ind w:right="100" w:firstLine="1305"/>
        <w:spacing w:after="0" w:line="282" w:lineRule="auto"/>
        <w:tabs>
          <w:tab w:leader="none" w:pos="1953"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Titles and Subtitles. </w:t>
      </w:r>
      <w:r>
        <w:rPr>
          <w:rFonts w:ascii="Arial" w:cs="Arial" w:eastAsia="Arial" w:hAnsi="Arial"/>
          <w:sz w:val="18"/>
          <w:szCs w:val="18"/>
          <w:color w:val="auto"/>
        </w:rPr>
        <w:t>The titles of the sections and subsections of this Letter Agreement are for convenience of reference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to be considered in construing this Letter Agreement.</w:t>
      </w:r>
    </w:p>
    <w:p>
      <w:pPr>
        <w:spacing w:after="0" w:line="161" w:lineRule="exact"/>
        <w:rPr>
          <w:rFonts w:ascii="Arial" w:cs="Arial" w:eastAsia="Arial" w:hAnsi="Arial"/>
          <w:sz w:val="18"/>
          <w:szCs w:val="18"/>
          <w:b w:val="1"/>
          <w:bCs w:val="1"/>
          <w:color w:val="auto"/>
        </w:rPr>
      </w:pPr>
    </w:p>
    <w:p>
      <w:pPr>
        <w:ind w:right="60" w:firstLine="1305"/>
        <w:spacing w:after="0" w:line="261" w:lineRule="auto"/>
        <w:tabs>
          <w:tab w:leader="none" w:pos="1963"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Letter Agreement may be executed in any number of counterparts, each of which shall be an original, but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together shall constitute one instrument. Any or all parties may execute this Letter Agreement by facsimile signature or scanned signature in PDF format and any such facsimile signature or scanned signature, if identified, legible and complete, shall be deemed an original signature and each of the parties is hereby authorized to rely thereon.</w:t>
      </w:r>
    </w:p>
    <w:p>
      <w:pPr>
        <w:sectPr>
          <w:pgSz w:w="11900" w:h="16915" w:orient="portrait"/>
          <w:cols w:equalWidth="0" w:num="1">
            <w:col w:w="11420"/>
          </w:cols>
          <w:pgMar w:left="240" w:top="341" w:right="239" w:bottom="0" w:gutter="0" w:footer="0" w:header="0"/>
        </w:sectPr>
      </w:pPr>
    </w:p>
    <w:bookmarkStart w:id="126" w:name="page127"/>
    <w:bookmarkEnd w:id="126"/>
    <w:p>
      <w:pPr>
        <w:ind w:right="20" w:firstLine="1305"/>
        <w:spacing w:after="0" w:line="261" w:lineRule="auto"/>
        <w:tabs>
          <w:tab w:leader="none" w:pos="1962"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Broker’s Fees. </w:t>
      </w:r>
      <w:r>
        <w:rPr>
          <w:rFonts w:ascii="Arial" w:cs="Arial" w:eastAsia="Arial" w:hAnsi="Arial"/>
          <w:sz w:val="18"/>
          <w:szCs w:val="18"/>
          <w:color w:val="auto"/>
        </w:rPr>
        <w:t>Each party hereto represents and warrants that no agent, broker, investment banker, person or firm acting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or under the authority of such party hereto is or will be entitled to any broker’s or finder’s fee or any other commission directly or indirectly in connection with the transactions contemplated herein. Each party hereto further agrees to indemnify each other party for any claims, losses or expenses incurred by such other party as a result of the representation in this Section 6(k) being untrue.</w:t>
      </w:r>
    </w:p>
    <w:p>
      <w:pPr>
        <w:spacing w:after="0" w:line="180" w:lineRule="exact"/>
        <w:rPr>
          <w:rFonts w:ascii="Arial" w:cs="Arial" w:eastAsia="Arial" w:hAnsi="Arial"/>
          <w:sz w:val="18"/>
          <w:szCs w:val="18"/>
          <w:b w:val="1"/>
          <w:bCs w:val="1"/>
          <w:color w:val="auto"/>
        </w:rPr>
      </w:pPr>
    </w:p>
    <w:p>
      <w:pPr>
        <w:ind w:right="520" w:firstLine="1305"/>
        <w:spacing w:after="0" w:line="282" w:lineRule="auto"/>
        <w:tabs>
          <w:tab w:leader="none" w:pos="1953"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Pronouns. </w:t>
      </w:r>
      <w:r>
        <w:rPr>
          <w:rFonts w:ascii="Arial" w:cs="Arial" w:eastAsia="Arial" w:hAnsi="Arial"/>
          <w:sz w:val="18"/>
          <w:szCs w:val="18"/>
          <w:color w:val="auto"/>
        </w:rPr>
        <w:t>All pronouns contained herein, and any variations thereof, shall be deemed to refer to the masculine, feminine or</w:t>
      </w:r>
      <w:r>
        <w:rPr>
          <w:rFonts w:ascii="Arial" w:cs="Arial" w:eastAsia="Arial" w:hAnsi="Arial"/>
          <w:sz w:val="18"/>
          <w:szCs w:val="18"/>
          <w:b w:val="1"/>
          <w:bCs w:val="1"/>
          <w:color w:val="auto"/>
        </w:rPr>
        <w:t xml:space="preserve"> </w:t>
      </w:r>
      <w:r>
        <w:rPr>
          <w:rFonts w:ascii="Arial" w:cs="Arial" w:eastAsia="Arial" w:hAnsi="Arial"/>
          <w:sz w:val="18"/>
          <w:szCs w:val="18"/>
          <w:color w:val="auto"/>
        </w:rPr>
        <w:t>neutral, singular or plural, as to the identity of the parties hereto may require.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in agreement with the terms set forth above, please sign the Letter Agreement in the space provided below:</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VERACYTE, INC.</w:t>
      </w:r>
    </w:p>
    <w:p>
      <w:pPr>
        <w:spacing w:after="0" w:line="229" w:lineRule="exact"/>
        <w:rPr>
          <w:sz w:val="20"/>
          <w:szCs w:val="20"/>
          <w:color w:val="auto"/>
        </w:rPr>
      </w:pPr>
    </w:p>
    <w:p>
      <w:pPr>
        <w:ind w:left="5720"/>
        <w:spacing w:after="0"/>
        <w:tabs>
          <w:tab w:leader="none" w:pos="6640" w:val="left"/>
        </w:tabs>
        <w:rPr>
          <w:sz w:val="20"/>
          <w:szCs w:val="20"/>
          <w:color w:val="auto"/>
        </w:rPr>
      </w:pPr>
      <w:r>
        <w:rPr>
          <w:rFonts w:ascii="Arial" w:cs="Arial" w:eastAsia="Arial" w:hAnsi="Arial"/>
          <w:sz w:val="18"/>
          <w:szCs w:val="18"/>
          <w:color w:val="auto"/>
        </w:rPr>
        <w:t>Signature:</w:t>
        <w:tab/>
        <w:t>/s/ Bonnie Anderson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-130810</wp:posOffset>
            </wp:positionV>
            <wp:extent cx="30187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Visium Healthcare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partnership</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Visium Healthcare Advisors, LP,</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JG Asset II, LLC,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  /s/ Mark Gottlieb</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Name: Mark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-130810</wp:posOffset>
            </wp:positionV>
            <wp:extent cx="28041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00" w:hanging="644"/>
        <w:spacing w:after="0"/>
        <w:tabs>
          <w:tab w:leader="none" w:pos="13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March 31, 2016;</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2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2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2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ectPr>
          <w:pgSz w:w="11900" w:h="16838" w:orient="portrait"/>
          <w:cols w:equalWidth="0" w:num="1">
            <w:col w:w="11420"/>
          </w:cols>
          <w:pgMar w:left="240" w:top="337" w:right="239" w:bottom="0" w:gutter="0" w:footer="0" w:header="0"/>
        </w:sectPr>
      </w:pPr>
    </w:p>
    <w:bookmarkStart w:id="127" w:name="page128"/>
    <w:bookmarkEnd w:id="127"/>
    <w:p>
      <w:pPr>
        <w:spacing w:after="0" w:line="9" w:lineRule="exact"/>
        <w:rPr>
          <w:sz w:val="20"/>
          <w:szCs w:val="20"/>
          <w:color w:val="auto"/>
        </w:rPr>
      </w:pPr>
    </w:p>
    <w:p>
      <w:pPr>
        <w:ind w:left="660" w:right="20" w:firstLine="645"/>
        <w:spacing w:after="0" w:line="342" w:lineRule="auto"/>
        <w:tabs>
          <w:tab w:leader="none" w:pos="1961" w:val="left"/>
        </w:tabs>
        <w:numPr>
          <w:ilvl w:val="1"/>
          <w:numId w:val="2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2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Bonnie H. Anderson</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Shelly D. Guyer, certify that:</w:t>
      </w:r>
    </w:p>
    <w:p>
      <w:pPr>
        <w:spacing w:after="0" w:line="225" w:lineRule="exact"/>
        <w:rPr>
          <w:sz w:val="20"/>
          <w:szCs w:val="20"/>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March 31, 2016;</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2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28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2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2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Shelly D. Guyer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-130810</wp:posOffset>
            </wp:positionV>
            <wp:extent cx="35674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48" w:orient="portrait"/>
          <w:cols w:equalWidth="0" w:num="1">
            <w:col w:w="11420"/>
          </w:cols>
          <w:pgMar w:left="240" w:top="125" w:right="239" w:bottom="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2016,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1960" w:hanging="655"/>
        <w:spacing w:after="0"/>
        <w:tabs>
          <w:tab w:leader="none" w:pos="19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Bonnie H. Anderson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2016,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1960" w:hanging="655"/>
        <w:spacing w:after="0"/>
        <w:tabs>
          <w:tab w:leader="none" w:pos="19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Shelly D. Guyer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B49DAF"/>
    <w:multiLevelType w:val="hybridMultilevel"/>
    <w:lvl w:ilvl="0">
      <w:lvlJc w:val="left"/>
      <w:lvlText w:val="x"/>
      <w:numFmt w:val="bullet"/>
      <w:start w:val="1"/>
    </w:lvl>
  </w:abstractNum>
  <w:abstractNum w:abstractNumId="1">
    <w:nsid w:val="759F82CD"/>
    <w:multiLevelType w:val="hybridMultilevel"/>
    <w:lvl w:ilvl="0">
      <w:lvlJc w:val="left"/>
      <w:lvlText w:val="o"/>
      <w:numFmt w:val="bullet"/>
      <w:start w:val="1"/>
    </w:lvl>
  </w:abstractNum>
  <w:abstractNum w:abstractNumId="2">
    <w:nsid w:val="61E74EA3"/>
    <w:multiLevelType w:val="hybridMultilevel"/>
    <w:lvl w:ilvl="0">
      <w:lvlJc w:val="left"/>
      <w:lvlText w:val="·"/>
      <w:numFmt w:val="bullet"/>
      <w:start w:val="1"/>
    </w:lvl>
  </w:abstractNum>
  <w:abstractNum w:abstractNumId="3">
    <w:nsid w:val="597B4D84"/>
    <w:multiLevelType w:val="hybridMultilevel"/>
    <w:lvl w:ilvl="0">
      <w:lvlJc w:val="left"/>
      <w:lvlText w:val="·"/>
      <w:numFmt w:val="bullet"/>
      <w:start w:val="1"/>
    </w:lvl>
  </w:abstractNum>
  <w:abstractNum w:abstractNumId="4">
    <w:nsid w:val="F819E7F"/>
    <w:multiLevelType w:val="hybridMultilevel"/>
    <w:lvl w:ilvl="0">
      <w:lvlJc w:val="left"/>
      <w:lvlText w:val="·"/>
      <w:numFmt w:val="bullet"/>
      <w:start w:val="1"/>
    </w:lvl>
  </w:abstractNum>
  <w:abstractNum w:abstractNumId="5">
    <w:nsid w:val="57C7D42D"/>
    <w:multiLevelType w:val="hybridMultilevel"/>
    <w:lvl w:ilvl="0">
      <w:lvlJc w:val="left"/>
      <w:lvlText w:val="·"/>
      <w:numFmt w:val="bullet"/>
      <w:start w:val="1"/>
    </w:lvl>
  </w:abstractNum>
  <w:abstractNum w:abstractNumId="6">
    <w:nsid w:val="312167AD"/>
    <w:multiLevelType w:val="hybridMultilevel"/>
    <w:lvl w:ilvl="0">
      <w:lvlJc w:val="left"/>
      <w:lvlText w:val="·"/>
      <w:numFmt w:val="bullet"/>
      <w:start w:val="1"/>
    </w:lvl>
  </w:abstractNum>
  <w:abstractNum w:abstractNumId="7">
    <w:nsid w:val="631B64D4"/>
    <w:multiLevelType w:val="hybridMultilevel"/>
    <w:lvl w:ilvl="0">
      <w:lvlJc w:val="left"/>
      <w:lvlText w:val="·"/>
      <w:numFmt w:val="bullet"/>
      <w:start w:val="1"/>
    </w:lvl>
  </w:abstractNum>
  <w:abstractNum w:abstractNumId="8">
    <w:nsid w:val="78B5E776"/>
    <w:multiLevelType w:val="hybridMultilevel"/>
    <w:lvl w:ilvl="0">
      <w:lvlJc w:val="left"/>
      <w:lvlText w:val="·"/>
      <w:numFmt w:val="bullet"/>
      <w:start w:val="1"/>
    </w:lvl>
  </w:abstractNum>
  <w:abstractNum w:abstractNumId="9">
    <w:nsid w:val="75486E47"/>
    <w:multiLevelType w:val="hybridMultilevel"/>
    <w:lvl w:ilvl="0">
      <w:lvlJc w:val="left"/>
      <w:lvlText w:val="·"/>
      <w:numFmt w:val="bullet"/>
      <w:start w:val="1"/>
    </w:lvl>
  </w:abstractNum>
  <w:abstractNum w:abstractNumId="10">
    <w:nsid w:val="6E534CDE"/>
    <w:multiLevelType w:val="hybridMultilevel"/>
    <w:lvl w:ilvl="0">
      <w:lvlJc w:val="left"/>
      <w:lvlText w:val="·"/>
      <w:numFmt w:val="bullet"/>
      <w:start w:val="1"/>
    </w:lvl>
  </w:abstractNum>
  <w:abstractNum w:abstractNumId="11">
    <w:nsid w:val="1A0DDE32"/>
    <w:multiLevelType w:val="hybridMultilevel"/>
    <w:lvl w:ilvl="0">
      <w:lvlJc w:val="left"/>
      <w:lvlText w:val="·"/>
      <w:numFmt w:val="bullet"/>
      <w:start w:val="1"/>
    </w:lvl>
  </w:abstractNum>
  <w:abstractNum w:abstractNumId="12">
    <w:nsid w:val="65968C1C"/>
    <w:multiLevelType w:val="hybridMultilevel"/>
    <w:lvl w:ilvl="0">
      <w:lvlJc w:val="left"/>
      <w:lvlText w:val="·"/>
      <w:numFmt w:val="bullet"/>
      <w:start w:val="1"/>
    </w:lvl>
  </w:abstractNum>
  <w:abstractNum w:abstractNumId="13">
    <w:nsid w:val="46263DEC"/>
    <w:multiLevelType w:val="hybridMultilevel"/>
    <w:lvl w:ilvl="0">
      <w:lvlJc w:val="left"/>
      <w:lvlText w:val="·"/>
      <w:numFmt w:val="bullet"/>
      <w:start w:val="1"/>
    </w:lvl>
  </w:abstractNum>
  <w:abstractNum w:abstractNumId="14">
    <w:nsid w:val="260D8C4A"/>
    <w:multiLevelType w:val="hybridMultilevel"/>
    <w:lvl w:ilvl="0">
      <w:lvlJc w:val="left"/>
      <w:lvlText w:val="·"/>
      <w:numFmt w:val="bullet"/>
      <w:start w:val="1"/>
    </w:lvl>
  </w:abstractNum>
  <w:abstractNum w:abstractNumId="15">
    <w:nsid w:val="73D4D3C4"/>
    <w:multiLevelType w:val="hybridMultilevel"/>
    <w:lvl w:ilvl="0">
      <w:lvlJc w:val="left"/>
      <w:lvlText w:val="·"/>
      <w:numFmt w:val="bullet"/>
      <w:start w:val="1"/>
    </w:lvl>
  </w:abstractNum>
  <w:abstractNum w:abstractNumId="16">
    <w:nsid w:val="746F2E30"/>
    <w:multiLevelType w:val="hybridMultilevel"/>
    <w:lvl w:ilvl="0">
      <w:lvlJc w:val="left"/>
      <w:lvlText w:val="**"/>
      <w:numFmt w:val="bullet"/>
      <w:start w:val="1"/>
    </w:lvl>
  </w:abstractNum>
  <w:abstractNum w:abstractNumId="17">
    <w:nsid w:val="6FDE8AF6"/>
    <w:multiLevelType w:val="hybridMultilevel"/>
    <w:lvl w:ilvl="0">
      <w:lvlJc w:val="left"/>
      <w:lvlText w:val="**"/>
      <w:numFmt w:val="bullet"/>
      <w:start w:val="1"/>
    </w:lvl>
  </w:abstractNum>
  <w:abstractNum w:abstractNumId="18">
    <w:nsid w:val="3FC32E20"/>
    <w:multiLevelType w:val="hybridMultilevel"/>
    <w:lvl w:ilvl="0">
      <w:lvlJc w:val="left"/>
      <w:lvlText w:val="A"/>
      <w:numFmt w:val="bullet"/>
      <w:start w:val="1"/>
    </w:lvl>
  </w:abstractNum>
  <w:abstractNum w:abstractNumId="19">
    <w:nsid w:val="49C0E823"/>
    <w:multiLevelType w:val="hybridMultilevel"/>
    <w:lvl w:ilvl="0">
      <w:lvlJc w:val="left"/>
      <w:lvlText w:val="C"/>
      <w:numFmt w:val="bullet"/>
      <w:start w:val="1"/>
    </w:lvl>
  </w:abstractNum>
  <w:abstractNum w:abstractNumId="20">
    <w:nsid w:val="14D53685"/>
    <w:multiLevelType w:val="hybridMultilevel"/>
    <w:lvl w:ilvl="0">
      <w:lvlJc w:val="left"/>
      <w:lvlText w:val="D"/>
      <w:numFmt w:val="bullet"/>
      <w:start w:val="1"/>
    </w:lvl>
  </w:abstractNum>
  <w:abstractNum w:abstractNumId="21">
    <w:nsid w:val="230F856C"/>
    <w:multiLevelType w:val="hybridMultilevel"/>
    <w:lvl w:ilvl="0">
      <w:lvlJc w:val="left"/>
      <w:lvlText w:val="E"/>
      <w:numFmt w:val="bullet"/>
      <w:start w:val="1"/>
    </w:lvl>
  </w:abstractNum>
  <w:abstractNum w:abstractNumId="22">
    <w:nsid w:val="6EAA85FB"/>
    <w:multiLevelType w:val="hybridMultilevel"/>
    <w:lvl w:ilvl="0">
      <w:lvlJc w:val="left"/>
      <w:lvlText w:val="(%1)"/>
      <w:numFmt w:val="lowerLetter"/>
      <w:start w:val="2"/>
    </w:lvl>
  </w:abstractNum>
  <w:abstractNum w:abstractNumId="23">
    <w:nsid w:val="3F06ECB2"/>
    <w:multiLevelType w:val="hybridMultilevel"/>
    <w:lvl w:ilvl="0">
      <w:lvlJc w:val="left"/>
      <w:lvlText w:val="(%1)"/>
      <w:numFmt w:val="lowerLetter"/>
      <w:start w:val="35"/>
    </w:lvl>
  </w:abstractNum>
  <w:abstractNum w:abstractNumId="24">
    <w:nsid w:val="3B594807"/>
    <w:multiLevelType w:val="hybridMultilevel"/>
    <w:lvl w:ilvl="0">
      <w:lvlJc w:val="left"/>
      <w:lvlText w:val="(%1)"/>
      <w:numFmt w:val="lowerLetter"/>
      <w:start w:val="1"/>
    </w:lvl>
  </w:abstractNum>
  <w:abstractNum w:abstractNumId="25">
    <w:nsid w:val="6CAA2304"/>
    <w:multiLevelType w:val="hybridMultilevel"/>
    <w:lvl w:ilvl="0">
      <w:lvlJc w:val="left"/>
      <w:lvlText w:val="(%1)"/>
      <w:numFmt w:val="lowerRoman"/>
      <w:start w:val="3"/>
    </w:lvl>
  </w:abstractNum>
  <w:abstractNum w:abstractNumId="26">
    <w:nsid w:val="3F7C2FF4"/>
    <w:multiLevelType w:val="hybridMultilevel"/>
    <w:lvl w:ilvl="0">
      <w:lvlJc w:val="left"/>
      <w:lvlText w:val="(%1)"/>
      <w:numFmt w:val="lowerLetter"/>
      <w:start w:val="2"/>
    </w:lvl>
  </w:abstractNum>
  <w:abstractNum w:abstractNumId="27">
    <w:nsid w:val="25413BEC"/>
    <w:multiLevelType w:val="hybridMultilevel"/>
    <w:lvl w:ilvl="0">
      <w:lvlJc w:val="left"/>
      <w:lvlText w:val="(%1)"/>
      <w:numFmt w:val="lowerLetter"/>
      <w:start w:val="3"/>
    </w:lvl>
  </w:abstractNum>
  <w:abstractNum w:abstractNumId="28">
    <w:nsid w:val="17180B0B"/>
    <w:multiLevelType w:val="hybridMultilevel"/>
    <w:lvl w:ilvl="0">
      <w:lvlJc w:val="left"/>
      <w:lvlText w:val="(%1)"/>
      <w:numFmt w:val="lowerLetter"/>
      <w:start w:val="1"/>
    </w:lvl>
  </w:abstractNum>
  <w:abstractNum w:abstractNumId="29">
    <w:nsid w:val="579328B9"/>
    <w:multiLevelType w:val="hybridMultilevel"/>
    <w:lvl w:ilvl="0">
      <w:lvlJc w:val="left"/>
      <w:lvlText w:val="(%1)"/>
      <w:numFmt w:val="lowerLetter"/>
      <w:start w:val="9"/>
    </w:lvl>
  </w:abstractNum>
  <w:abstractNum w:abstractNumId="30">
    <w:nsid w:val="5D205E20"/>
    <w:multiLevelType w:val="hybridMultilevel"/>
    <w:lvl w:ilvl="0">
      <w:lvlJc w:val="left"/>
      <w:lvlText w:val="(%1)"/>
      <w:numFmt w:val="lowerRoman"/>
      <w:start w:val="3"/>
    </w:lvl>
  </w:abstractNum>
  <w:abstractNum w:abstractNumId="31">
    <w:nsid w:val="11CCA8BA"/>
    <w:multiLevelType w:val="hybridMultilevel"/>
    <w:lvl w:ilvl="0">
      <w:lvlJc w:val="left"/>
      <w:lvlText w:val="(%1)"/>
      <w:numFmt w:val="lowerLetter"/>
      <w:start w:val="1"/>
    </w:lvl>
  </w:abstractNum>
  <w:abstractNum w:abstractNumId="32">
    <w:nsid w:val="4D32AB86"/>
    <w:multiLevelType w:val="hybridMultilevel"/>
    <w:lvl w:ilvl="0">
      <w:lvlJc w:val="left"/>
      <w:lvlText w:val="(%1)"/>
      <w:numFmt w:val="lowerLetter"/>
      <w:start w:val="7"/>
    </w:lvl>
  </w:abstractNum>
  <w:abstractNum w:abstractNumId="33">
    <w:nsid w:val="3F07ACC3"/>
    <w:multiLevelType w:val="hybridMultilevel"/>
    <w:lvl w:ilvl="0">
      <w:lvlJc w:val="left"/>
      <w:lvlText w:val="(%1)"/>
      <w:numFmt w:val="lowerLetter"/>
      <w:start w:val="1"/>
    </w:lvl>
  </w:abstractNum>
  <w:abstractNum w:abstractNumId="34">
    <w:nsid w:val="6B47F63E"/>
    <w:multiLevelType w:val="hybridMultilevel"/>
    <w:lvl w:ilvl="0">
      <w:lvlJc w:val="left"/>
      <w:lvlText w:val="(%1)"/>
      <w:numFmt w:val="lowerLetter"/>
      <w:start w:val="7"/>
    </w:lvl>
  </w:abstractNum>
  <w:abstractNum w:abstractNumId="35">
    <w:nsid w:val="5CB44A05"/>
    <w:multiLevelType w:val="hybridMultilevel"/>
    <w:lvl w:ilvl="0">
      <w:lvlJc w:val="left"/>
      <w:lvlText w:val="(%1)"/>
      <w:numFmt w:val="lowerLetter"/>
      <w:start w:val="2"/>
    </w:lvl>
  </w:abstractNum>
  <w:abstractNum w:abstractNumId="36">
    <w:nsid w:val="16CF80F1"/>
    <w:multiLevelType w:val="hybridMultilevel"/>
    <w:lvl w:ilvl="0">
      <w:lvlJc w:val="left"/>
      <w:lvlText w:val="(%1)"/>
      <w:numFmt w:val="lowerLetter"/>
      <w:start w:val="5"/>
    </w:lvl>
  </w:abstractNum>
  <w:abstractNum w:abstractNumId="37">
    <w:nsid w:val="1C695DEC"/>
    <w:multiLevelType w:val="hybridMultilevel"/>
    <w:lvl w:ilvl="0">
      <w:lvlJc w:val="left"/>
      <w:lvlText w:val="(%1)"/>
      <w:numFmt w:val="lowerLetter"/>
      <w:start w:val="2"/>
    </w:lvl>
  </w:abstractNum>
  <w:abstractNum w:abstractNumId="38">
    <w:nsid w:val="3FCFAED9"/>
    <w:multiLevelType w:val="hybridMultilevel"/>
    <w:lvl w:ilvl="0">
      <w:lvlJc w:val="left"/>
      <w:lvlText w:val="(%1)"/>
      <w:numFmt w:val="lowerLetter"/>
      <w:start w:val="1"/>
    </w:lvl>
  </w:abstractNum>
  <w:abstractNum w:abstractNumId="39">
    <w:nsid w:val="F856867"/>
    <w:multiLevelType w:val="hybridMultilevel"/>
    <w:lvl w:ilvl="0">
      <w:lvlJc w:val="left"/>
      <w:lvlText w:val="(%1)"/>
      <w:numFmt w:val="lowerLetter"/>
      <w:start w:val="1"/>
    </w:lvl>
  </w:abstractNum>
  <w:abstractNum w:abstractNumId="40">
    <w:nsid w:val="11B1CC33"/>
    <w:multiLevelType w:val="hybridMultilevel"/>
    <w:lvl w:ilvl="0">
      <w:lvlJc w:val="left"/>
      <w:lvlText w:val="(%1)"/>
      <w:numFmt w:val="lowerLetter"/>
      <w:start w:val="3"/>
    </w:lvl>
  </w:abstractNum>
  <w:abstractNum w:abstractNumId="41">
    <w:nsid w:val="2E22FBB7"/>
    <w:multiLevelType w:val="hybridMultilevel"/>
    <w:lvl w:ilvl="0">
      <w:lvlJc w:val="left"/>
      <w:lvlText w:val="(%1)"/>
      <w:numFmt w:val="lowerLetter"/>
      <w:start w:val="1"/>
    </w:lvl>
  </w:abstractNum>
  <w:abstractNum w:abstractNumId="42">
    <w:nsid w:val="29934699"/>
    <w:multiLevelType w:val="hybridMultilevel"/>
    <w:lvl w:ilvl="0">
      <w:lvlJc w:val="left"/>
      <w:lvlText w:val="(%1)"/>
      <w:numFmt w:val="lowerLetter"/>
      <w:start w:val="1"/>
    </w:lvl>
  </w:abstractNum>
  <w:abstractNum w:abstractNumId="43">
    <w:nsid w:val="77485850"/>
    <w:multiLevelType w:val="hybridMultilevel"/>
    <w:lvl w:ilvl="0">
      <w:lvlJc w:val="left"/>
      <w:lvlText w:val="(%1)"/>
      <w:numFmt w:val="lowerLetter"/>
      <w:start w:val="1"/>
    </w:lvl>
    <w:lvl w:ilvl="1">
      <w:lvlJc w:val="left"/>
      <w:lvlText w:val="(%2)"/>
      <w:numFmt w:val="lowerLetter"/>
      <w:start w:val="9"/>
    </w:lvl>
  </w:abstractNum>
  <w:abstractNum w:abstractNumId="44">
    <w:nsid w:val="744939A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5">
    <w:nsid w:val="4FA0D2E3"/>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46">
    <w:nsid w:val="6B1D2C14"/>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47">
    <w:nsid w:val="68B867D3"/>
    <w:multiLevelType w:val="hybridMultilevel"/>
    <w:lvl w:ilvl="0">
      <w:lvlJc w:val="left"/>
      <w:lvlText w:val="(%1)"/>
      <w:numFmt w:val="lowerLetter"/>
      <w:start w:val="4"/>
    </w:lvl>
  </w:abstractNum>
  <w:abstractNum w:abstractNumId="48">
    <w:nsid w:val="3F7F5DD9"/>
    <w:multiLevelType w:val="hybridMultilevel"/>
    <w:lvl w:ilvl="0">
      <w:lvlJc w:val="left"/>
      <w:lvlText w:val="%1"/>
      <w:numFmt w:val="lowerRoman"/>
      <w:start w:val="1"/>
    </w:lvl>
    <w:lvl w:ilvl="1">
      <w:lvlJc w:val="left"/>
      <w:lvlText w:val="(%2)"/>
      <w:numFmt w:val="lowerLetter"/>
      <w:start w:val="5"/>
    </w:lvl>
  </w:abstractNum>
  <w:abstractNum w:abstractNumId="49">
    <w:nsid w:val="2AE05A34"/>
    <w:multiLevelType w:val="hybridMultilevel"/>
    <w:lvl w:ilvl="0">
      <w:lvlJc w:val="left"/>
      <w:lvlText w:val="(%1)"/>
      <w:numFmt w:val="lowerRoman"/>
      <w:start w:val="1"/>
    </w:lvl>
    <w:lvl w:ilvl="1">
      <w:lvlJc w:val="left"/>
      <w:lvlText w:val="%2"/>
      <w:numFmt w:val="lowerLetter"/>
      <w:start w:val="1"/>
    </w:lvl>
  </w:abstractNum>
  <w:abstractNum w:abstractNumId="50">
    <w:nsid w:val="32794FF7"/>
    <w:multiLevelType w:val="hybridMultilevel"/>
    <w:lvl w:ilvl="0">
      <w:lvlJc w:val="left"/>
      <w:lvlText w:val="(%1)"/>
      <w:numFmt w:val="lowerRoman"/>
      <w:start w:val="4"/>
    </w:lvl>
    <w:lvl w:ilvl="1">
      <w:lvlJc w:val="left"/>
      <w:lvlText w:val="%2"/>
      <w:numFmt w:val="lowerLetter"/>
      <w:start w:val="1"/>
    </w:lvl>
  </w:abstractNum>
  <w:abstractNum w:abstractNumId="51">
    <w:nsid w:val="5454945E"/>
    <w:multiLevelType w:val="hybridMultilevel"/>
    <w:lvl w:ilvl="0">
      <w:lvlJc w:val="left"/>
      <w:lvlText w:val="%1"/>
      <w:numFmt w:val="lowerLetter"/>
      <w:start w:val="1"/>
    </w:lvl>
    <w:lvl w:ilvl="1">
      <w:lvlJc w:val="left"/>
      <w:lvlText w:val="(%2)"/>
      <w:numFmt w:val="lowerLetter"/>
      <w:start w:val="1"/>
    </w:lvl>
  </w:abstractNum>
  <w:abstractNum w:abstractNumId="52">
    <w:nsid w:val="4DEFDFA0"/>
    <w:multiLevelType w:val="hybridMultilevel"/>
    <w:lvl w:ilvl="0">
      <w:lvlJc w:val="left"/>
      <w:lvlText w:val="(%1)"/>
      <w:numFmt w:val="lowerLetter"/>
      <w:start w:val="9"/>
    </w:lvl>
    <w:lvl w:ilvl="1">
      <w:lvlJc w:val="left"/>
      <w:lvlText w:val="(%2)"/>
      <w:numFmt w:val="lowerLetter"/>
      <w:start w:val="2"/>
    </w:lvl>
  </w:abstractNum>
  <w:abstractNum w:abstractNumId="53">
    <w:nsid w:val="2123D5F2"/>
    <w:multiLevelType w:val="hybridMultilevel"/>
    <w:lvl w:ilvl="0">
      <w:lvlJc w:val="left"/>
      <w:lvlText w:val="(%1)"/>
      <w:numFmt w:val="lowerLetter"/>
      <w:start w:val="1"/>
    </w:lvl>
  </w:abstractNum>
  <w:abstractNum w:abstractNumId="54">
    <w:nsid w:val="135B8110"/>
    <w:multiLevelType w:val="hybridMultilevel"/>
    <w:lvl w:ilvl="0">
      <w:lvlJc w:val="left"/>
      <w:lvlText w:val="(%1)"/>
      <w:numFmt w:val="lowerLetter"/>
      <w:start w:val="2"/>
    </w:lvl>
  </w:abstractNum>
  <w:abstractNum w:abstractNumId="55">
    <w:nsid w:val="94927A8"/>
    <w:multiLevelType w:val="hybridMultilevel"/>
    <w:lvl w:ilvl="0">
      <w:lvlJc w:val="left"/>
      <w:lvlText w:val="(%1)"/>
      <w:numFmt w:val="lowerLetter"/>
      <w:start w:val="1"/>
    </w:lvl>
    <w:lvl w:ilvl="1">
      <w:lvlJc w:val="left"/>
      <w:lvlText w:val="(%2)"/>
      <w:numFmt w:val="lowerRoman"/>
      <w:start w:val="1"/>
    </w:lvl>
  </w:abstractNum>
  <w:abstractNum w:abstractNumId="56">
    <w:nsid w:val="DCDF8F6"/>
    <w:multiLevelType w:val="hybridMultilevel"/>
    <w:lvl w:ilvl="0">
      <w:lvlJc w:val="left"/>
      <w:lvlText w:val="(%1)"/>
      <w:numFmt w:val="lowerLetter"/>
      <w:start w:val="1"/>
    </w:lvl>
  </w:abstractNum>
  <w:abstractNum w:abstractNumId="57">
    <w:nsid w:val="52D7B105"/>
    <w:multiLevelType w:val="hybridMultilevel"/>
    <w:lvl w:ilvl="0">
      <w:lvlJc w:val="left"/>
      <w:lvlText w:val="(%1)"/>
      <w:numFmt w:val="lowerLetter"/>
      <w:start w:val="3"/>
    </w:lvl>
  </w:abstractNum>
  <w:abstractNum w:abstractNumId="58">
    <w:nsid w:val="2E8A6394"/>
    <w:multiLevelType w:val="hybridMultilevel"/>
    <w:lvl w:ilvl="0">
      <w:lvlJc w:val="left"/>
      <w:lvlText w:val="(%1)"/>
      <w:numFmt w:val="lowerLetter"/>
      <w:start w:val="1"/>
    </w:lvl>
    <w:lvl w:ilvl="1">
      <w:lvlJc w:val="left"/>
      <w:lvlText w:val="(%2)"/>
      <w:numFmt w:val="lowerRoman"/>
      <w:start w:val="1"/>
    </w:lvl>
  </w:abstractNum>
  <w:abstractNum w:abstractNumId="59">
    <w:nsid w:val="24E60401"/>
    <w:multiLevelType w:val="hybridMultilevel"/>
    <w:lvl w:ilvl="0">
      <w:lvlJc w:val="left"/>
      <w:lvlText w:val="(%1)"/>
      <w:numFmt w:val="lowerLetter"/>
      <w:start w:val="1"/>
    </w:lvl>
  </w:abstractNum>
  <w:abstractNum w:abstractNumId="60">
    <w:nsid w:val="2A6AD9BE"/>
    <w:multiLevelType w:val="hybridMultilevel"/>
    <w:lvl w:ilvl="0">
      <w:lvlJc w:val="left"/>
      <w:lvlText w:val="(%1)"/>
      <w:numFmt w:val="lowerRoman"/>
      <w:start w:val="1"/>
    </w:lvl>
  </w:abstractNum>
  <w:abstractNum w:abstractNumId="61">
    <w:nsid w:val="BAAC1B4"/>
    <w:multiLevelType w:val="hybridMultilevel"/>
    <w:lvl w:ilvl="0">
      <w:lvlJc w:val="left"/>
      <w:lvlText w:val="(%1)"/>
      <w:numFmt w:val="lowerLetter"/>
      <w:start w:val="2"/>
    </w:lvl>
  </w:abstractNum>
  <w:abstractNum w:abstractNumId="62">
    <w:nsid w:val="36B2ACBC"/>
    <w:multiLevelType w:val="hybridMultilevel"/>
    <w:lvl w:ilvl="0">
      <w:lvlJc w:val="left"/>
      <w:lvlText w:val="(%1)"/>
      <w:numFmt w:val="lowerLetter"/>
      <w:start w:val="1"/>
    </w:lvl>
  </w:abstractNum>
  <w:abstractNum w:abstractNumId="63">
    <w:nsid w:val="779D8544"/>
    <w:multiLevelType w:val="hybridMultilevel"/>
    <w:lvl w:ilvl="0">
      <w:lvlJc w:val="left"/>
      <w:lvlText w:val="(%1)"/>
      <w:numFmt w:val="lowerLetter"/>
      <w:start w:val="1"/>
    </w:lvl>
  </w:abstractNum>
  <w:abstractNum w:abstractNumId="64">
    <w:nsid w:val="4AB26E78"/>
    <w:multiLevelType w:val="hybridMultilevel"/>
    <w:lvl w:ilvl="0">
      <w:lvlJc w:val="left"/>
      <w:lvlText w:val="(%1)"/>
      <w:numFmt w:val="lowerLetter"/>
      <w:start w:val="2"/>
    </w:lvl>
  </w:abstractNum>
  <w:abstractNum w:abstractNumId="65">
    <w:nsid w:val="21FAA2FA"/>
    <w:multiLevelType w:val="hybridMultilevel"/>
    <w:lvl w:ilvl="0">
      <w:lvlJc w:val="left"/>
      <w:lvlText w:val="(%1)"/>
      <w:numFmt w:val="lowerLetter"/>
      <w:start w:val="1"/>
    </w:lvl>
  </w:abstractNum>
  <w:abstractNum w:abstractNumId="66">
    <w:nsid w:val="5451CF49"/>
    <w:multiLevelType w:val="hybridMultilevel"/>
    <w:lvl w:ilvl="0">
      <w:lvlJc w:val="left"/>
      <w:lvlText w:val="(%1)"/>
      <w:numFmt w:val="lowerLetter"/>
      <w:start w:val="2"/>
    </w:lvl>
  </w:abstractNum>
  <w:abstractNum w:abstractNumId="67">
    <w:nsid w:val="6181EF69"/>
    <w:multiLevelType w:val="hybridMultilevel"/>
    <w:lvl w:ilvl="0">
      <w:lvlJc w:val="left"/>
      <w:lvlText w:val="(%1)"/>
      <w:numFmt w:val="lowerLetter"/>
      <w:start w:val="1"/>
    </w:lvl>
  </w:abstractNum>
  <w:abstractNum w:abstractNumId="68">
    <w:nsid w:val="3E6400E6"/>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69">
    <w:nsid w:val="14217E23"/>
    <w:multiLevelType w:val="hybridMultilevel"/>
    <w:lvl w:ilvl="0">
      <w:lvlJc w:val="left"/>
      <w:lvlText w:val="%1"/>
      <w:numFmt w:val="lowerLetter"/>
      <w:start w:val="1"/>
    </w:lvl>
    <w:lvl w:ilvl="1">
      <w:lvlJc w:val="left"/>
      <w:lvlText w:val="(%2)"/>
      <w:numFmt w:val="lowerRoman"/>
      <w:start w:val="7"/>
    </w:lvl>
  </w:abstractNum>
  <w:abstractNum w:abstractNumId="70">
    <w:nsid w:val="710757D0"/>
    <w:multiLevelType w:val="hybridMultilevel"/>
    <w:lvl w:ilvl="0">
      <w:lvlJc w:val="left"/>
      <w:lvlText w:val="(%1)"/>
      <w:numFmt w:val="lowerLetter"/>
      <w:start w:val="8"/>
    </w:lvl>
    <w:lvl w:ilvl="1">
      <w:lvlJc w:val="left"/>
      <w:lvlText w:val="%2"/>
      <w:numFmt w:val="lowerRoman"/>
      <w:start w:val="1"/>
    </w:lvl>
  </w:abstractNum>
  <w:abstractNum w:abstractNumId="71">
    <w:nsid w:val="5015CD1A"/>
    <w:multiLevelType w:val="hybridMultilevel"/>
    <w:lvl w:ilvl="0">
      <w:lvlJc w:val="left"/>
      <w:lvlText w:val="(%1)"/>
      <w:numFmt w:val="lowerLetter"/>
      <w:start w:val="15"/>
    </w:lvl>
  </w:abstractNum>
  <w:abstractNum w:abstractNumId="72">
    <w:nsid w:val="424479DA"/>
    <w:multiLevelType w:val="hybridMultilevel"/>
    <w:lvl w:ilvl="0">
      <w:lvlJc w:val="left"/>
      <w:lvlText w:val="(%1)"/>
      <w:numFmt w:val="lowerLetter"/>
      <w:start w:val="1"/>
    </w:lvl>
  </w:abstractNum>
  <w:abstractNum w:abstractNumId="73">
    <w:nsid w:val="1A9A9E69"/>
    <w:multiLevelType w:val="hybridMultilevel"/>
    <w:lvl w:ilvl="0">
      <w:lvlJc w:val="left"/>
      <w:lvlText w:val="(%1)"/>
      <w:numFmt w:val="lowerLetter"/>
      <w:start w:val="2"/>
    </w:lvl>
  </w:abstractNum>
  <w:abstractNum w:abstractNumId="74">
    <w:nsid w:val="475E256A"/>
    <w:multiLevelType w:val="hybridMultilevel"/>
    <w:lvl w:ilvl="0">
      <w:lvlJc w:val="left"/>
      <w:lvlText w:val="(%1)"/>
      <w:numFmt w:val="lowerLetter"/>
      <w:start w:val="3"/>
    </w:lvl>
  </w:abstractNum>
  <w:abstractNum w:abstractNumId="75">
    <w:nsid w:val="368DB37E"/>
    <w:multiLevelType w:val="hybridMultilevel"/>
    <w:lvl w:ilvl="0">
      <w:lvlJc w:val="left"/>
      <w:lvlText w:val="(%1)"/>
      <w:numFmt w:val="lowerLetter"/>
      <w:start w:val="4"/>
    </w:lvl>
  </w:abstractNum>
  <w:abstractNum w:abstractNumId="76">
    <w:nsid w:val="6A3B714C"/>
    <w:multiLevelType w:val="hybridMultilevel"/>
    <w:lvl w:ilvl="0">
      <w:lvlJc w:val="left"/>
      <w:lvlText w:val="(%1)"/>
      <w:numFmt w:val="lowerLetter"/>
      <w:start w:val="1"/>
    </w:lvl>
  </w:abstractNum>
  <w:abstractNum w:abstractNumId="77">
    <w:nsid w:val="327B517E"/>
    <w:multiLevelType w:val="hybridMultilevel"/>
    <w:lvl w:ilvl="0">
      <w:lvlJc w:val="left"/>
      <w:lvlText w:val="(%1)"/>
      <w:numFmt w:val="lowerLetter"/>
      <w:start w:val="3"/>
    </w:lvl>
  </w:abstractNum>
  <w:abstractNum w:abstractNumId="78">
    <w:nsid w:val="1F461B51"/>
    <w:multiLevelType w:val="hybridMultilevel"/>
    <w:lvl w:ilvl="0">
      <w:lvlJc w:val="left"/>
      <w:lvlText w:val="(%1)"/>
      <w:numFmt w:val="lowerLetter"/>
      <w:start w:val="1"/>
    </w:lvl>
  </w:abstractNum>
  <w:abstractNum w:abstractNumId="79">
    <w:nsid w:val="29BACF25"/>
    <w:multiLevelType w:val="hybridMultilevel"/>
    <w:lvl w:ilvl="0">
      <w:lvlJc w:val="left"/>
      <w:lvlText w:val="(%1)"/>
      <w:numFmt w:val="lowerLetter"/>
      <w:start w:val="1"/>
    </w:lvl>
  </w:abstractNum>
  <w:abstractNum w:abstractNumId="80">
    <w:nsid w:val="5D5BABB3"/>
    <w:multiLevelType w:val="hybridMultilevel"/>
    <w:lvl w:ilvl="0">
      <w:lvlJc w:val="left"/>
      <w:lvlText w:val="(%1)"/>
      <w:numFmt w:val="lowerLetter"/>
      <w:start w:val="1"/>
    </w:lvl>
  </w:abstractNum>
  <w:abstractNum w:abstractNumId="81">
    <w:nsid w:val="51BF6B48"/>
    <w:multiLevelType w:val="hybridMultilevel"/>
    <w:lvl w:ilvl="0">
      <w:lvlJc w:val="left"/>
      <w:lvlText w:val="(%1)"/>
      <w:numFmt w:val="lowerLetter"/>
      <w:start w:val="1"/>
    </w:lvl>
  </w:abstractNum>
  <w:abstractNum w:abstractNumId="82">
    <w:nsid w:val="7E0F6384"/>
    <w:multiLevelType w:val="hybridMultilevel"/>
    <w:lvl w:ilvl="0">
      <w:lvlJc w:val="left"/>
      <w:lvlText w:val="(%1)"/>
      <w:numFmt w:val="lowerLetter"/>
      <w:start w:val="3"/>
    </w:lvl>
  </w:abstractNum>
  <w:abstractNum w:abstractNumId="83">
    <w:nsid w:val="2B4B8B53"/>
    <w:multiLevelType w:val="hybridMultilevel"/>
    <w:lvl w:ilvl="0">
      <w:lvlJc w:val="left"/>
      <w:lvlText w:val="%1"/>
      <w:numFmt w:val="lowerLetter"/>
      <w:start w:val="1"/>
    </w:lvl>
    <w:lvl w:ilvl="1">
      <w:lvlJc w:val="left"/>
      <w:lvlText w:val="(%2)"/>
      <w:numFmt w:val="lowerLetter"/>
      <w:start w:val="1"/>
    </w:lvl>
  </w:abstractNum>
  <w:abstractNum w:abstractNumId="84">
    <w:nsid w:val="72E3413A"/>
    <w:multiLevelType w:val="hybridMultilevel"/>
    <w:lvl w:ilvl="0">
      <w:lvlJc w:val="left"/>
      <w:lvlText w:val="(%1)"/>
      <w:numFmt w:val="lowerLetter"/>
      <w:start w:val="9"/>
    </w:lvl>
    <w:lvl w:ilvl="1">
      <w:lvlJc w:val="left"/>
      <w:lvlText w:val="(%2)"/>
      <w:numFmt w:val="lowerLetter"/>
      <w:start w:val="2"/>
    </w:lvl>
  </w:abstractNum>
  <w:abstractNum w:abstractNumId="85">
    <w:nsid w:val="116AE494"/>
    <w:multiLevelType w:val="hybridMultilevel"/>
    <w:lvl w:ilvl="0">
      <w:lvlJc w:val="left"/>
      <w:lvlText w:val="(%1)"/>
      <w:numFmt w:val="lowerLetter"/>
      <w:start w:val="1"/>
    </w:lvl>
  </w:abstractNum>
  <w:abstractNum w:abstractNumId="86">
    <w:nsid w:val="3494B2FB"/>
    <w:multiLevelType w:val="hybridMultilevel"/>
    <w:lvl w:ilvl="0">
      <w:lvlJc w:val="left"/>
      <w:lvlText w:val="(%1)"/>
      <w:numFmt w:val="lowerLetter"/>
      <w:start w:val="2"/>
    </w:lvl>
  </w:abstractNum>
  <w:abstractNum w:abstractNumId="87">
    <w:nsid w:val="B13A31"/>
    <w:multiLevelType w:val="hybridMultilevel"/>
    <w:lvl w:ilvl="0">
      <w:lvlJc w:val="left"/>
      <w:lvlText w:val="(%1)"/>
      <w:numFmt w:val="lowerLetter"/>
      <w:start w:val="1"/>
    </w:lvl>
  </w:abstractNum>
  <w:abstractNum w:abstractNumId="88">
    <w:nsid w:val="64429599"/>
    <w:multiLevelType w:val="hybridMultilevel"/>
    <w:lvl w:ilvl="0">
      <w:lvlJc w:val="left"/>
      <w:lvlText w:val="(%1)"/>
      <w:numFmt w:val="lowerLetter"/>
      <w:start w:val="2"/>
    </w:lvl>
  </w:abstractNum>
  <w:abstractNum w:abstractNumId="89">
    <w:nsid w:val="631F1690"/>
    <w:multiLevelType w:val="hybridMultilevel"/>
    <w:lvl w:ilvl="0">
      <w:lvlJc w:val="left"/>
      <w:lvlText w:val="(%1)"/>
      <w:numFmt w:val="lowerLetter"/>
      <w:start w:val="3"/>
    </w:lvl>
  </w:abstractNum>
  <w:abstractNum w:abstractNumId="90">
    <w:nsid w:val="25973E32"/>
    <w:multiLevelType w:val="hybridMultilevel"/>
    <w:lvl w:ilvl="0">
      <w:lvlJc w:val="left"/>
      <w:lvlText w:val="%1"/>
      <w:numFmt w:val="lowerLetter"/>
      <w:start w:val="1"/>
    </w:lvl>
    <w:lvl w:ilvl="1">
      <w:lvlJc w:val="left"/>
      <w:lvlText w:val="(%2)"/>
      <w:numFmt w:val="lowerLetter"/>
      <w:start w:val="1"/>
    </w:lvl>
  </w:abstractNum>
  <w:abstractNum w:abstractNumId="91">
    <w:nsid w:val="EAD6F57"/>
    <w:multiLevelType w:val="hybridMultilevel"/>
    <w:lvl w:ilvl="0">
      <w:lvlJc w:val="left"/>
      <w:lvlText w:val="(%1)"/>
      <w:numFmt w:val="lowerLetter"/>
      <w:start w:val="9"/>
    </w:lvl>
    <w:lvl w:ilvl="1">
      <w:lvlJc w:val="left"/>
      <w:lvlText w:val="%2"/>
      <w:numFmt w:val="lowerLetter"/>
      <w:start w:val="1"/>
    </w:lvl>
  </w:abstractNum>
  <w:abstractNum w:abstractNumId="92">
    <w:nsid w:val="6EC9D844"/>
    <w:multiLevelType w:val="hybridMultilevel"/>
    <w:lvl w:ilvl="0">
      <w:lvlJc w:val="left"/>
      <w:lvlText w:val="(%1)"/>
      <w:numFmt w:val="lowerLetter"/>
      <w:start w:val="2"/>
    </w:lvl>
  </w:abstractNum>
  <w:abstractNum w:abstractNumId="93">
    <w:nsid w:val="5C49EAEE"/>
    <w:multiLevelType w:val="hybridMultilevel"/>
    <w:lvl w:ilvl="0">
      <w:lvlJc w:val="left"/>
      <w:lvlText w:val="(%1)"/>
      <w:numFmt w:val="lowerLetter"/>
      <w:start w:val="1"/>
    </w:lvl>
    <w:lvl w:ilvl="1">
      <w:lvlJc w:val="left"/>
      <w:lvlText w:val="(%2)"/>
      <w:numFmt w:val="lowerLetter"/>
      <w:start w:val="9"/>
    </w:lvl>
  </w:abstractNum>
  <w:abstractNum w:abstractNumId="94">
    <w:nsid w:val="64AF49B"/>
    <w:multiLevelType w:val="hybridMultilevel"/>
    <w:lvl w:ilvl="0">
      <w:lvlJc w:val="left"/>
      <w:lvlText w:val="(%1)"/>
      <w:numFmt w:val="lowerRoman"/>
      <w:start w:val="2"/>
    </w:lvl>
  </w:abstractNum>
  <w:abstractNum w:abstractNumId="95">
    <w:nsid w:val="397C46BC"/>
    <w:multiLevelType w:val="hybridMultilevel"/>
    <w:lvl w:ilvl="0">
      <w:lvlJc w:val="left"/>
      <w:lvlText w:val="(%1)"/>
      <w:numFmt w:val="lowerRoman"/>
      <w:start w:val="5"/>
    </w:lvl>
  </w:abstractNum>
  <w:abstractNum w:abstractNumId="96">
    <w:nsid w:val="7E448DE9"/>
    <w:multiLevelType w:val="hybridMultilevel"/>
    <w:lvl w:ilvl="0">
      <w:lvlJc w:val="left"/>
      <w:lvlText w:val="(%1)"/>
      <w:numFmt w:val="lowerLetter"/>
      <w:start w:val="2"/>
    </w:lvl>
    <w:lvl w:ilvl="1">
      <w:lvlJc w:val="left"/>
      <w:lvlText w:val="(%2)"/>
      <w:numFmt w:val="lowerLetter"/>
      <w:start w:val="9"/>
    </w:lvl>
  </w:abstractNum>
  <w:abstractNum w:abstractNumId="97">
    <w:nsid w:val="5A9CC3E5"/>
    <w:multiLevelType w:val="hybridMultilevel"/>
    <w:lvl w:ilvl="0">
      <w:lvlJc w:val="left"/>
      <w:lvlText w:val="%1"/>
      <w:numFmt w:val="upperLetter"/>
      <w:start w:val="1"/>
    </w:lvl>
    <w:lvl w:ilvl="1">
      <w:lvlJc w:val="left"/>
      <w:lvlText w:val="(%2)"/>
      <w:numFmt w:val="lowerRoman"/>
      <w:start w:val="2"/>
    </w:lvl>
  </w:abstractNum>
  <w:abstractNum w:abstractNumId="98">
    <w:nsid w:val="1AFE3625"/>
    <w:multiLevelType w:val="hybridMultilevel"/>
    <w:lvl w:ilvl="0">
      <w:lvlJc w:val="left"/>
      <w:lvlText w:val="(%1)"/>
      <w:numFmt w:val="upperLetter"/>
      <w:start w:val="1"/>
    </w:lvl>
    <w:lvl w:ilvl="1">
      <w:lvlJc w:val="left"/>
      <w:lvlText w:val="%2"/>
      <w:numFmt w:val="lowerRoman"/>
      <w:start w:val="1"/>
    </w:lvl>
  </w:abstractNum>
  <w:abstractNum w:abstractNumId="99">
    <w:nsid w:val="3CA88ECF"/>
    <w:multiLevelType w:val="hybridMultilevel"/>
    <w:lvl w:ilvl="0">
      <w:lvlJc w:val="left"/>
      <w:lvlText w:val="(%1)"/>
      <w:numFmt w:val="lowerRoman"/>
      <w:start w:val="7"/>
    </w:lvl>
  </w:abstractNum>
  <w:abstractNum w:abstractNumId="100">
    <w:nsid w:val="6EBE4208"/>
    <w:multiLevelType w:val="hybridMultilevel"/>
    <w:lvl w:ilvl="0">
      <w:lvlJc w:val="left"/>
      <w:lvlText w:val="%1"/>
      <w:numFmt w:val="decimal"/>
      <w:start w:val="1"/>
    </w:lvl>
    <w:lvl w:ilvl="1">
      <w:lvlJc w:val="left"/>
      <w:lvlText w:val="(%2)"/>
      <w:numFmt w:val="lowerLetter"/>
      <w:start w:val="1"/>
    </w:lvl>
  </w:abstractNum>
  <w:abstractNum w:abstractNumId="101">
    <w:nsid w:val="C058DF5"/>
    <w:multiLevelType w:val="hybridMultilevel"/>
    <w:lvl w:ilvl="0">
      <w:lvlJc w:val="left"/>
      <w:lvlText w:val="(%1)"/>
      <w:numFmt w:val="decimal"/>
      <w:start w:val="15"/>
    </w:lvl>
    <w:lvl w:ilvl="1">
      <w:lvlJc w:val="left"/>
      <w:lvlText w:val="%2"/>
      <w:numFmt w:val="lowerLetter"/>
      <w:start w:val="1"/>
    </w:lvl>
  </w:abstractNum>
  <w:abstractNum w:abstractNumId="102">
    <w:nsid w:val="CBE5BE9"/>
    <w:multiLevelType w:val="hybridMultilevel"/>
    <w:lvl w:ilvl="0">
      <w:lvlJc w:val="left"/>
      <w:lvlText w:val="(%1)"/>
      <w:numFmt w:val="lowerLetter"/>
      <w:start w:val="2"/>
    </w:lvl>
  </w:abstractNum>
  <w:abstractNum w:abstractNumId="103">
    <w:nsid w:val="3102BBE2"/>
    <w:multiLevelType w:val="hybridMultilevel"/>
    <w:lvl w:ilvl="0">
      <w:lvlJc w:val="left"/>
      <w:lvlText w:val="(%1)"/>
      <w:numFmt w:val="lowerLetter"/>
      <w:start w:val="1"/>
    </w:lvl>
  </w:abstractNum>
  <w:abstractNum w:abstractNumId="104">
    <w:nsid w:val="26A02C5E"/>
    <w:multiLevelType w:val="hybridMultilevel"/>
    <w:lvl w:ilvl="0">
      <w:lvlJc w:val="left"/>
      <w:lvlText w:val="%1"/>
      <w:numFmt w:val="lowerLetter"/>
      <w:start w:val="1"/>
    </w:lvl>
    <w:lvl w:ilvl="1">
      <w:lvlJc w:val="left"/>
      <w:lvlText w:val="(%2)"/>
      <w:numFmt w:val="lowerLetter"/>
      <w:start w:val="3"/>
    </w:lvl>
  </w:abstractNum>
  <w:abstractNum w:abstractNumId="105">
    <w:nsid w:val="541C8153"/>
    <w:multiLevelType w:val="hybridMultilevel"/>
    <w:lvl w:ilvl="0">
      <w:lvlJc w:val="left"/>
      <w:lvlText w:val="(%1)"/>
      <w:numFmt w:val="lowerLetter"/>
      <w:start w:val="9"/>
    </w:lvl>
    <w:lvl w:ilvl="1">
      <w:lvlJc w:val="left"/>
      <w:lvlText w:val="(%2)"/>
      <w:numFmt w:val="lowerLetter"/>
      <w:start w:val="8"/>
    </w:lvl>
  </w:abstractNum>
  <w:abstractNum w:abstractNumId="106">
    <w:nsid w:val="67906F60"/>
    <w:multiLevelType w:val="hybridMultilevel"/>
    <w:lvl w:ilvl="0">
      <w:lvlJc w:val="left"/>
      <w:lvlText w:val="(%1)"/>
      <w:numFmt w:val="lowerLetter"/>
      <w:start w:val="1"/>
    </w:lvl>
  </w:abstractNum>
  <w:abstractNum w:abstractNumId="107">
    <w:nsid w:val="10DB9DAA"/>
    <w:multiLevelType w:val="hybridMultilevel"/>
    <w:lvl w:ilvl="0">
      <w:lvlJc w:val="left"/>
      <w:lvlText w:val="(%1)"/>
      <w:numFmt w:val="lowerLetter"/>
      <w:start w:val="1"/>
    </w:lvl>
  </w:abstractNum>
  <w:abstractNum w:abstractNumId="108">
    <w:nsid w:val="697D2D2"/>
    <w:multiLevelType w:val="hybridMultilevel"/>
    <w:lvl w:ilvl="0">
      <w:lvlJc w:val="left"/>
      <w:lvlText w:val="(%1)"/>
      <w:numFmt w:val="lowerLetter"/>
      <w:start w:val="1"/>
    </w:lvl>
  </w:abstractNum>
  <w:abstractNum w:abstractNumId="109">
    <w:nsid w:val="6D68AB2"/>
    <w:multiLevelType w:val="hybridMultilevel"/>
    <w:lvl w:ilvl="0">
      <w:lvlJc w:val="left"/>
      <w:lvlText w:val="(%1)"/>
      <w:numFmt w:val="lowerLetter"/>
      <w:start w:val="1"/>
    </w:lvl>
  </w:abstractNum>
  <w:abstractNum w:abstractNumId="110">
    <w:nsid w:val="3A966CD0"/>
    <w:multiLevelType w:val="hybridMultilevel"/>
    <w:lvl w:ilvl="0">
      <w:lvlJc w:val="left"/>
      <w:lvlText w:val="(%1)"/>
      <w:numFmt w:val="lowerLetter"/>
      <w:start w:val="2"/>
    </w:lvl>
  </w:abstractNum>
  <w:abstractNum w:abstractNumId="111">
    <w:nsid w:val="63F37E85"/>
    <w:multiLevelType w:val="hybridMultilevel"/>
    <w:lvl w:ilvl="0">
      <w:lvlJc w:val="left"/>
      <w:lvlText w:val="(%1)"/>
      <w:numFmt w:val="lowerLetter"/>
      <w:start w:val="1"/>
    </w:lvl>
  </w:abstractNum>
  <w:abstractNum w:abstractNumId="112">
    <w:nsid w:val="5895F5FA"/>
    <w:multiLevelType w:val="hybridMultilevel"/>
    <w:lvl w:ilvl="0">
      <w:lvlJc w:val="left"/>
      <w:lvlText w:val="(%1)"/>
      <w:numFmt w:val="lowerLetter"/>
      <w:start w:val="1"/>
    </w:lvl>
  </w:abstractNum>
  <w:abstractNum w:abstractNumId="113">
    <w:nsid w:val="38A5D054"/>
    <w:multiLevelType w:val="hybridMultilevel"/>
    <w:lvl w:ilvl="0">
      <w:lvlJc w:val="left"/>
      <w:lvlText w:val="(%1)"/>
      <w:numFmt w:val="lowerLetter"/>
      <w:start w:val="2"/>
    </w:lvl>
  </w:abstractNum>
  <w:abstractNum w:abstractNumId="114">
    <w:nsid w:val="F3F09D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15">
    <w:nsid w:val="4B79373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16">
    <w:nsid w:val="4A10B4E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117">
    <w:nsid w:val="43D3BCD4"/>
    <w:multiLevelType w:val="hybridMultilevel"/>
    <w:lvl w:ilvl="0">
      <w:lvlJc w:val="left"/>
      <w:lvlText w:val="(%1)"/>
      <w:numFmt w:val="lowerLetter"/>
      <w:start w:val="1"/>
    </w:lvl>
  </w:abstractNum>
  <w:abstractNum w:abstractNumId="118">
    <w:nsid w:val="4C2A7166"/>
    <w:multiLevelType w:val="hybridMultilevel"/>
    <w:lvl w:ilvl="0">
      <w:lvlJc w:val="left"/>
      <w:lvlText w:val="(%1)"/>
      <w:numFmt w:val="lowerLetter"/>
      <w:start w:val="2"/>
    </w:lvl>
  </w:abstractNum>
  <w:abstractNum w:abstractNumId="119">
    <w:nsid w:val="2E534A82"/>
    <w:multiLevelType w:val="hybridMultilevel"/>
    <w:lvl w:ilvl="0">
      <w:lvlJc w:val="left"/>
      <w:lvlText w:val="(%1)"/>
      <w:numFmt w:val="lowerLetter"/>
      <w:start w:val="1"/>
    </w:lvl>
  </w:abstractNum>
  <w:abstractNum w:abstractNumId="120">
    <w:nsid w:val="26F2D364"/>
    <w:multiLevelType w:val="hybridMultilevel"/>
    <w:lvl w:ilvl="0">
      <w:lvlJc w:val="left"/>
      <w:lvlText w:val="%1"/>
      <w:numFmt w:val="decimal"/>
      <w:start w:val="1"/>
    </w:lvl>
    <w:lvl w:ilvl="1">
      <w:lvlJc w:val="left"/>
      <w:lvlText w:val="(%2)"/>
      <w:numFmt w:val="lowerLetter"/>
      <w:start w:val="2"/>
    </w:lvl>
  </w:abstractNum>
  <w:abstractNum w:abstractNumId="121">
    <w:nsid w:val="71C1AF98"/>
    <w:multiLevelType w:val="hybridMultilevel"/>
    <w:lvl w:ilvl="0">
      <w:lvlJc w:val="left"/>
      <w:lvlText w:val="(%1)"/>
      <w:numFmt w:val="decimal"/>
      <w:start w:val="3"/>
    </w:lvl>
    <w:lvl w:ilvl="1">
      <w:lvlJc w:val="left"/>
      <w:lvlText w:val="%2"/>
      <w:numFmt w:val="lowerLetter"/>
      <w:start w:val="1"/>
    </w:lvl>
  </w:abstractNum>
  <w:abstractNum w:abstractNumId="122">
    <w:nsid w:val="3D00B9D9"/>
    <w:multiLevelType w:val="hybridMultilevel"/>
    <w:lvl w:ilvl="0">
      <w:lvlJc w:val="left"/>
      <w:lvlText w:val="(%1)"/>
      <w:numFmt w:val="lowerLetter"/>
      <w:start w:val="1"/>
    </w:lvl>
  </w:abstractNum>
  <w:abstractNum w:abstractNumId="123">
    <w:nsid w:val="15BCABA8"/>
    <w:multiLevelType w:val="hybridMultilevel"/>
    <w:lvl w:ilvl="0">
      <w:lvlJc w:val="left"/>
      <w:lvlText w:val="(%1)"/>
      <w:numFmt w:val="lowerLetter"/>
      <w:start w:val="10"/>
    </w:lvl>
  </w:abstractNum>
  <w:abstractNum w:abstractNumId="124">
    <w:nsid w:val="4E0B9A87"/>
    <w:multiLevelType w:val="hybridMultilevel"/>
    <w:lvl w:ilvl="0">
      <w:lvlJc w:val="left"/>
      <w:lvlText w:val="(%1)"/>
      <w:numFmt w:val="lowerLetter"/>
      <w:start w:val="1"/>
    </w:lvl>
  </w:abstractNum>
  <w:abstractNum w:abstractNumId="125">
    <w:nsid w:val="434BAE75"/>
    <w:multiLevelType w:val="hybridMultilevel"/>
    <w:lvl w:ilvl="0">
      <w:lvlJc w:val="left"/>
      <w:lvlText w:val="(%1)"/>
      <w:numFmt w:val="lowerLetter"/>
      <w:start w:val="5"/>
    </w:lvl>
  </w:abstractNum>
  <w:abstractNum w:abstractNumId="126">
    <w:nsid w:val="4F38F265"/>
    <w:multiLevelType w:val="hybridMultilevel"/>
    <w:lvl w:ilvl="0">
      <w:lvlJc w:val="left"/>
      <w:lvlText w:val="(%1)"/>
      <w:numFmt w:val="lowerLetter"/>
      <w:start w:val="7"/>
    </w:lvl>
  </w:abstractNum>
  <w:abstractNum w:abstractNumId="127">
    <w:nsid w:val="4C502870"/>
    <w:multiLevelType w:val="hybridMultilevel"/>
    <w:lvl w:ilvl="0">
      <w:lvlJc w:val="left"/>
      <w:lvlText w:val="(%1)"/>
      <w:numFmt w:val="lowerLetter"/>
      <w:start w:val="1"/>
    </w:lvl>
  </w:abstractNum>
  <w:abstractNum w:abstractNumId="128">
    <w:nsid w:val="1DE8725A"/>
    <w:multiLevelType w:val="hybridMultilevel"/>
    <w:lvl w:ilvl="0">
      <w:lvlJc w:val="left"/>
      <w:lvlText w:val="%1"/>
      <w:numFmt w:val="lowerLetter"/>
      <w:start w:val="1"/>
    </w:lvl>
    <w:lvl w:ilvl="1">
      <w:lvlJc w:val="left"/>
      <w:lvlText w:val="(%2)"/>
      <w:numFmt w:val="lowerLetter"/>
      <w:start w:val="5"/>
    </w:lvl>
  </w:abstractNum>
  <w:abstractNum w:abstractNumId="129">
    <w:nsid w:val="6A37288A"/>
    <w:multiLevelType w:val="hybridMultilevel"/>
    <w:lvl w:ilvl="0">
      <w:lvlJc w:val="left"/>
      <w:lvlText w:val="(%1)"/>
      <w:numFmt w:val="lowerLetter"/>
      <w:start w:val="35"/>
    </w:lvl>
    <w:lvl w:ilvl="1">
      <w:lvlJc w:val="left"/>
      <w:lvlText w:val="%2"/>
      <w:numFmt w:val="lowerLetter"/>
      <w:start w:val="1"/>
    </w:lvl>
  </w:abstractNum>
  <w:abstractNum w:abstractNumId="130">
    <w:nsid w:val="8F8B73F"/>
    <w:multiLevelType w:val="hybridMultilevel"/>
    <w:lvl w:ilvl="0">
      <w:lvlJc w:val="left"/>
      <w:lvlText w:val="(%1)"/>
      <w:numFmt w:val="upperLetter"/>
      <w:start w:val="3"/>
    </w:lvl>
    <w:lvl w:ilvl="1">
      <w:lvlJc w:val="left"/>
      <w:lvlText w:val="(%2)"/>
      <w:numFmt w:val="lowerLetter"/>
      <w:start w:val="8"/>
    </w:lvl>
  </w:abstractNum>
  <w:abstractNum w:abstractNumId="131">
    <w:nsid w:val="CA6B462"/>
    <w:multiLevelType w:val="hybridMultilevel"/>
    <w:lvl w:ilvl="0">
      <w:lvlJc w:val="left"/>
      <w:lvlText w:val="(%1)"/>
      <w:numFmt w:val="lowerLetter"/>
      <w:start w:val="11"/>
    </w:lvl>
  </w:abstractNum>
  <w:abstractNum w:abstractNumId="132">
    <w:nsid w:val="763CB680"/>
    <w:multiLevelType w:val="hybridMultilevel"/>
    <w:lvl w:ilvl="0">
      <w:lvlJc w:val="left"/>
      <w:lvlText w:val="(%1)"/>
      <w:numFmt w:val="lowerLetter"/>
      <w:start w:val="1"/>
    </w:lvl>
  </w:abstractNum>
  <w:abstractNum w:abstractNumId="133">
    <w:nsid w:val="15B71329"/>
    <w:multiLevelType w:val="hybridMultilevel"/>
    <w:lvl w:ilvl="0">
      <w:lvlJc w:val="left"/>
      <w:lvlText w:val="(%1)"/>
      <w:numFmt w:val="lowerLetter"/>
      <w:start w:val="3"/>
    </w:lvl>
  </w:abstractNum>
  <w:abstractNum w:abstractNumId="134">
    <w:nsid w:val="3DA97044"/>
    <w:multiLevelType w:val="hybridMultilevel"/>
    <w:lvl w:ilvl="0">
      <w:lvlJc w:val="left"/>
      <w:lvlText w:val="(%1)"/>
      <w:numFmt w:val="lowerLetter"/>
      <w:start w:val="6"/>
    </w:lvl>
  </w:abstractNum>
  <w:abstractNum w:abstractNumId="135">
    <w:nsid w:val="1CDCE2DE"/>
    <w:multiLevelType w:val="hybridMultilevel"/>
    <w:lvl w:ilvl="0">
      <w:lvlJc w:val="left"/>
      <w:lvlText w:val="(%1)"/>
      <w:numFmt w:val="lowerRoman"/>
      <w:start w:val="4"/>
    </w:lvl>
  </w:abstractNum>
  <w:abstractNum w:abstractNumId="136">
    <w:nsid w:val="69D3947C"/>
    <w:multiLevelType w:val="hybridMultilevel"/>
    <w:lvl w:ilvl="0">
      <w:lvlJc w:val="left"/>
      <w:lvlText w:val="(%1)"/>
      <w:numFmt w:val="lowerRoman"/>
      <w:start w:val="10"/>
    </w:lvl>
  </w:abstractNum>
  <w:abstractNum w:abstractNumId="137">
    <w:nsid w:val="2539DFA5"/>
    <w:multiLevelType w:val="hybridMultilevel"/>
    <w:lvl w:ilvl="0">
      <w:lvlJc w:val="left"/>
      <w:lvlText w:val="(%1)"/>
      <w:numFmt w:val="lowerLetter"/>
      <w:start w:val="1"/>
    </w:lvl>
  </w:abstractNum>
  <w:abstractNum w:abstractNumId="138">
    <w:nsid w:val="2DB88089"/>
    <w:multiLevelType w:val="hybridMultilevel"/>
    <w:lvl w:ilvl="0">
      <w:lvlJc w:val="left"/>
      <w:lvlText w:val="(%1)"/>
      <w:numFmt w:val="lowerLetter"/>
      <w:start w:val="1"/>
    </w:lvl>
  </w:abstractNum>
  <w:abstractNum w:abstractNumId="139">
    <w:nsid w:val="706B674E"/>
    <w:multiLevelType w:val="hybridMultilevel"/>
    <w:lvl w:ilvl="0">
      <w:lvlJc w:val="left"/>
      <w:lvlText w:val="(%1)"/>
      <w:numFmt w:val="lowerLetter"/>
      <w:start w:val="2"/>
    </w:lvl>
  </w:abstractNum>
  <w:abstractNum w:abstractNumId="140">
    <w:nsid w:val="2C106A5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1">
    <w:nsid w:val="684EED59"/>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42">
    <w:nsid w:val="545EE5D3"/>
    <w:multiLevelType w:val="hybridMultilevel"/>
    <w:lvl w:ilvl="0">
      <w:lvlJc w:val="left"/>
      <w:lvlText w:val="%1"/>
      <w:numFmt w:val="lowerRoman"/>
      <w:start w:val="1"/>
    </w:lvl>
    <w:lvl w:ilvl="1">
      <w:lvlJc w:val="left"/>
      <w:lvlText w:val="(%2)"/>
      <w:numFmt w:val="lowerRoman"/>
      <w:start w:val="2"/>
    </w:lvl>
  </w:abstractNum>
  <w:abstractNum w:abstractNumId="143">
    <w:nsid w:val="4A66051"/>
    <w:multiLevelType w:val="hybridMultilevel"/>
    <w:lvl w:ilvl="0">
      <w:lvlJc w:val="left"/>
      <w:lvlText w:val="(%1)"/>
      <w:numFmt w:val="lowerRoman"/>
      <w:start w:val="10"/>
    </w:lvl>
    <w:lvl w:ilvl="1">
      <w:lvlJc w:val="left"/>
      <w:lvlText w:val="%2"/>
      <w:numFmt w:val="lowerRoman"/>
      <w:start w:val="1"/>
    </w:lvl>
  </w:abstractNum>
  <w:abstractNum w:abstractNumId="144">
    <w:nsid w:val="20F4BDAD"/>
    <w:multiLevelType w:val="hybridMultilevel"/>
    <w:lvl w:ilvl="0">
      <w:lvlJc w:val="left"/>
      <w:lvlText w:val="(%1)"/>
      <w:numFmt w:val="lowerRoman"/>
      <w:start w:val="2"/>
    </w:lvl>
  </w:abstractNum>
  <w:abstractNum w:abstractNumId="145">
    <w:nsid w:val="639DEFAC"/>
    <w:multiLevelType w:val="hybridMultilevel"/>
    <w:lvl w:ilvl="0">
      <w:lvlJc w:val="left"/>
      <w:lvlText w:val="(%1)"/>
      <w:numFmt w:val="lowerLetter"/>
      <w:start w:val="1"/>
    </w:lvl>
  </w:abstractNum>
  <w:abstractNum w:abstractNumId="146">
    <w:nsid w:val="501F9786"/>
    <w:multiLevelType w:val="hybridMultilevel"/>
    <w:lvl w:ilvl="0">
      <w:lvlJc w:val="left"/>
      <w:lvlText w:val="%1"/>
      <w:numFmt w:val="lowerLetter"/>
      <w:start w:val="1"/>
    </w:lvl>
    <w:lvl w:ilvl="1">
      <w:lvlJc w:val="left"/>
      <w:lvlText w:val="(%2)"/>
      <w:numFmt w:val="lowerLetter"/>
      <w:start w:val="3"/>
    </w:lvl>
  </w:abstractNum>
  <w:abstractNum w:abstractNumId="147">
    <w:nsid w:val="6B057295"/>
    <w:multiLevelType w:val="hybridMultilevel"/>
    <w:lvl w:ilvl="0">
      <w:lvlJc w:val="left"/>
      <w:lvlText w:val="(%1)"/>
      <w:numFmt w:val="lowerLetter"/>
      <w:start w:val="2"/>
    </w:lvl>
    <w:lvl w:ilvl="1">
      <w:lvlJc w:val="left"/>
      <w:lvlText w:val="(%2)"/>
      <w:numFmt w:val="lowerLetter"/>
      <w:start w:val="4"/>
    </w:lvl>
  </w:abstractNum>
  <w:abstractNum w:abstractNumId="148">
    <w:nsid w:val="2771AC80"/>
    <w:multiLevelType w:val="hybridMultilevel"/>
    <w:lvl w:ilvl="0">
      <w:lvlJc w:val="left"/>
      <w:lvlText w:val="(%1)"/>
      <w:numFmt w:val="lowerLetter"/>
      <w:start w:val="7"/>
    </w:lvl>
  </w:abstractNum>
  <w:abstractNum w:abstractNumId="149">
    <w:nsid w:val="1C4A08EC"/>
    <w:multiLevelType w:val="hybridMultilevel"/>
    <w:lvl w:ilvl="0">
      <w:lvlJc w:val="left"/>
      <w:lvlText w:val="%1"/>
      <w:numFmt w:val="lowerRoman"/>
      <w:start w:val="1"/>
    </w:lvl>
    <w:lvl w:ilvl="1">
      <w:lvlJc w:val="left"/>
      <w:lvlText w:val="(%2)"/>
      <w:numFmt w:val="lowerRoman"/>
      <w:start w:val="1"/>
    </w:lvl>
  </w:abstractNum>
  <w:abstractNum w:abstractNumId="150">
    <w:nsid w:val="1958BD17"/>
    <w:multiLevelType w:val="hybridMultilevel"/>
    <w:lvl w:ilvl="0">
      <w:lvlJc w:val="left"/>
      <w:lvlText w:val="(%1)"/>
      <w:numFmt w:val="lowerRoman"/>
      <w:start w:val="2"/>
    </w:lvl>
    <w:lvl w:ilvl="1">
      <w:lvlJc w:val="left"/>
      <w:lvlText w:val="%2"/>
      <w:numFmt w:val="lowerRoman"/>
      <w:start w:val="1"/>
    </w:lvl>
  </w:abstractNum>
  <w:abstractNum w:abstractNumId="151">
    <w:nsid w:val="4E647FE4"/>
    <w:multiLevelType w:val="hybridMultilevel"/>
    <w:lvl w:ilvl="0">
      <w:lvlJc w:val="left"/>
      <w:lvlText w:val="(%1)"/>
      <w:numFmt w:val="lowerLetter"/>
      <w:start w:val="10"/>
    </w:lvl>
  </w:abstractNum>
  <w:abstractNum w:abstractNumId="152">
    <w:nsid w:val="E0BB885"/>
    <w:multiLevelType w:val="hybridMultilevel"/>
    <w:lvl w:ilvl="0">
      <w:lvlJc w:val="left"/>
      <w:lvlText w:val="(%1)"/>
      <w:numFmt w:val="lowerLetter"/>
      <w:start w:val="13"/>
    </w:lvl>
  </w:abstractNum>
  <w:abstractNum w:abstractNumId="153">
    <w:nsid w:val="565976F1"/>
    <w:multiLevelType w:val="hybridMultilevel"/>
    <w:lvl w:ilvl="0">
      <w:lvlJc w:val="left"/>
      <w:lvlText w:val="(%1)"/>
      <w:numFmt w:val="lowerLetter"/>
      <w:start w:val="1"/>
    </w:lvl>
  </w:abstractNum>
  <w:abstractNum w:abstractNumId="154">
    <w:nsid w:val="64212B8C"/>
    <w:multiLevelType w:val="hybridMultilevel"/>
    <w:lvl w:ilvl="0">
      <w:lvlJc w:val="left"/>
      <w:lvlText w:val="(%1)"/>
      <w:numFmt w:val="lowerLetter"/>
      <w:start w:val="1"/>
    </w:lvl>
  </w:abstractNum>
  <w:abstractNum w:abstractNumId="155">
    <w:nsid w:val="5C17530C"/>
    <w:multiLevelType w:val="hybridMultilevel"/>
    <w:lvl w:ilvl="0">
      <w:lvlJc w:val="left"/>
      <w:lvlText w:val="(%1)"/>
      <w:numFmt w:val="lowerLetter"/>
      <w:start w:val="2"/>
    </w:lvl>
  </w:abstractNum>
  <w:abstractNum w:abstractNumId="156">
    <w:nsid w:val="19A52566"/>
    <w:multiLevelType w:val="hybridMultilevel"/>
    <w:lvl w:ilvl="0">
      <w:lvlJc w:val="left"/>
      <w:lvlText w:val="(%1)"/>
      <w:numFmt w:val="lowerLetter"/>
      <w:start w:val="1"/>
    </w:lvl>
  </w:abstractNum>
  <w:abstractNum w:abstractNumId="157">
    <w:nsid w:val="335A1DF1"/>
    <w:multiLevelType w:val="hybridMultilevel"/>
    <w:lvl w:ilvl="0">
      <w:lvlJc w:val="left"/>
      <w:lvlText w:val="(%1)"/>
      <w:numFmt w:val="lowerLetter"/>
      <w:start w:val="1"/>
    </w:lvl>
  </w:abstractNum>
  <w:abstractNum w:abstractNumId="158">
    <w:nsid w:val="28677B7C"/>
    <w:multiLevelType w:val="hybridMultilevel"/>
    <w:lvl w:ilvl="0">
      <w:lvlJc w:val="left"/>
      <w:lvlText w:val="(%1)"/>
      <w:numFmt w:val="lowerLetter"/>
      <w:start w:val="2"/>
    </w:lvl>
  </w:abstractNum>
  <w:abstractNum w:abstractNumId="159">
    <w:nsid w:val="378D97C0"/>
    <w:multiLevelType w:val="hybridMultilevel"/>
    <w:lvl w:ilvl="0">
      <w:lvlJc w:val="left"/>
      <w:lvlText w:val="(%1)"/>
      <w:numFmt w:val="lowerLetter"/>
      <w:start w:val="1"/>
    </w:lvl>
  </w:abstractNum>
  <w:abstractNum w:abstractNumId="160">
    <w:nsid w:val="1D91467C"/>
    <w:multiLevelType w:val="hybridMultilevel"/>
    <w:lvl w:ilvl="0">
      <w:lvlJc w:val="left"/>
      <w:lvlText w:val="(%1)"/>
      <w:numFmt w:val="lowerLetter"/>
      <w:start w:val="1"/>
    </w:lvl>
    <w:lvl w:ilvl="1">
      <w:lvlJc w:val="left"/>
      <w:lvlText w:val="(%2)"/>
      <w:numFmt w:val="lowerRoman"/>
      <w:start w:val="1"/>
    </w:lvl>
  </w:abstractNum>
  <w:abstractNum w:abstractNumId="161">
    <w:nsid w:val="316032BB"/>
    <w:multiLevelType w:val="hybridMultilevel"/>
    <w:lvl w:ilvl="0">
      <w:lvlJc w:val="left"/>
      <w:lvlText w:val="(%1)"/>
      <w:numFmt w:val="lowerRoman"/>
      <w:start w:val="4"/>
    </w:lvl>
  </w:abstractNum>
  <w:abstractNum w:abstractNumId="162">
    <w:nsid w:val="44344C22"/>
    <w:multiLevelType w:val="hybridMultilevel"/>
    <w:lvl w:ilvl="0">
      <w:lvlJc w:val="left"/>
      <w:lvlText w:val="(%1)"/>
      <w:numFmt w:val="lowerLetter"/>
      <w:start w:val="2"/>
    </w:lvl>
  </w:abstractNum>
  <w:abstractNum w:abstractNumId="163">
    <w:nsid w:val="13CDFCFC"/>
    <w:multiLevelType w:val="hybridMultilevel"/>
    <w:lvl w:ilvl="0">
      <w:lvlJc w:val="left"/>
      <w:lvlText w:val="(%1)"/>
      <w:numFmt w:val="lowerLetter"/>
      <w:start w:val="1"/>
    </w:lvl>
    <w:lvl w:ilvl="1">
      <w:lvlJc w:val="left"/>
      <w:lvlText w:val="(%2)"/>
      <w:numFmt w:val="lowerRoman"/>
      <w:start w:val="1"/>
    </w:lvl>
  </w:abstractNum>
  <w:abstractNum w:abstractNumId="164">
    <w:nsid w:val="471745E4"/>
    <w:multiLevelType w:val="hybridMultilevel"/>
    <w:lvl w:ilvl="0">
      <w:lvlJc w:val="left"/>
      <w:lvlText w:val="(%1)"/>
      <w:numFmt w:val="lowerLetter"/>
      <w:start w:val="2"/>
    </w:lvl>
  </w:abstractNum>
  <w:abstractNum w:abstractNumId="165">
    <w:nsid w:val="1DDBC66"/>
    <w:multiLevelType w:val="hybridMultilevel"/>
    <w:lvl w:ilvl="0">
      <w:lvlJc w:val="left"/>
      <w:lvlText w:val="(%1)"/>
      <w:numFmt w:val="lowerLetter"/>
      <w:start w:val="3"/>
    </w:lvl>
  </w:abstractNum>
  <w:abstractNum w:abstractNumId="166">
    <w:nsid w:val="30AADFDA"/>
    <w:multiLevelType w:val="hybridMultilevel"/>
    <w:lvl w:ilvl="0">
      <w:lvlJc w:val="left"/>
      <w:lvlText w:val="(%1)"/>
      <w:numFmt w:val="lowerLetter"/>
      <w:start w:val="4"/>
    </w:lvl>
  </w:abstractNum>
  <w:abstractNum w:abstractNumId="167">
    <w:nsid w:val="30EADA61"/>
    <w:multiLevelType w:val="hybridMultilevel"/>
    <w:lvl w:ilvl="0">
      <w:lvlJc w:val="left"/>
      <w:lvlText w:val="(%1)"/>
      <w:numFmt w:val="lowerLetter"/>
      <w:start w:val="1"/>
    </w:lvl>
  </w:abstractNum>
  <w:abstractNum w:abstractNumId="168">
    <w:nsid w:val="27179C0B"/>
    <w:multiLevelType w:val="hybridMultilevel"/>
    <w:lvl w:ilvl="0">
      <w:lvlJc w:val="left"/>
      <w:lvlText w:val="(%1)"/>
      <w:numFmt w:val="lowerRoman"/>
      <w:start w:val="5"/>
    </w:lvl>
  </w:abstractNum>
  <w:abstractNum w:abstractNumId="169">
    <w:nsid w:val="5E636063"/>
    <w:multiLevelType w:val="hybridMultilevel"/>
    <w:lvl w:ilvl="0">
      <w:lvlJc w:val="left"/>
      <w:lvlText w:val="(%1)"/>
      <w:numFmt w:val="lowerLetter"/>
      <w:start w:val="3"/>
    </w:lvl>
  </w:abstractNum>
  <w:abstractNum w:abstractNumId="170">
    <w:nsid w:val="215641AF"/>
    <w:multiLevelType w:val="hybridMultilevel"/>
    <w:lvl w:ilvl="0">
      <w:lvlJc w:val="left"/>
      <w:lvlText w:val="(%1)"/>
      <w:numFmt w:val="lowerLetter"/>
      <w:start w:val="1"/>
    </w:lvl>
    <w:lvl w:ilvl="1">
      <w:lvlJc w:val="left"/>
      <w:lvlText w:val="(%2)"/>
      <w:numFmt w:val="lowerLetter"/>
      <w:start w:val="9"/>
    </w:lvl>
  </w:abstractNum>
  <w:abstractNum w:abstractNumId="171">
    <w:nsid w:val="53280662"/>
    <w:multiLevelType w:val="hybridMultilevel"/>
    <w:lvl w:ilvl="0">
      <w:lvlJc w:val="left"/>
      <w:lvlText w:val="(%1)"/>
      <w:numFmt w:val="upperLetter"/>
      <w:start w:val="1"/>
    </w:lvl>
  </w:abstractNum>
  <w:abstractNum w:abstractNumId="172">
    <w:nsid w:val="46B24DB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173">
    <w:nsid w:val="75B52783"/>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4"/>
      <w:numFmt w:val="upperLetter"/>
      <w:start w:val="1"/>
    </w:lvl>
  </w:abstractNum>
  <w:abstractNum w:abstractNumId="174">
    <w:nsid w:val="57CE66B4"/>
    <w:multiLevelType w:val="hybridMultilevel"/>
    <w:lvl w:ilvl="0">
      <w:lvlJc w:val="left"/>
      <w:lvlText w:val="(%1)"/>
      <w:numFmt w:val="upperLetter"/>
      <w:start w:val="2"/>
    </w:lvl>
    <w:lvl w:ilvl="1">
      <w:lvlJc w:val="left"/>
      <w:lvlText w:val="%2"/>
      <w:numFmt w:val="lowerRoman"/>
      <w:start w:val="1"/>
    </w:lvl>
    <w:lvl w:ilvl="2">
      <w:lvlJc w:val="left"/>
      <w:lvlText w:val="(%3)"/>
      <w:numFmt w:val="decimal"/>
    </w:lvl>
    <w:lvl w:ilvl="3">
      <w:lvlJc w:val="left"/>
      <w:lvlText w:val="(%4)"/>
      <w:numFmt w:val="upperLetter"/>
      <w:start w:val="1"/>
    </w:lvl>
  </w:abstractNum>
  <w:abstractNum w:abstractNumId="175">
    <w:nsid w:val="67A70B69"/>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176">
    <w:nsid w:val="5953172F"/>
    <w:multiLevelType w:val="hybridMultilevel"/>
    <w:lvl w:ilvl="0">
      <w:lvlJc w:val="left"/>
      <w:lvlText w:val="%1"/>
      <w:numFmt w:val="upperLetter"/>
      <w:start w:val="1"/>
    </w:lvl>
    <w:lvl w:ilvl="1">
      <w:lvlJc w:val="left"/>
      <w:lvlText w:val="(%2)"/>
      <w:numFmt w:val="lowerRoman"/>
      <w:start w:val="4"/>
    </w:lvl>
    <w:lvl w:ilvl="2">
      <w:lvlJc w:val="left"/>
      <w:lvlText w:val="%3"/>
      <w:numFmt w:val="decimal"/>
      <w:start w:val="1"/>
    </w:lvl>
    <w:lvl w:ilvl="3">
      <w:lvlJc w:val="left"/>
      <w:lvlText w:val="%4"/>
      <w:numFmt w:val="upperLetter"/>
      <w:start w:val="1"/>
    </w:lvl>
  </w:abstractNum>
  <w:abstractNum w:abstractNumId="177">
    <w:nsid w:val="27EDFE3A"/>
    <w:multiLevelType w:val="hybridMultilevel"/>
    <w:lvl w:ilvl="0">
      <w:lvlJc w:val="left"/>
      <w:lvlText w:val="%1"/>
      <w:numFmt w:val="lowerRoman"/>
      <w:start w:val="1"/>
    </w:lvl>
    <w:lvl w:ilvl="1">
      <w:lvlJc w:val="left"/>
      <w:lvlText w:val="(%2)"/>
      <w:numFmt w:val="lowerRoman"/>
      <w:start w:val="6"/>
    </w:lvl>
  </w:abstractNum>
  <w:abstractNum w:abstractNumId="178">
    <w:nsid w:val="52AC7DFF"/>
    <w:multiLevelType w:val="hybridMultilevel"/>
    <w:lvl w:ilvl="0">
      <w:lvlJc w:val="left"/>
      <w:lvlText w:val="(%1)"/>
      <w:numFmt w:val="lowerRoman"/>
      <w:start w:val="10"/>
    </w:lvl>
    <w:lvl w:ilvl="1">
      <w:lvlJc w:val="left"/>
      <w:lvlText w:val="%2"/>
      <w:numFmt w:val="lowerRoman"/>
      <w:start w:val="1"/>
    </w:lvl>
  </w:abstractNum>
  <w:abstractNum w:abstractNumId="179">
    <w:nsid w:val="C4C3AF"/>
    <w:multiLevelType w:val="hybridMultilevel"/>
    <w:lvl w:ilvl="0">
      <w:lvlJc w:val="left"/>
      <w:lvlText w:val="(%1)"/>
      <w:numFmt w:val="lowerLetter"/>
      <w:start w:val="3"/>
    </w:lvl>
  </w:abstractNum>
  <w:abstractNum w:abstractNumId="180">
    <w:nsid w:val="44380727"/>
    <w:multiLevelType w:val="hybridMultilevel"/>
    <w:lvl w:ilvl="0">
      <w:lvlJc w:val="left"/>
      <w:lvlText w:val="(%1)"/>
      <w:numFmt w:val="lowerLetter"/>
      <w:start w:val="5"/>
    </w:lvl>
  </w:abstractNum>
  <w:abstractNum w:abstractNumId="181">
    <w:nsid w:val="6C053B16"/>
    <w:multiLevelType w:val="hybridMultilevel"/>
    <w:lvl w:ilvl="0">
      <w:lvlJc w:val="left"/>
      <w:lvlText w:val="(%1)"/>
      <w:numFmt w:val="lowerLetter"/>
      <w:start w:val="4"/>
    </w:lvl>
  </w:abstractNum>
  <w:abstractNum w:abstractNumId="182">
    <w:nsid w:val="4F294393"/>
    <w:multiLevelType w:val="hybridMultilevel"/>
    <w:lvl w:ilvl="0">
      <w:lvlJc w:val="left"/>
      <w:lvlText w:val="(%1)"/>
      <w:numFmt w:val="lowerLetter"/>
      <w:start w:val="6"/>
    </w:lvl>
  </w:abstractNum>
  <w:abstractNum w:abstractNumId="183">
    <w:nsid w:val="5243BFAC"/>
    <w:multiLevelType w:val="hybridMultilevel"/>
    <w:lvl w:ilvl="0">
      <w:lvlJc w:val="left"/>
      <w:lvlText w:val="(%1)"/>
      <w:numFmt w:val="lowerLetter"/>
      <w:start w:val="35"/>
    </w:lvl>
  </w:abstractNum>
  <w:abstractNum w:abstractNumId="184">
    <w:nsid w:val="425EB207"/>
    <w:multiLevelType w:val="hybridMultilevel"/>
    <w:lvl w:ilvl="0">
      <w:lvlJc w:val="left"/>
      <w:lvlText w:val="(%1)"/>
      <w:numFmt w:val="lowerLetter"/>
      <w:start w:val="25"/>
    </w:lvl>
  </w:abstractNum>
  <w:abstractNum w:abstractNumId="185">
    <w:nsid w:val="334A6F1F"/>
    <w:multiLevelType w:val="hybridMultilevel"/>
    <w:lvl w:ilvl="0">
      <w:lvlJc w:val="left"/>
      <w:lvlText w:val="(%1)"/>
      <w:numFmt w:val="lowerLetter"/>
      <w:start w:val="1"/>
    </w:lvl>
  </w:abstractNum>
  <w:abstractNum w:abstractNumId="186">
    <w:nsid w:val="2E5B12B8"/>
    <w:multiLevelType w:val="hybridMultilevel"/>
    <w:lvl w:ilvl="0">
      <w:lvlJc w:val="left"/>
      <w:lvlText w:val="(%1)"/>
      <w:numFmt w:val="lowerLetter"/>
      <w:start w:val="3"/>
    </w:lvl>
  </w:abstractNum>
  <w:abstractNum w:abstractNumId="187">
    <w:nsid w:val="5C03D76D"/>
    <w:multiLevelType w:val="hybridMultilevel"/>
    <w:lvl w:ilvl="0">
      <w:lvlJc w:val="left"/>
      <w:lvlText w:val="(%1)"/>
      <w:numFmt w:val="lowerLetter"/>
      <w:start w:val="1"/>
    </w:lvl>
  </w:abstractNum>
  <w:abstractNum w:abstractNumId="188">
    <w:nsid w:val="66A48D11"/>
    <w:multiLevelType w:val="hybridMultilevel"/>
    <w:lvl w:ilvl="0">
      <w:lvlJc w:val="left"/>
      <w:lvlText w:val="(%1)"/>
      <w:numFmt w:val="lowerRoman"/>
      <w:start w:val="3"/>
    </w:lvl>
  </w:abstractNum>
  <w:abstractNum w:abstractNumId="189">
    <w:nsid w:val="56C28E34"/>
    <w:multiLevelType w:val="hybridMultilevel"/>
    <w:lvl w:ilvl="0">
      <w:lvlJc w:val="left"/>
      <w:lvlText w:val="1"/>
      <w:numFmt w:val="bullet"/>
      <w:start w:val="1"/>
    </w:lvl>
  </w:abstractNum>
  <w:abstractNum w:abstractNumId="190">
    <w:nsid w:val="13916F2D"/>
    <w:multiLevelType w:val="hybridMultilevel"/>
    <w:lvl w:ilvl="0">
      <w:lvlJc w:val="left"/>
      <w:lvlText w:val="2"/>
      <w:numFmt w:val="bullet"/>
      <w:start w:val="1"/>
    </w:lvl>
  </w:abstractNum>
  <w:abstractNum w:abstractNumId="191">
    <w:nsid w:val="435D38D"/>
    <w:multiLevelType w:val="hybridMultilevel"/>
    <w:lvl w:ilvl="0">
      <w:lvlJc w:val="left"/>
      <w:lvlText w:val="3"/>
      <w:numFmt w:val="bullet"/>
      <w:start w:val="1"/>
    </w:lvl>
  </w:abstractNum>
  <w:abstractNum w:abstractNumId="192">
    <w:nsid w:val="822C0EF"/>
    <w:multiLevelType w:val="hybridMultilevel"/>
    <w:lvl w:ilvl="0">
      <w:lvlJc w:val="left"/>
      <w:lvlText w:val="%1."/>
      <w:numFmt w:val="decimal"/>
      <w:start w:val="1"/>
    </w:lvl>
  </w:abstractNum>
  <w:abstractNum w:abstractNumId="193">
    <w:nsid w:val="57C5BB4F"/>
    <w:multiLevelType w:val="hybridMultilevel"/>
    <w:lvl w:ilvl="0">
      <w:lvlJc w:val="left"/>
      <w:lvlText w:val="%1."/>
      <w:numFmt w:val="decimal"/>
      <w:start w:val="3"/>
    </w:lvl>
  </w:abstractNum>
  <w:abstractNum w:abstractNumId="194">
    <w:nsid w:val="1803D089"/>
    <w:multiLevelType w:val="hybridMultilevel"/>
    <w:lvl w:ilvl="0">
      <w:lvlJc w:val="left"/>
      <w:lvlText w:val="%1."/>
      <w:numFmt w:val="decimal"/>
      <w:start w:val="4"/>
    </w:lvl>
    <w:lvl w:ilvl="1">
      <w:lvlJc w:val="left"/>
      <w:lvlText w:val="(%2)"/>
      <w:numFmt w:val="lowerLetter"/>
      <w:start w:val="1"/>
    </w:lvl>
  </w:abstractNum>
  <w:abstractNum w:abstractNumId="195">
    <w:nsid w:val="4F3A06D4"/>
    <w:multiLevelType w:val="hybridMultilevel"/>
    <w:lvl w:ilvl="0">
      <w:lvlJc w:val="left"/>
      <w:lvlText w:val="(%1)"/>
      <w:numFmt w:val="lowerRoman"/>
      <w:start w:val="1"/>
    </w:lvl>
  </w:abstractNum>
  <w:abstractNum w:abstractNumId="196">
    <w:nsid w:val="59A377B6"/>
    <w:multiLevelType w:val="hybridMultilevel"/>
    <w:lvl w:ilvl="0">
      <w:lvlJc w:val="left"/>
      <w:lvlText w:val="%1"/>
      <w:numFmt w:val="lowerLetter"/>
      <w:start w:val="1"/>
    </w:lvl>
    <w:lvl w:ilvl="1">
      <w:lvlJc w:val="left"/>
      <w:lvlText w:val="(%2)"/>
      <w:numFmt w:val="lowerLetter"/>
      <w:start w:val="8"/>
    </w:lvl>
  </w:abstractNum>
  <w:abstractNum w:abstractNumId="197">
    <w:nsid w:val="48AEB063"/>
    <w:multiLevelType w:val="hybridMultilevel"/>
    <w:lvl w:ilvl="0">
      <w:lvlJc w:val="left"/>
      <w:lvlText w:val="(%1)"/>
      <w:numFmt w:val="lowerLetter"/>
      <w:start w:val="61"/>
    </w:lvl>
    <w:lvl w:ilvl="1">
      <w:lvlJc w:val="left"/>
      <w:lvlText w:val="%2"/>
      <w:numFmt w:val="lowerLetter"/>
      <w:start w:val="1"/>
    </w:lvl>
  </w:abstractNum>
  <w:abstractNum w:abstractNumId="198">
    <w:nsid w:val="24E135"/>
    <w:multiLevelType w:val="hybridMultilevel"/>
    <w:lvl w:ilvl="0">
      <w:lvlJc w:val="left"/>
      <w:lvlText w:val="(%1)"/>
      <w:numFmt w:val="lowerLetter"/>
      <w:start w:val="22"/>
    </w:lvl>
    <w:lvl w:ilvl="1">
      <w:lvlJc w:val="left"/>
      <w:lvlText w:val="%2"/>
      <w:numFmt w:val="lowerLetter"/>
      <w:start w:val="1"/>
    </w:lvl>
  </w:abstractNum>
  <w:abstractNum w:abstractNumId="199">
    <w:nsid w:val="BB13C1"/>
    <w:multiLevelType w:val="hybridMultilevel"/>
    <w:lvl w:ilvl="0">
      <w:lvlJc w:val="left"/>
      <w:lvlText w:val="%1."/>
      <w:numFmt w:val="decimal"/>
      <w:start w:val="5"/>
    </w:lvl>
  </w:abstractNum>
  <w:abstractNum w:abstractNumId="200">
    <w:nsid w:val="271210C7"/>
    <w:multiLevelType w:val="hybridMultilevel"/>
    <w:lvl w:ilvl="0">
      <w:lvlJc w:val="left"/>
      <w:lvlText w:val="%1."/>
      <w:numFmt w:val="decimal"/>
      <w:start w:val="7"/>
    </w:lvl>
  </w:abstractNum>
  <w:abstractNum w:abstractNumId="201">
    <w:nsid w:val="217B22E4"/>
    <w:multiLevelType w:val="hybridMultilevel"/>
    <w:lvl w:ilvl="0">
      <w:lvlJc w:val="left"/>
      <w:lvlText w:val="%1."/>
      <w:numFmt w:val="decimal"/>
      <w:start w:val="1"/>
    </w:lvl>
  </w:abstractNum>
  <w:abstractNum w:abstractNumId="202">
    <w:nsid w:val="53E31A24"/>
    <w:multiLevelType w:val="hybridMultilevel"/>
    <w:lvl w:ilvl="0">
      <w:lvlJc w:val="left"/>
      <w:lvlText w:val="%1."/>
      <w:numFmt w:val="decimal"/>
      <w:start w:val="6"/>
    </w:lvl>
  </w:abstractNum>
  <w:abstractNum w:abstractNumId="203">
    <w:nsid w:val="6DC45E83"/>
    <w:multiLevelType w:val="hybridMultilevel"/>
    <w:lvl w:ilvl="0">
      <w:lvlJc w:val="left"/>
      <w:lvlText w:val="%1."/>
      <w:numFmt w:val="decimal"/>
      <w:start w:val="7"/>
    </w:lvl>
  </w:abstractNum>
  <w:abstractNum w:abstractNumId="204">
    <w:nsid w:val="17304A67"/>
    <w:multiLevelType w:val="hybridMultilevel"/>
    <w:lvl w:ilvl="0">
      <w:lvlJc w:val="left"/>
      <w:lvlText w:val="5"/>
      <w:numFmt w:val="bullet"/>
      <w:start w:val="1"/>
    </w:lvl>
  </w:abstractNum>
  <w:abstractNum w:abstractNumId="205">
    <w:nsid w:val="2BB180D8"/>
    <w:multiLevelType w:val="hybridMultilevel"/>
    <w:lvl w:ilvl="0">
      <w:lvlJc w:val="left"/>
      <w:lvlText w:val="8"/>
      <w:numFmt w:val="bullet"/>
      <w:start w:val="1"/>
    </w:lvl>
  </w:abstractNum>
  <w:abstractNum w:abstractNumId="206">
    <w:nsid w:val="556B69ED"/>
    <w:multiLevelType w:val="hybridMultilevel"/>
    <w:lvl w:ilvl="0">
      <w:lvlJc w:val="left"/>
      <w:lvlText w:val="%1."/>
      <w:numFmt w:val="decimal"/>
      <w:start w:val="1"/>
    </w:lvl>
  </w:abstractNum>
  <w:abstractNum w:abstractNumId="207">
    <w:nsid w:val="70836196"/>
    <w:multiLevelType w:val="hybridMultilevel"/>
    <w:lvl w:ilvl="0">
      <w:lvlJc w:val="left"/>
      <w:lvlText w:val="(%1)"/>
      <w:numFmt w:val="lowerRoman"/>
      <w:start w:val="7"/>
    </w:lvl>
  </w:abstractNum>
  <w:abstractNum w:abstractNumId="208">
    <w:nsid w:val="539F7F12"/>
    <w:multiLevelType w:val="hybridMultilevel"/>
    <w:lvl w:ilvl="0">
      <w:lvlJc w:val="left"/>
      <w:lvlText w:val="%1."/>
      <w:numFmt w:val="decimal"/>
      <w:start w:val="2"/>
    </w:lvl>
  </w:abstractNum>
  <w:abstractNum w:abstractNumId="209">
    <w:nsid w:val="2817E7EC"/>
    <w:multiLevelType w:val="hybridMultilevel"/>
    <w:lvl w:ilvl="0">
      <w:lvlJc w:val="left"/>
      <w:lvlText w:val="%1."/>
      <w:numFmt w:val="decimal"/>
      <w:start w:val="2"/>
    </w:lvl>
  </w:abstractNum>
  <w:abstractNum w:abstractNumId="210">
    <w:nsid w:val="71482545"/>
    <w:multiLevelType w:val="hybridMultilevel"/>
    <w:lvl w:ilvl="0">
      <w:lvlJc w:val="left"/>
      <w:lvlText w:val="%1."/>
      <w:numFmt w:val="decimal"/>
      <w:start w:val="3"/>
    </w:lvl>
  </w:abstractNum>
  <w:abstractNum w:abstractNumId="211">
    <w:nsid w:val="17D78639"/>
    <w:multiLevelType w:val="hybridMultilevel"/>
    <w:lvl w:ilvl="0">
      <w:lvlJc w:val="left"/>
      <w:lvlText w:val="%1."/>
      <w:numFmt w:val="decimal"/>
      <w:start w:val="4"/>
    </w:lvl>
  </w:abstractNum>
  <w:abstractNum w:abstractNumId="212">
    <w:nsid w:val="141D2302"/>
    <w:multiLevelType w:val="hybridMultilevel"/>
    <w:lvl w:ilvl="0">
      <w:lvlJc w:val="left"/>
      <w:lvlText w:val="%1."/>
      <w:numFmt w:val="decimal"/>
      <w:start w:val="1"/>
    </w:lvl>
  </w:abstractNum>
  <w:abstractNum w:abstractNumId="213">
    <w:nsid w:val="407168D8"/>
    <w:multiLevelType w:val="hybridMultilevel"/>
    <w:lvl w:ilvl="0">
      <w:lvlJc w:val="left"/>
      <w:lvlText w:val="%1."/>
      <w:numFmt w:val="decimal"/>
      <w:start w:val="1"/>
    </w:lvl>
    <w:lvl w:ilvl="1">
      <w:lvlJc w:val="left"/>
      <w:lvlText w:val="(%2)"/>
      <w:numFmt w:val="lowerLetter"/>
      <w:start w:val="1"/>
    </w:lvl>
  </w:abstractNum>
  <w:abstractNum w:abstractNumId="214">
    <w:nsid w:val="6A1B45E5"/>
    <w:multiLevelType w:val="hybridMultilevel"/>
    <w:lvl w:ilvl="0">
      <w:lvlJc w:val="left"/>
      <w:lvlText w:val="%1."/>
      <w:numFmt w:val="decimal"/>
      <w:start w:val="2"/>
    </w:lvl>
    <w:lvl w:ilvl="1">
      <w:lvlJc w:val="left"/>
      <w:lvlText w:val="(%2)"/>
      <w:numFmt w:val="lowerLetter"/>
      <w:start w:val="1"/>
    </w:lvl>
  </w:abstractNum>
  <w:abstractNum w:abstractNumId="215">
    <w:nsid w:val="567BD50A"/>
    <w:multiLevelType w:val="hybridMultilevel"/>
    <w:lvl w:ilvl="0">
      <w:lvlJc w:val="left"/>
      <w:lvlText w:val="(%1)"/>
      <w:numFmt w:val="lowerLetter"/>
      <w:start w:val="13"/>
    </w:lvl>
  </w:abstractNum>
  <w:abstractNum w:abstractNumId="216">
    <w:nsid w:val="73BBD7F8"/>
    <w:multiLevelType w:val="hybridMultilevel"/>
    <w:lvl w:ilvl="0">
      <w:lvlJc w:val="left"/>
      <w:lvlText w:val="(%1)"/>
      <w:numFmt w:val="lowerLetter"/>
      <w:start w:val="24"/>
    </w:lvl>
  </w:abstractNum>
  <w:abstractNum w:abstractNumId="217">
    <w:nsid w:val="1876589D"/>
    <w:multiLevelType w:val="hybridMultilevel"/>
    <w:lvl w:ilvl="0">
      <w:lvlJc w:val="left"/>
      <w:lvlText w:val="(%1)"/>
      <w:numFmt w:val="lowerLetter"/>
      <w:start w:val="27"/>
    </w:lvl>
  </w:abstractNum>
  <w:abstractNum w:abstractNumId="218">
    <w:nsid w:val="327FAC77"/>
    <w:multiLevelType w:val="hybridMultilevel"/>
    <w:lvl w:ilvl="0">
      <w:lvlJc w:val="left"/>
      <w:lvlText w:val="(%1)"/>
      <w:numFmt w:val="lowerRoman"/>
      <w:start w:val="2"/>
    </w:lvl>
  </w:abstractNum>
  <w:abstractNum w:abstractNumId="219">
    <w:nsid w:val="5A606509"/>
    <w:multiLevelType w:val="hybridMultilevel"/>
    <w:lvl w:ilvl="0">
      <w:lvlJc w:val="left"/>
      <w:lvlText w:val="%1."/>
      <w:numFmt w:val="decimal"/>
      <w:start w:val="3"/>
    </w:lvl>
    <w:lvl w:ilvl="1">
      <w:lvlJc w:val="left"/>
      <w:lvlText w:val="(%2)"/>
      <w:numFmt w:val="lowerLetter"/>
      <w:start w:val="1"/>
    </w:lvl>
  </w:abstractNum>
  <w:abstractNum w:abstractNumId="220">
    <w:nsid w:val="6F38E6D1"/>
    <w:multiLevelType w:val="hybridMultilevel"/>
    <w:lvl w:ilvl="0">
      <w:lvlJc w:val="left"/>
      <w:lvlText w:val="%1."/>
      <w:numFmt w:val="decimal"/>
      <w:start w:val="4"/>
    </w:lvl>
  </w:abstractNum>
  <w:abstractNum w:abstractNumId="221">
    <w:nsid w:val="46111BA5"/>
    <w:multiLevelType w:val="hybridMultilevel"/>
    <w:lvl w:ilvl="0">
      <w:lvlJc w:val="left"/>
      <w:lvlText w:val="%1"/>
      <w:numFmt w:val="lowerLetter"/>
      <w:start w:val="1"/>
    </w:lvl>
    <w:lvl w:ilvl="1">
      <w:lvlJc w:val="left"/>
      <w:lvlText w:val="(%2)"/>
      <w:numFmt w:val="lowerLetter"/>
      <w:start w:val="1"/>
    </w:lvl>
  </w:abstractNum>
  <w:abstractNum w:abstractNumId="222">
    <w:nsid w:val="5E963896"/>
    <w:multiLevelType w:val="hybridMultilevel"/>
    <w:lvl w:ilvl="0">
      <w:lvlJc w:val="left"/>
      <w:lvlText w:val="(%1)"/>
      <w:numFmt w:val="lowerLetter"/>
      <w:start w:val="35"/>
    </w:lvl>
    <w:lvl w:ilvl="1">
      <w:lvlJc w:val="left"/>
      <w:lvlText w:val="(%2)"/>
      <w:numFmt w:val="lowerLetter"/>
      <w:start w:val="6"/>
    </w:lvl>
  </w:abstractNum>
  <w:abstractNum w:abstractNumId="223">
    <w:nsid w:val="775BA7C1"/>
    <w:multiLevelType w:val="hybridMultilevel"/>
    <w:lvl w:ilvl="0">
      <w:lvlJc w:val="left"/>
      <w:lvlText w:val="%1"/>
      <w:numFmt w:val="decimal"/>
      <w:start w:val="1"/>
    </w:lvl>
    <w:lvl w:ilvl="1">
      <w:lvlJc w:val="left"/>
      <w:lvlText w:val="(%2)"/>
      <w:numFmt w:val="lowerLetter"/>
      <w:start w:val="8"/>
    </w:lvl>
  </w:abstractNum>
  <w:abstractNum w:abstractNumId="224">
    <w:nsid w:val="1DD6D6F4"/>
    <w:multiLevelType w:val="hybridMultilevel"/>
    <w:lvl w:ilvl="0">
      <w:lvlJc w:val="left"/>
      <w:lvlText w:val="%1."/>
      <w:numFmt w:val="decimal"/>
      <w:start w:val="5"/>
    </w:lvl>
    <w:lvl w:ilvl="1">
      <w:lvlJc w:val="left"/>
      <w:lvlText w:val="(%2)"/>
      <w:numFmt w:val="lowerLetter"/>
      <w:start w:val="1"/>
    </w:lvl>
  </w:abstractNum>
  <w:abstractNum w:abstractNumId="225">
    <w:nsid w:val="769A091F"/>
    <w:multiLevelType w:val="hybridMultilevel"/>
    <w:lvl w:ilvl="0">
      <w:lvlJc w:val="left"/>
      <w:lvlText w:val="%1"/>
      <w:numFmt w:val="lowerLetter"/>
      <w:start w:val="1"/>
    </w:lvl>
    <w:lvl w:ilvl="1">
      <w:lvlJc w:val="left"/>
      <w:lvlText w:val="(%2)"/>
      <w:numFmt w:val="lowerLetter"/>
      <w:start w:val="4"/>
    </w:lvl>
  </w:abstractNum>
  <w:abstractNum w:abstractNumId="226">
    <w:nsid w:val="4695AE95"/>
    <w:multiLevelType w:val="hybridMultilevel"/>
    <w:lvl w:ilvl="0">
      <w:lvlJc w:val="left"/>
      <w:lvlText w:val="(%1)"/>
      <w:numFmt w:val="lowerLetter"/>
      <w:start w:val="9"/>
    </w:lvl>
    <w:lvl w:ilvl="1">
      <w:lvlJc w:val="left"/>
      <w:lvlText w:val="%2"/>
      <w:numFmt w:val="lowerLetter"/>
      <w:start w:val="1"/>
    </w:lvl>
  </w:abstractNum>
  <w:abstractNum w:abstractNumId="227">
    <w:nsid w:val="777A4EA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28">
    <w:nsid w:val="3F48B98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9">
    <w:nsid w:val="46BA8FCA"/>
    <w:multiLevelType w:val="hybridMultilevel"/>
    <w:lvl w:ilvl="0">
      <w:lvlJc w:val="left"/>
      <w:lvlText w:val="(%1)"/>
      <w:numFmt w:val="lowerLetter"/>
      <w:start w:val="1"/>
    </w:lvl>
  </w:abstractNum>
  <w:abstractNum w:abstractNumId="230">
    <w:nsid w:val="7835626C"/>
    <w:multiLevelType w:val="hybridMultilevel"/>
    <w:lvl w:ilvl="0">
      <w:lvlJc w:val="left"/>
      <w:lvlText w:val="(%1)"/>
      <w:numFmt w:val="lowerLetter"/>
      <w:start w:val="2"/>
    </w:lvl>
    <w:lvl w:ilvl="1">
      <w:lvlJc w:val="left"/>
      <w:lvlText w:val="(%2)"/>
      <w:numFmt w:val="lowerRoman"/>
      <w:start w:val="1"/>
    </w:lvl>
  </w:abstractNum>
  <w:abstractNum w:abstractNumId="231">
    <w:nsid w:val="665ACA49"/>
    <w:multiLevelType w:val="hybridMultilevel"/>
    <w:lvl w:ilvl="0">
      <w:lvlJc w:val="left"/>
      <w:lvlText w:val="%1"/>
      <w:numFmt w:val="decimal"/>
      <w:start w:val="1"/>
    </w:lvl>
    <w:lvl w:ilvl="1">
      <w:lvlJc w:val="left"/>
      <w:lvlText w:val="(%2)"/>
      <w:numFmt w:val="lowerLetter"/>
      <w:start w:val="6"/>
    </w:lvl>
  </w:abstractNum>
  <w:abstractNum w:abstractNumId="232">
    <w:nsid w:val="6835B2AE"/>
    <w:multiLevelType w:val="hybridMultilevel"/>
    <w:lvl w:ilvl="0">
      <w:lvlJc w:val="left"/>
      <w:lvlText w:val="%1."/>
      <w:numFmt w:val="decimal"/>
      <w:start w:val="7"/>
    </w:lvl>
    <w:lvl w:ilvl="1">
      <w:lvlJc w:val="left"/>
      <w:lvlText w:val="(%2)"/>
      <w:numFmt w:val="lowerLetter"/>
      <w:start w:val="1"/>
    </w:lvl>
  </w:abstractNum>
  <w:abstractNum w:abstractNumId="233">
    <w:nsid w:val="4C187C90"/>
    <w:multiLevelType w:val="hybridMultilevel"/>
    <w:lvl w:ilvl="0">
      <w:lvlJc w:val="left"/>
      <w:lvlText w:val="(%1)"/>
      <w:numFmt w:val="lowerLetter"/>
      <w:start w:val="2"/>
    </w:lvl>
  </w:abstractNum>
  <w:abstractNum w:abstractNumId="234">
    <w:nsid w:val="541F28CD"/>
    <w:multiLevelType w:val="hybridMultilevel"/>
    <w:lvl w:ilvl="0">
      <w:lvlJc w:val="left"/>
      <w:lvlText w:val="(%1)"/>
      <w:numFmt w:val="lowerLetter"/>
      <w:start w:val="61"/>
    </w:lvl>
    <w:lvl w:ilvl="1">
      <w:lvlJc w:val="left"/>
      <w:lvlText w:val="(%2)"/>
      <w:numFmt w:val="lowerLetter"/>
      <w:start w:val="3"/>
    </w:lvl>
  </w:abstractNum>
  <w:abstractNum w:abstractNumId="235">
    <w:nsid w:val="7F65FD16"/>
    <w:multiLevelType w:val="hybridMultilevel"/>
    <w:lvl w:ilvl="0">
      <w:lvlJc w:val="left"/>
      <w:lvlText w:val="(%1)"/>
      <w:numFmt w:val="lowerLetter"/>
      <w:start w:val="5"/>
    </w:lvl>
  </w:abstractNum>
  <w:abstractNum w:abstractNumId="236">
    <w:nsid w:val="77C9FD6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37">
    <w:nsid w:val="298A92BA"/>
    <w:multiLevelType w:val="hybridMultilevel"/>
    <w:lvl w:ilvl="0">
      <w:lvlJc w:val="left"/>
      <w:lvlText w:val="(%1)"/>
      <w:numFmt w:val="lowerRoman"/>
      <w:start w:val="12"/>
    </w:lvl>
  </w:abstractNum>
  <w:abstractNum w:abstractNumId="238">
    <w:nsid w:val="6FE95EAC"/>
    <w:multiLevelType w:val="hybridMultilevel"/>
    <w:lvl w:ilvl="0">
      <w:lvlJc w:val="left"/>
      <w:lvlText w:val="(%1)"/>
      <w:numFmt w:val="lowerLetter"/>
      <w:start w:val="2"/>
    </w:lvl>
  </w:abstractNum>
  <w:abstractNum w:abstractNumId="239">
    <w:nsid w:val="4B697C7A"/>
    <w:multiLevelType w:val="hybridMultilevel"/>
    <w:lvl w:ilvl="0">
      <w:lvlJc w:val="left"/>
      <w:lvlText w:val="%1."/>
      <w:numFmt w:val="decimal"/>
      <w:start w:val="10"/>
    </w:lvl>
    <w:lvl w:ilvl="1">
      <w:lvlJc w:val="left"/>
      <w:lvlText w:val="(%2)"/>
      <w:numFmt w:val="lowerLetter"/>
      <w:start w:val="1"/>
    </w:lvl>
  </w:abstractNum>
  <w:abstractNum w:abstractNumId="240">
    <w:nsid w:val="51A27AA6"/>
    <w:multiLevelType w:val="hybridMultilevel"/>
    <w:lvl w:ilvl="0">
      <w:lvlJc w:val="left"/>
      <w:lvlText w:val="%1."/>
      <w:numFmt w:val="decimal"/>
      <w:start w:val="15"/>
    </w:lvl>
  </w:abstractNum>
  <w:abstractNum w:abstractNumId="241">
    <w:nsid w:val="613183F2"/>
    <w:multiLevelType w:val="hybridMultilevel"/>
    <w:lvl w:ilvl="0">
      <w:lvlJc w:val="left"/>
      <w:lvlText w:val="%1"/>
      <w:numFmt w:val="decimal"/>
      <w:start w:val="1"/>
    </w:lvl>
    <w:lvl w:ilvl="1">
      <w:lvlJc w:val="left"/>
      <w:lvlText w:val="(%2)"/>
      <w:numFmt w:val="lowerLetter"/>
      <w:start w:val="1"/>
    </w:lvl>
  </w:abstractNum>
  <w:abstractNum w:abstractNumId="242">
    <w:nsid w:val="634102B4"/>
    <w:multiLevelType w:val="hybridMultilevel"/>
    <w:lvl w:ilvl="0">
      <w:lvlJc w:val="left"/>
      <w:lvlText w:val="%1."/>
      <w:numFmt w:val="decimal"/>
      <w:start w:val="24"/>
    </w:lvl>
    <w:lvl w:ilvl="1">
      <w:lvlJc w:val="left"/>
      <w:lvlText w:val="%2"/>
      <w:numFmt w:val="lowerLetter"/>
      <w:start w:val="1"/>
    </w:lvl>
  </w:abstractNum>
  <w:abstractNum w:abstractNumId="243">
    <w:nsid w:val="65BF9DA8"/>
    <w:multiLevelType w:val="hybridMultilevel"/>
    <w:lvl w:ilvl="0">
      <w:lvlJc w:val="left"/>
      <w:lvlText w:val="%1."/>
      <w:numFmt w:val="decimal"/>
      <w:start w:val="1"/>
    </w:lvl>
    <w:lvl w:ilvl="1">
      <w:lvlJc w:val="left"/>
      <w:lvlText w:val="(%2)"/>
      <w:numFmt w:val="lowerLetter"/>
      <w:start w:val="1"/>
    </w:lvl>
  </w:abstractNum>
  <w:abstractNum w:abstractNumId="244">
    <w:nsid w:val="21A2ECC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45">
    <w:nsid w:val="4D5C4899"/>
    <w:multiLevelType w:val="hybridMultilevel"/>
    <w:lvl w:ilvl="0">
      <w:lvlJc w:val="left"/>
      <w:lvlText w:val="%1"/>
      <w:numFmt w:val="lowerLetter"/>
      <w:start w:val="1"/>
    </w:lvl>
    <w:lvl w:ilvl="1">
      <w:lvlJc w:val="left"/>
      <w:lvlText w:val="(%2)"/>
      <w:numFmt w:val="lowerLetter"/>
      <w:start w:val="35"/>
    </w:lvl>
  </w:abstractNum>
  <w:abstractNum w:abstractNumId="246">
    <w:nsid w:val="3C3B72B2"/>
    <w:multiLevelType w:val="hybridMultilevel"/>
    <w:lvl w:ilvl="0">
      <w:lvlJc w:val="left"/>
      <w:lvlText w:val="(%1)"/>
      <w:numFmt w:val="lowerLetter"/>
      <w:start w:val="2"/>
    </w:lvl>
    <w:lvl w:ilvl="1">
      <w:lvlJc w:val="left"/>
      <w:lvlText w:val="%2"/>
      <w:numFmt w:val="lowerLetter"/>
      <w:start w:val="1"/>
    </w:lvl>
  </w:abstractNum>
  <w:abstractNum w:abstractNumId="247">
    <w:nsid w:val="155EC4C2"/>
    <w:multiLevelType w:val="hybridMultilevel"/>
    <w:lvl w:ilvl="0">
      <w:lvlJc w:val="left"/>
      <w:lvlText w:val="%1."/>
      <w:numFmt w:val="decimal"/>
      <w:start w:val="3"/>
    </w:lvl>
    <w:lvl w:ilvl="1">
      <w:lvlJc w:val="left"/>
      <w:lvlText w:val="(%2)"/>
      <w:numFmt w:val="lowerLetter"/>
      <w:start w:val="1"/>
    </w:lvl>
  </w:abstractNum>
  <w:abstractNum w:abstractNumId="248">
    <w:nsid w:val="65D2A137"/>
    <w:multiLevelType w:val="hybridMultilevel"/>
    <w:lvl w:ilvl="0">
      <w:lvlJc w:val="left"/>
      <w:lvlText w:val="%1"/>
      <w:numFmt w:val="lowerRoman"/>
      <w:start w:val="1"/>
    </w:lvl>
    <w:lvl w:ilvl="1">
      <w:lvlJc w:val="left"/>
      <w:lvlText w:val="(%2)"/>
      <w:numFmt w:val="lowerLetter"/>
      <w:start w:val="2"/>
    </w:lvl>
  </w:abstractNum>
  <w:abstractNum w:abstractNumId="249">
    <w:nsid w:val="6EBB1F2A"/>
    <w:multiLevelType w:val="hybridMultilevel"/>
    <w:lvl w:ilvl="0">
      <w:lvlJc w:val="left"/>
      <w:lvlText w:val="(%1)"/>
      <w:numFmt w:val="lowerRoman"/>
      <w:start w:val="4"/>
    </w:lvl>
    <w:lvl w:ilvl="1">
      <w:lvlJc w:val="left"/>
      <w:lvlText w:val="(%2)"/>
      <w:numFmt w:val="lowerLetter"/>
      <w:start w:val="3"/>
    </w:lvl>
  </w:abstractNum>
  <w:abstractNum w:abstractNumId="250">
    <w:nsid w:val="6FBF29CB"/>
    <w:multiLevelType w:val="hybridMultilevel"/>
    <w:lvl w:ilvl="0">
      <w:lvlJc w:val="left"/>
      <w:lvlText w:val="%1."/>
      <w:numFmt w:val="decimal"/>
      <w:start w:val="5"/>
    </w:lvl>
    <w:lvl w:ilvl="1">
      <w:lvlJc w:val="left"/>
      <w:lvlText w:val="(%2)"/>
      <w:numFmt w:val="lowerLetter"/>
      <w:start w:val="1"/>
    </w:lvl>
  </w:abstractNum>
  <w:abstractNum w:abstractNumId="251">
    <w:nsid w:val="550B8808"/>
    <w:multiLevelType w:val="hybridMultilevel"/>
    <w:lvl w:ilvl="0">
      <w:lvlJc w:val="left"/>
      <w:lvlText w:val="%1"/>
      <w:numFmt w:val="decimal"/>
      <w:start w:val="102"/>
    </w:lvl>
    <w:lvl w:ilvl="1">
      <w:lvlJc w:val="left"/>
      <w:lvlText w:val="(%2)"/>
      <w:numFmt w:val="lowerLetter"/>
      <w:start w:val="3"/>
    </w:lvl>
  </w:abstractNum>
  <w:abstractNum w:abstractNumId="252">
    <w:nsid w:val="34CC3ACF"/>
    <w:multiLevelType w:val="hybridMultilevel"/>
    <w:lvl w:ilvl="0">
      <w:lvlJc w:val="left"/>
      <w:lvlText w:val="%1"/>
      <w:numFmt w:val="lowerLetter"/>
      <w:start w:val="1"/>
    </w:lvl>
    <w:lvl w:ilvl="1">
      <w:lvlJc w:val="left"/>
      <w:lvlText w:val="(%2)"/>
      <w:numFmt w:val="lowerLetter"/>
      <w:start w:val="5"/>
    </w:lvl>
  </w:abstractNum>
  <w:abstractNum w:abstractNumId="253">
    <w:nsid w:val="4E556261"/>
    <w:multiLevelType w:val="hybridMultilevel"/>
    <w:lvl w:ilvl="0">
      <w:lvlJc w:val="left"/>
      <w:lvlText w:val="(%1)"/>
      <w:numFmt w:val="lowerLetter"/>
      <w:start w:val="35"/>
    </w:lvl>
    <w:lvl w:ilvl="1">
      <w:lvlJc w:val="left"/>
      <w:lvlText w:val="%2"/>
      <w:numFmt w:val="lowerLetter"/>
      <w:start w:val="1"/>
    </w:lvl>
  </w:abstractNum>
  <w:abstractNum w:abstractNumId="254">
    <w:nsid w:val="4C672FC9"/>
    <w:multiLevelType w:val="hybridMultilevel"/>
    <w:lvl w:ilvl="0">
      <w:lvlJc w:val="left"/>
      <w:lvlText w:val="%1"/>
      <w:numFmt w:val="decimal"/>
      <w:start w:val="1"/>
    </w:lvl>
    <w:lvl w:ilvl="1">
      <w:lvlJc w:val="left"/>
      <w:lvlText w:val="(%2)"/>
      <w:numFmt w:val="lowerLetter"/>
      <w:start w:val="7"/>
    </w:lvl>
  </w:abstractNum>
  <w:abstractNum w:abstractNumId="255">
    <w:nsid w:val="52A311C3"/>
    <w:multiLevelType w:val="hybridMultilevel"/>
    <w:lvl w:ilvl="0">
      <w:lvlJc w:val="left"/>
      <w:lvlText w:val="%1."/>
      <w:numFmt w:val="decimal"/>
      <w:start w:val="6"/>
    </w:lvl>
    <w:lvl w:ilvl="1">
      <w:lvlJc w:val="left"/>
      <w:lvlText w:val="(%2)"/>
      <w:numFmt w:val="lowerLetter"/>
      <w:start w:val="1"/>
    </w:lvl>
  </w:abstractNum>
  <w:abstractNum w:abstractNumId="256">
    <w:nsid w:val="44EF6B80"/>
    <w:multiLevelType w:val="hybridMultilevel"/>
    <w:lvl w:ilvl="0">
      <w:lvlJc w:val="left"/>
      <w:lvlText w:val="%1"/>
      <w:numFmt w:val="lowerRoman"/>
      <w:start w:val="1"/>
    </w:lvl>
    <w:lvl w:ilvl="1">
      <w:lvlJc w:val="left"/>
      <w:lvlText w:val="(%2)"/>
      <w:numFmt w:val="lowerLetter"/>
      <w:start w:val="3"/>
    </w:lvl>
  </w:abstractNum>
  <w:abstractNum w:abstractNumId="257">
    <w:nsid w:val="12FCDE5E"/>
    <w:multiLevelType w:val="hybridMultilevel"/>
    <w:lvl w:ilvl="0">
      <w:lvlJc w:val="left"/>
      <w:lvlText w:val="(%1)"/>
      <w:numFmt w:val="lowerRoman"/>
      <w:start w:val="4"/>
    </w:lvl>
    <w:lvl w:ilvl="1">
      <w:lvlJc w:val="left"/>
      <w:lvlText w:val="%2"/>
      <w:numFmt w:val="lowerLetter"/>
      <w:start w:val="1"/>
    </w:lvl>
  </w:abstractNum>
  <w:abstractNum w:abstractNumId="258">
    <w:nsid w:val="4A1D606E"/>
    <w:multiLevelType w:val="hybridMultilevel"/>
    <w:lvl w:ilvl="0">
      <w:lvlJc w:val="left"/>
      <w:lvlText w:val="%1."/>
      <w:numFmt w:val="decimal"/>
      <w:start w:val="7"/>
    </w:lvl>
    <w:lvl w:ilvl="1">
      <w:lvlJc w:val="left"/>
      <w:lvlText w:val="(%2)"/>
      <w:numFmt w:val="lowerLetter"/>
      <w:start w:val="1"/>
    </w:lvl>
  </w:abstractNum>
  <w:abstractNum w:abstractNumId="259">
    <w:nsid w:val="4382503"/>
    <w:multiLevelType w:val="hybridMultilevel"/>
    <w:lvl w:ilvl="0">
      <w:lvlJc w:val="left"/>
      <w:lvlText w:val="(%1)"/>
      <w:numFmt w:val="lowerLetter"/>
      <w:start w:val="2"/>
    </w:lvl>
  </w:abstractNum>
  <w:abstractNum w:abstractNumId="260">
    <w:nsid w:val="59B76E28"/>
    <w:multiLevelType w:val="hybridMultilevel"/>
    <w:lvl w:ilvl="0">
      <w:lvlJc w:val="left"/>
      <w:lvlText w:val="(%1)"/>
      <w:numFmt w:val="decimal"/>
      <w:start w:val="10"/>
    </w:lvl>
    <w:lvl w:ilvl="1">
      <w:lvlJc w:val="left"/>
      <w:lvlText w:val="(%2)"/>
      <w:numFmt w:val="lowerLetter"/>
      <w:start w:val="3"/>
    </w:lvl>
  </w:abstractNum>
  <w:abstractNum w:abstractNumId="261">
    <w:nsid w:val="4252C2D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62">
    <w:nsid w:val="6A92EF4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63">
    <w:nsid w:val="41ED20D7"/>
    <w:multiLevelType w:val="hybridMultilevel"/>
    <w:lvl w:ilvl="0">
      <w:lvlJc w:val="left"/>
      <w:lvlText w:val="(%1)"/>
      <w:numFmt w:val="lowerRoman"/>
      <w:start w:val="9"/>
    </w:lvl>
  </w:abstractNum>
  <w:abstractNum w:abstractNumId="264">
    <w:nsid w:val="E6B3F6A"/>
    <w:multiLevelType w:val="hybridMultilevel"/>
    <w:lvl w:ilvl="0">
      <w:lvlJc w:val="left"/>
      <w:lvlText w:val="(%1)"/>
      <w:numFmt w:val="lowerLetter"/>
      <w:start w:val="2"/>
    </w:lvl>
  </w:abstractNum>
  <w:abstractNum w:abstractNumId="265">
    <w:nsid w:val="3EB2181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66">
    <w:nsid w:val="41531DED"/>
    <w:multiLevelType w:val="hybridMultilevel"/>
    <w:lvl w:ilvl="0">
      <w:lvlJc w:val="left"/>
      <w:lvlText w:val="%1"/>
      <w:numFmt w:val="decimal"/>
      <w:start w:val="1"/>
    </w:lvl>
    <w:lvl w:ilvl="1">
      <w:lvlJc w:val="left"/>
      <w:lvlText w:val="(%2)"/>
      <w:numFmt w:val="lowerLetter"/>
      <w:start w:val="6"/>
    </w:lvl>
  </w:abstractNum>
  <w:abstractNum w:abstractNumId="267">
    <w:nsid w:val="6353CD2"/>
    <w:multiLevelType w:val="hybridMultilevel"/>
    <w:lvl w:ilvl="0">
      <w:lvlJc w:val="left"/>
      <w:lvlText w:val="%1."/>
      <w:numFmt w:val="decimal"/>
      <w:start w:val="10"/>
    </w:lvl>
    <w:lvl w:ilvl="1">
      <w:lvlJc w:val="left"/>
      <w:lvlText w:val="(%2)"/>
      <w:numFmt w:val="lowerLetter"/>
      <w:start w:val="1"/>
    </w:lvl>
  </w:abstractNum>
  <w:abstractNum w:abstractNumId="268">
    <w:nsid w:val="683CAAD3"/>
    <w:multiLevelType w:val="hybridMultilevel"/>
    <w:lvl w:ilvl="0">
      <w:lvlJc w:val="left"/>
      <w:lvlText w:val="%1."/>
      <w:numFmt w:val="decimal"/>
      <w:start w:val="13"/>
    </w:lvl>
  </w:abstractNum>
  <w:abstractNum w:abstractNumId="269">
    <w:nsid w:val="313C7C99"/>
    <w:multiLevelType w:val="hybridMultilevel"/>
    <w:lvl w:ilvl="0">
      <w:lvlJc w:val="left"/>
      <w:lvlText w:val="%1."/>
      <w:numFmt w:val="decimal"/>
      <w:start w:val="20"/>
    </w:lvl>
  </w:abstractNum>
  <w:abstractNum w:abstractNumId="270">
    <w:nsid w:val="519EB94C"/>
    <w:multiLevelType w:val="hybridMultilevel"/>
    <w:lvl w:ilvl="0">
      <w:lvlJc w:val="left"/>
      <w:lvlText w:val="%1."/>
      <w:numFmt w:val="decimal"/>
      <w:start w:val="22"/>
    </w:lvl>
    <w:lvl w:ilvl="1">
      <w:lvlJc w:val="left"/>
      <w:lvlText w:val="(%2)"/>
      <w:numFmt w:val="lowerLetter"/>
      <w:start w:val="1"/>
    </w:lvl>
  </w:abstractNum>
  <w:abstractNum w:abstractNumId="271">
    <w:nsid w:val="39DF2579"/>
    <w:multiLevelType w:val="hybridMultilevel"/>
    <w:lvl w:ilvl="0">
      <w:lvlJc w:val="left"/>
      <w:lvlText w:val="%1."/>
      <w:numFmt w:val="decimal"/>
      <w:start w:val="1"/>
    </w:lvl>
    <w:lvl w:ilvl="1">
      <w:lvlJc w:val="left"/>
      <w:lvlText w:val="(%2)"/>
      <w:numFmt w:val="lowerLetter"/>
      <w:start w:val="1"/>
    </w:lvl>
  </w:abstractNum>
  <w:abstractNum w:abstractNumId="272">
    <w:nsid w:val="126E008B"/>
    <w:multiLevelType w:val="hybridMultilevel"/>
    <w:lvl w:ilvl="0">
      <w:lvlJc w:val="left"/>
      <w:lvlText w:val="(%1)"/>
      <w:numFmt w:val="lowerLetter"/>
      <w:start w:val="2"/>
    </w:lvl>
  </w:abstractNum>
  <w:abstractNum w:abstractNumId="273">
    <w:nsid w:val="34DFBC00"/>
    <w:multiLevelType w:val="hybridMultilevel"/>
    <w:lvl w:ilvl="0">
      <w:lvlJc w:val="left"/>
      <w:lvlText w:val="(%1)"/>
      <w:numFmt w:val="lowerLetter"/>
      <w:start w:val="3"/>
    </w:lvl>
  </w:abstractNum>
  <w:abstractNum w:abstractNumId="274">
    <w:nsid w:val="1F9EC32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275">
    <w:nsid w:val="3410ED56"/>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6"/>
    </w:lvl>
  </w:abstractNum>
  <w:abstractNum w:abstractNumId="276">
    <w:nsid w:val="23C049A"/>
    <w:multiLevelType w:val="hybridMultilevel"/>
    <w:lvl w:ilvl="0">
      <w:lvlJc w:val="left"/>
      <w:lvlText w:val="%1."/>
      <w:numFmt w:val="decimal"/>
      <w:start w:val="3"/>
    </w:lvl>
  </w:abstractNum>
  <w:abstractNum w:abstractNumId="277">
    <w:nsid w:val="5BDA35D4"/>
    <w:multiLevelType w:val="hybridMultilevel"/>
    <w:lvl w:ilvl="0">
      <w:lvlJc w:val="left"/>
      <w:lvlText w:val="%1."/>
      <w:numFmt w:val="decimal"/>
      <w:start w:val="4"/>
    </w:lvl>
    <w:lvl w:ilvl="1">
      <w:lvlJc w:val="left"/>
      <w:lvlText w:val="(%2)"/>
      <w:numFmt w:val="lowerLetter"/>
      <w:start w:val="1"/>
    </w:lvl>
  </w:abstractNum>
  <w:abstractNum w:abstractNumId="278">
    <w:nsid w:val="496FB218"/>
    <w:multiLevelType w:val="hybridMultilevel"/>
    <w:lvl w:ilvl="0">
      <w:lvlJc w:val="left"/>
      <w:lvlText w:val="(%1)"/>
      <w:numFmt w:val="lowerLetter"/>
      <w:start w:val="7"/>
    </w:lvl>
  </w:abstractNum>
  <w:abstractNum w:abstractNumId="279">
    <w:nsid w:val="680EA5D1"/>
    <w:multiLevelType w:val="hybridMultilevel"/>
    <w:lvl w:ilvl="0">
      <w:lvlJc w:val="left"/>
      <w:lvlText w:val="(%1)"/>
      <w:numFmt w:val="lowerLetter"/>
      <w:start w:val="11"/>
    </w:lvl>
  </w:abstractNum>
  <w:abstractNum w:abstractNumId="280">
    <w:nsid w:val="4A9554FE"/>
    <w:multiLevelType w:val="hybridMultilevel"/>
    <w:lvl w:ilvl="0">
      <w:lvlJc w:val="left"/>
      <w:lvlText w:val="%1."/>
      <w:numFmt w:val="decimal"/>
      <w:start w:val="1"/>
    </w:lvl>
    <w:lvl w:ilvl="1">
      <w:lvlJc w:val="left"/>
      <w:lvlText w:val="%2)"/>
      <w:numFmt w:val="lowerLetter"/>
      <w:start w:val="1"/>
    </w:lvl>
  </w:abstractNum>
  <w:abstractNum w:abstractNumId="281">
    <w:nsid w:val="392EDBE4"/>
    <w:multiLevelType w:val="hybridMultilevel"/>
    <w:lvl w:ilvl="0">
      <w:lvlJc w:val="left"/>
      <w:lvlText w:val="%1"/>
      <w:numFmt w:val="decimal"/>
      <w:start w:val="1"/>
    </w:lvl>
    <w:lvl w:ilvl="1">
      <w:lvlJc w:val="left"/>
      <w:lvlText w:val="%2)"/>
      <w:numFmt w:val="lowerLetter"/>
      <w:start w:val="3"/>
    </w:lvl>
  </w:abstractNum>
  <w:abstractNum w:abstractNumId="282">
    <w:nsid w:val="3D1A2DD9"/>
    <w:multiLevelType w:val="hybridMultilevel"/>
    <w:lvl w:ilvl="0">
      <w:lvlJc w:val="left"/>
      <w:lvlText w:val="%1."/>
      <w:numFmt w:val="decimal"/>
      <w:start w:val="5"/>
    </w:lvl>
    <w:lvl w:ilvl="1">
      <w:lvlJc w:val="left"/>
      <w:lvlText w:val="%2)"/>
      <w:numFmt w:val="lowerLetter"/>
      <w:start w:val="1"/>
    </w:lvl>
  </w:abstractNum>
  <w:abstractNum w:abstractNumId="283">
    <w:nsid w:val="7F618FCD"/>
    <w:multiLevelType w:val="hybridMultilevel"/>
    <w:lvl w:ilvl="0">
      <w:lvlJc w:val="left"/>
      <w:lvlText w:val="%1."/>
      <w:numFmt w:val="decimal"/>
      <w:start w:val="1"/>
    </w:lvl>
    <w:lvl w:ilvl="1">
      <w:lvlJc w:val="left"/>
      <w:lvlText w:val="%2)"/>
      <w:numFmt w:val="lowerLetter"/>
      <w:start w:val="1"/>
    </w:lvl>
  </w:abstractNum>
  <w:abstractNum w:abstractNumId="284">
    <w:nsid w:val="7843E45"/>
    <w:multiLevelType w:val="hybridMultilevel"/>
    <w:lvl w:ilvl="0">
      <w:lvlJc w:val="left"/>
      <w:lvlText w:val="(%1)"/>
      <w:numFmt w:val="decimal"/>
      <w:start w:val="1"/>
    </w:lvl>
  </w:abstractNum>
  <w:abstractNum w:abstractNumId="285">
    <w:nsid w:val="9815DA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2019-12-08T14:06:10Z</dcterms:created>
  <dcterms:modified xsi:type="dcterms:W3CDTF">2019-12-08T14:06:10Z</dcterms:modified>
</cp:coreProperties>
</file>