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filed with the Securities and Exchange Commission on June 17, 2025</w:t>
      </w:r>
    </w:p>
    <w:p>
      <w:pPr>
        <w:pStyle w:val="TextBody"/>
        <w:bidi w:val="0"/>
        <w:spacing w:lineRule="auto" w:line="33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FORM S-8</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REGISTRATION STATEMENT</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UNDER</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THE SECURITIES ACT OF 1933</w:t>
      </w:r>
    </w:p>
    <w:p>
      <w:pPr>
        <w:pStyle w:val="TextBody"/>
        <w:bidi w:val="0"/>
        <w:spacing w:lineRule="auto" w:line="333" w:before="0" w:after="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333" w:before="0" w:after="0"/>
        <w:jc w:val="center"/>
        <w:rPr>
          <w:rFonts w:ascii="Times New Roman;sans-serif" w:hAnsi="Times New Roman;sans-serif"/>
          <w:b/>
          <w:color w:val="000000"/>
          <w:sz w:val="40"/>
        </w:rPr>
      </w:pPr>
      <w:r>
        <w:rPr>
          <w:rFonts w:ascii="Times New Roman;sans-serif" w:hAnsi="Times New Roman;sans-serif"/>
          <w:b/>
          <w:color w:val="000000"/>
          <w:sz w:val="40"/>
        </w:rPr>
        <w:t>VERACYTE, INC.</w:t>
      </w:r>
    </w:p>
    <w:p>
      <w:pPr>
        <w:pStyle w:val="TextBody"/>
        <w:bidi w:val="0"/>
        <w:spacing w:lineRule="auto" w:line="288" w:before="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5331" w:type="dxa"/>
        <w:jc w:val="center"/>
        <w:tblInd w:w="0" w:type="dxa"/>
        <w:tblLayout w:type="fixed"/>
        <w:tblCellMar>
          <w:top w:w="28" w:type="dxa"/>
          <w:left w:w="28" w:type="dxa"/>
          <w:bottom w:w="28" w:type="dxa"/>
          <w:right w:w="28" w:type="dxa"/>
        </w:tblCellMar>
      </w:tblPr>
      <w:tblGrid>
        <w:gridCol w:w="418"/>
        <w:gridCol w:w="365"/>
        <w:gridCol w:w="365"/>
        <w:gridCol w:w="365"/>
        <w:gridCol w:w="365"/>
        <w:gridCol w:w="365"/>
        <w:gridCol w:w="365"/>
        <w:gridCol w:w="365"/>
        <w:gridCol w:w="382"/>
        <w:gridCol w:w="109"/>
        <w:gridCol w:w="109"/>
        <w:gridCol w:w="109"/>
        <w:gridCol w:w="174"/>
        <w:gridCol w:w="174"/>
        <w:gridCol w:w="174"/>
        <w:gridCol w:w="174"/>
        <w:gridCol w:w="174"/>
        <w:gridCol w:w="174"/>
        <w:gridCol w:w="174"/>
        <w:gridCol w:w="174"/>
        <w:gridCol w:w="257"/>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355"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20-5455398</w:t>
            </w:r>
          </w:p>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(I.R.S. Employer</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94080</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Veracyte, Inc. 2023 Equity Incentive Plan</w:t>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the plan)</w:t>
            </w:r>
          </w:p>
        </w:tc>
        <w:tc>
          <w:tcPr>
            <w:tcW w:w="11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21"/>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address of agent for service)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(650) 243-6300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 including area code, of agent for service)</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Copies to:</w:t>
            </w:r>
          </w:p>
        </w:tc>
      </w:tr>
    </w:tbl>
    <w:p>
      <w:pPr>
        <w:pStyle w:val="TextBody"/>
        <w:bidi w:val="0"/>
        <w:spacing w:before="60" w:after="283"/>
        <w:jc w:val="left"/>
        <w:rPr/>
      </w:pPr>
      <w:r>
        <w:rPr/>
      </w:r>
    </w:p>
    <w:tbl>
      <w:tblPr>
        <w:tblW w:w="7336" w:type="dxa"/>
        <w:jc w:val="center"/>
        <w:tblInd w:w="0" w:type="dxa"/>
        <w:tblLayout w:type="fixed"/>
        <w:tblCellMar>
          <w:top w:w="28" w:type="dxa"/>
          <w:left w:w="28" w:type="dxa"/>
          <w:bottom w:w="28" w:type="dxa"/>
          <w:right w:w="28" w:type="dxa"/>
        </w:tblCellMar>
      </w:tblPr>
      <w:tblGrid>
        <w:gridCol w:w="267"/>
        <w:gridCol w:w="234"/>
        <w:gridCol w:w="234"/>
        <w:gridCol w:w="234"/>
        <w:gridCol w:w="234"/>
        <w:gridCol w:w="234"/>
        <w:gridCol w:w="234"/>
        <w:gridCol w:w="234"/>
        <w:gridCol w:w="234"/>
        <w:gridCol w:w="809"/>
        <w:gridCol w:w="809"/>
        <w:gridCol w:w="811"/>
        <w:gridCol w:w="294"/>
        <w:gridCol w:w="294"/>
        <w:gridCol w:w="294"/>
        <w:gridCol w:w="294"/>
        <w:gridCol w:w="294"/>
        <w:gridCol w:w="294"/>
        <w:gridCol w:w="294"/>
        <w:gridCol w:w="294"/>
        <w:gridCol w:w="416"/>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13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Jim Krenn, Esq.</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Morrison &amp; Foerster LLP</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12531 High Bluff Drive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 Diego, CA 92130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(858) 720-5100</w:t>
            </w:r>
          </w:p>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Emily Beers, Esq.</w:t>
              <w:br/>
              <w:t>Morrison &amp; Foerster LLP</w:t>
              <w:br/>
              <w:t>2100 L Street NW, Suite 900</w:t>
              <w:br/>
              <w:t>Washington, D.C. 20037</w:t>
              <w:br/>
              <w:t>(202) 887-1500</w:t>
            </w:r>
          </w:p>
        </w:tc>
        <w:tc>
          <w:tcPr>
            <w:tcW w:w="2768"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Annie McGuire Esq.</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Veracyte, Inc.</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 94080</w:t>
            </w:r>
          </w:p>
          <w:p>
            <w:pPr>
              <w:pStyle w:val="TableContents"/>
              <w:bidi w:val="0"/>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(650) 243-6300</w:t>
            </w:r>
          </w:p>
        </w:tc>
      </w:tr>
    </w:tbl>
    <w:p>
      <w:pPr>
        <w:pStyle w:val="TextBody"/>
        <w:bidi w:val="0"/>
        <w:spacing w:before="0" w:after="0"/>
        <w:jc w:val="left"/>
        <w:rPr/>
      </w:pPr>
      <w:r>
        <w:rPr/>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40" w:after="283"/>
        <w:ind w:left="0" w:right="0" w:firstLine="54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80" w:after="283"/>
        <w:jc w:val="center"/>
        <w:rPr/>
      </w:pPr>
      <w:r>
        <w:rPr/>
      </w:r>
    </w:p>
    <w:p>
      <w:pPr>
        <w:pStyle w:val="TextBody"/>
        <w:bidi w:val="0"/>
        <w:spacing w:before="1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REGISTRATION OF ADDITIONAL SHARES PURSUANT TO GENERAL INSTRUCTION E</w:t>
      </w:r>
    </w:p>
    <w:p>
      <w:pPr>
        <w:pStyle w:val="TextBody"/>
        <w:bidi w:val="0"/>
        <w:spacing w:before="0" w:after="0"/>
        <w:jc w:val="center"/>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General Instruction E of Form S-8, Veracyte, Inc. (the “Registrant”) is filing this Registration Statement on Form S-8 with the U.S. Securities and Exchange Commission (the “Commission”) to register 2,500,000 additional shares (the “Share Increase”) of the Registrant’s common stock, par value $0.001 per share (the “common stock”), available for issuance under the Registrant’s 2023 Equity Incentive Plan, as amended (the “2023 Plan”). At the Registrant’s Annual Meeting of Stockholders held on June 17, 2025, the Registrant’s stockholders, among other things, approved the Share Increase under the 2023 Plan.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General Instruction E of Form S-8, and only with respect to the common stock issuable under the 2023 Plan, this Registration Statement hereby incorporates by reference the contents of (i)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February 25, 2020 (File No. 333-236630), February 22, 2021 (File No. 333-253363), March 1, 2022 (File No. 333-263116), March 1, 2023 (File No. 333-270147), in each case as amended by a Post-Effective Amendment No. 1 thereto filed with the Commission on June 8, 2023, and (ii) the Registrant’s Registration Statement on Form S-8 filed with the Commission on June 12, 2024 (File No. 333-280150), in each case, to the extent not superseded hereby. </w:t>
      </w:r>
    </w:p>
    <w:p>
      <w:pPr>
        <w:pStyle w:val="TextBody"/>
        <w:bidi w:val="0"/>
        <w:spacing w:before="0" w:after="0"/>
        <w:jc w:val="both"/>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before="0" w:after="0"/>
        <w:jc w:val="center"/>
        <w:rPr/>
      </w:pPr>
      <w:r>
        <w:rPr/>
      </w:r>
    </w:p>
    <w:p>
      <w:pPr>
        <w:pStyle w:val="TextBody"/>
        <w:bidi w:val="0"/>
        <w:spacing w:lineRule="auto" w:line="333" w:before="0" w:after="240"/>
        <w:jc w:val="both"/>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filed by the Registrant with the Commission are hereby incorporated by reference in this Registration Statement:</w:t>
      </w:r>
    </w:p>
    <w:p>
      <w:pPr>
        <w:pStyle w:val="TextBody"/>
        <w:bidi w:val="0"/>
        <w:spacing w:lineRule="auto" w:line="288" w:before="0" w:after="200"/>
        <w:ind w:left="0" w:right="0" w:hanging="360"/>
        <w:jc w:val="both"/>
        <w:rPr/>
      </w:pPr>
      <w:r>
        <w:rPr>
          <w:rFonts w:ascii="Times New Roman;sans-serif" w:hAnsi="Times New Roman;sans-serif"/>
          <w:b w:val="false"/>
          <w:color w:val="000000"/>
          <w:sz w:val="20"/>
        </w:rPr>
        <w:t>(a)    </w:t>
      </w:r>
      <w:hyperlink r:id="rId2">
        <w:r>
          <w:rPr>
            <w:rStyle w:val="InternetLink"/>
          </w:rPr>
          <w:t>The Registrant’s Annual Report on Form 10-K for the year ended December 31, 202</w:t>
        </w:r>
      </w:hyperlink>
      <w:hyperlink r:id="rId3">
        <w:r>
          <w:rPr>
            <w:rStyle w:val="InternetLink"/>
          </w:rPr>
          <w:t>4</w:t>
        </w:r>
      </w:hyperlink>
      <w:hyperlink r:id="rId4">
        <w:r>
          <w:rPr>
            <w:rStyle w:val="InternetLink"/>
          </w:rPr>
          <w:t>, filed with the Commission on February 2</w:t>
        </w:r>
      </w:hyperlink>
      <w:hyperlink r:id="rId5">
        <w:r>
          <w:rPr>
            <w:rStyle w:val="InternetLink"/>
          </w:rPr>
          <w:t>8</w:t>
        </w:r>
      </w:hyperlink>
      <w:hyperlink r:id="rId6">
        <w:r>
          <w:rPr>
            <w:rStyle w:val="InternetLink"/>
          </w:rPr>
          <w:t>, 202</w:t>
        </w:r>
      </w:hyperlink>
      <w:hyperlink r:id="rId7">
        <w:r>
          <w:rPr>
            <w:rStyle w:val="InternetLink"/>
          </w:rPr>
          <w:t>5</w:t>
        </w:r>
      </w:hyperlink>
      <w:hyperlink r:id="rId8">
        <w:r>
          <w:rPr>
            <w:rStyle w:val="InternetLink"/>
          </w:rPr>
          <w:t>;</w:t>
        </w:r>
      </w:hyperlink>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(c)    </w:t>
      </w:r>
      <w:hyperlink r:id="rId9">
        <w:r>
          <w:rPr>
            <w:rStyle w:val="InternetLink"/>
          </w:rPr>
          <w:t xml:space="preserve">The description of the Registrant’s </w:t>
        </w:r>
      </w:hyperlink>
      <w:hyperlink r:id="rId10">
        <w:r>
          <w:rPr>
            <w:rStyle w:val="InternetLink"/>
          </w:rPr>
          <w:t>c</w:t>
        </w:r>
      </w:hyperlink>
      <w:hyperlink r:id="rId11">
        <w:r>
          <w:rPr>
            <w:rStyle w:val="InternetLink"/>
          </w:rPr>
          <w:t xml:space="preserve">ommon </w:t>
        </w:r>
      </w:hyperlink>
      <w:hyperlink r:id="rId12">
        <w:r>
          <w:rPr>
            <w:rStyle w:val="InternetLink"/>
          </w:rPr>
          <w:t>s</w:t>
        </w:r>
      </w:hyperlink>
      <w:hyperlink r:id="rId13">
        <w:r>
          <w:rPr>
            <w:rStyle w:val="InternetLink"/>
          </w:rPr>
          <w:t>tock contained in Registrant’s registration statement on Form 8-A, filed</w:t>
        </w:r>
      </w:hyperlink>
      <w:hyperlink r:id="rId14">
        <w:r>
          <w:rPr>
            <w:rStyle w:val="InternetLink"/>
          </w:rPr>
          <w:t xml:space="preserve"> with the Commission</w:t>
        </w:r>
      </w:hyperlink>
      <w:hyperlink r:id="rId15">
        <w:r>
          <w:rPr>
            <w:rStyle w:val="InternetLink"/>
          </w:rPr>
          <w:t xml:space="preserve"> on October 28, 2013 pursuant to Section 12(b) of the Exchange Act</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16">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to the Registrant's Annual Report on Form 10-K for the fiscal year ended December 31, 2024, filed with the Commission on February 28, 2025.</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19"/>
        <w:gridCol w:w="544"/>
        <w:gridCol w:w="548"/>
        <w:gridCol w:w="641"/>
        <w:gridCol w:w="641"/>
        <w:gridCol w:w="90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2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r>
        <w:trPr/>
        <w:tc>
          <w:tcPr>
            <w:tcW w:w="3899" w:type="dxa"/>
            <w:gridSpan w:val="6"/>
            <w:tcBorders/>
            <w:tcMar>
              <w:top w:w="0" w:type="dxa"/>
              <w:left w:w="0" w:type="dxa"/>
              <w:bottom w:w="0" w:type="dxa"/>
              <w:right w:w="0" w:type="dxa"/>
            </w:tcMar>
            <w:vAlign w:val="center"/>
          </w:tcPr>
          <w:p>
            <w:pPr>
              <w:pStyle w:val="TableContents"/>
              <w:bidi w:val="0"/>
              <w:spacing w:lineRule="auto" w:line="288" w:before="40" w:after="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herewith:</w:t>
            </w:r>
          </w:p>
        </w:tc>
      </w:tr>
    </w:tbl>
    <w:p>
      <w:pPr>
        <w:pStyle w:val="TextBody"/>
        <w:bidi w:val="0"/>
        <w:spacing w:before="40" w:after="140"/>
        <w:jc w:val="left"/>
        <w:rPr/>
      </w:pPr>
      <w:r>
        <w:rPr/>
      </w:r>
    </w:p>
    <w:tbl>
      <w:tblPr>
        <w:tblW w:w="10205" w:type="dxa"/>
        <w:jc w:val="left"/>
        <w:tblInd w:w="0" w:type="dxa"/>
        <w:tblLayout w:type="fixed"/>
        <w:tblCellMar>
          <w:top w:w="28" w:type="dxa"/>
          <w:left w:w="28" w:type="dxa"/>
          <w:bottom w:w="28" w:type="dxa"/>
          <w:right w:w="28" w:type="dxa"/>
        </w:tblCellMar>
      </w:tblPr>
      <w:tblGrid>
        <w:gridCol w:w="355"/>
        <w:gridCol w:w="311"/>
        <w:gridCol w:w="314"/>
        <w:gridCol w:w="1402"/>
        <w:gridCol w:w="1372"/>
        <w:gridCol w:w="1387"/>
        <w:gridCol w:w="275"/>
        <w:gridCol w:w="275"/>
        <w:gridCol w:w="266"/>
        <w:gridCol w:w="361"/>
        <w:gridCol w:w="344"/>
        <w:gridCol w:w="309"/>
        <w:gridCol w:w="348"/>
        <w:gridCol w:w="348"/>
        <w:gridCol w:w="352"/>
        <w:gridCol w:w="315"/>
        <w:gridCol w:w="315"/>
        <w:gridCol w:w="316"/>
        <w:gridCol w:w="359"/>
        <w:gridCol w:w="359"/>
        <w:gridCol w:w="522"/>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left"/>
              <w:rPr/>
            </w:pPr>
            <w:hyperlink r:id="rId17">
              <w:r>
                <w:rPr>
                  <w:rStyle w:val="InternetLink"/>
                  <w:rFonts w:ascii="Times New Roman;sans-serif" w:hAnsi="Times New Roman;sans-serif"/>
                  <w:b w:val="false"/>
                  <w:color w:val="0000FF"/>
                  <w:sz w:val="20"/>
                  <w:u w:val="single"/>
                </w:rPr>
                <w:t>Restated Certificate of Incorporation of the Registrant</w:t>
              </w:r>
            </w:hyperlink>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Amended and Restated Bylaws of the Registrant</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16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r:id="rId19">
              <w:r>
                <w:rPr>
                  <w:rStyle w:val="InternetLink"/>
                  <w:rFonts w:ascii="Times New Roman;sans-serif" w:hAnsi="Times New Roman;sans-serif"/>
                  <w:b w:val="false"/>
                  <w:color w:val="0000FF"/>
                  <w:sz w:val="20"/>
                  <w:u w:val="single"/>
                </w:rPr>
                <w:t>Form of Common Stock Certificate</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10/15/2013</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16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ex51opinionfors-806172025.htm">
              <w:r>
                <w:rPr>
                  <w:rStyle w:val="InternetLink"/>
                  <w:rFonts w:ascii="Times New Roman;sans-serif" w:hAnsi="Times New Roman;sans-serif"/>
                  <w:b w:val="false"/>
                  <w:color w:val="000080"/>
                  <w:sz w:val="20"/>
                  <w:u w:val="single"/>
                </w:rPr>
                <w:t xml:space="preserve">Opinion of </w:t>
              </w:r>
            </w:hyperlink>
            <w:hyperlink w:anchor="ex51opinionfors-806172025.htm">
              <w:r>
                <w:rPr>
                  <w:rStyle w:val="InternetLink"/>
                  <w:rFonts w:ascii="Times New Roman;sans-serif" w:hAnsi="Times New Roman;sans-serif"/>
                  <w:b w:val="false"/>
                  <w:color w:val="000080"/>
                  <w:sz w:val="20"/>
                  <w:u w:val="single"/>
                </w:rPr>
                <w:t>Morrison &amp; Fo</w:t>
              </w:r>
            </w:hyperlink>
            <w:hyperlink w:anchor="ex51opinionfors-806172025.htm">
              <w:r>
                <w:rPr>
                  <w:rStyle w:val="InternetLink"/>
                  <w:rFonts w:ascii="Times New Roman;sans-serif" w:hAnsi="Times New Roman;sans-serif"/>
                  <w:b w:val="false"/>
                  <w:color w:val="000080"/>
                  <w:sz w:val="20"/>
                  <w:u w:val="single"/>
                </w:rPr>
                <w:t>erster</w:t>
              </w:r>
            </w:hyperlink>
            <w:hyperlink w:anchor="ex51opinionfors-806172025.htm">
              <w:r>
                <w:rPr>
                  <w:rStyle w:val="InternetLink"/>
                  <w:rFonts w:ascii="Times New Roman;sans-serif" w:hAnsi="Times New Roman;sans-serif"/>
                  <w:b w:val="false"/>
                  <w:color w:val="000080"/>
                  <w:sz w:val="20"/>
                  <w:u w:val="single"/>
                </w:rPr>
                <w:t> LLP</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s-8auditorconsent0617.htm">
              <w:r>
                <w:rPr>
                  <w:rStyle w:val="InternetLink"/>
                  <w:rFonts w:ascii="Times New Roman;sans-serif" w:hAnsi="Times New Roman;sans-serif"/>
                  <w:b w:val="false"/>
                  <w:color w:val="0000FF"/>
                  <w:sz w:val="20"/>
                  <w:u w:val="single"/>
                </w:rPr>
                <w:t>Consent of Independent Registered Public Accounting Firm</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opinionfors-806172025.htm">
              <w:r>
                <w:rPr>
                  <w:rStyle w:val="InternetLink"/>
                  <w:rFonts w:ascii="Times New Roman;sans-serif" w:hAnsi="Times New Roman;sans-serif"/>
                  <w:b w:val="false"/>
                  <w:color w:val="000080"/>
                  <w:sz w:val="20"/>
                  <w:u w:val="single"/>
                </w:rPr>
                <w:t xml:space="preserve">Consent of </w:t>
              </w:r>
            </w:hyperlink>
            <w:hyperlink w:anchor="ex51opinionfors-806172025.htm">
              <w:r>
                <w:rPr>
                  <w:rStyle w:val="InternetLink"/>
                  <w:rFonts w:ascii="Times New Roman;sans-serif" w:hAnsi="Times New Roman;sans-serif"/>
                  <w:b w:val="false"/>
                  <w:color w:val="000080"/>
                  <w:sz w:val="20"/>
                  <w:u w:val="single"/>
                </w:rPr>
                <w:t>Morrison</w:t>
              </w:r>
            </w:hyperlink>
            <w:hyperlink w:anchor="ex51opinionfors-806172025.htm">
              <w:r>
                <w:rPr>
                  <w:rStyle w:val="InternetLink"/>
                  <w:rFonts w:ascii="Times New Roman;sans-serif" w:hAnsi="Times New Roman;sans-serif"/>
                  <w:b w:val="false"/>
                  <w:color w:val="000080"/>
                  <w:sz w:val="20"/>
                  <w:u w:val="single"/>
                </w:rPr>
                <w:t xml:space="preserve"> &amp; </w:t>
              </w:r>
            </w:hyperlink>
            <w:hyperlink w:anchor="ex51opinionfors-806172025.htm">
              <w:r>
                <w:rPr>
                  <w:rStyle w:val="InternetLink"/>
                  <w:rFonts w:ascii="Times New Roman;sans-serif" w:hAnsi="Times New Roman;sans-serif"/>
                  <w:b w:val="false"/>
                  <w:color w:val="000080"/>
                  <w:sz w:val="20"/>
                  <w:u w:val="single"/>
                </w:rPr>
                <w:t>Foerster</w:t>
              </w:r>
            </w:hyperlink>
            <w:hyperlink w:anchor="ex51opinionfors-806172025.htm">
              <w:r>
                <w:rPr>
                  <w:rStyle w:val="InternetLink"/>
                  <w:rFonts w:ascii="Times New Roman;sans-serif" w:hAnsi="Times New Roman;sans-serif"/>
                  <w:b w:val="false"/>
                  <w:color w:val="000080"/>
                  <w:sz w:val="20"/>
                  <w:u w:val="single"/>
                </w:rPr>
                <w:t xml:space="preserve"> LLP (included in Exhibit 5.1)</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2cfa2fa5ca4505a84a999625637f26_7">
              <w:r>
                <w:rPr>
                  <w:rStyle w:val="InternetLink"/>
                  <w:rFonts w:ascii="Times New Roman;sans-serif" w:hAnsi="Times New Roman;sans-serif"/>
                  <w:b w:val="false"/>
                  <w:color w:val="0000FF"/>
                  <w:sz w:val="20"/>
                  <w:u w:val="single"/>
                </w:rPr>
                <w:t>Power of Attorney (contained on signature page hereto).</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"https://www.sec.gov/ix?doc=/Archives/edgar/data/1384101/000138410125000051/vcyt-20250428.htm" \l "ie799047edac24c459423a0886a6e8222_127"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2023 Equity Incentive Plan, as amended</w:t>
            </w:r>
            <w:r>
              <w:rPr>
                <w:rStyle w:val="InternetLink"/>
                <w:sz w:val="20"/>
                <w:u w:val="single"/>
                <w:b w:val="false"/>
                <w:rFonts w:ascii="Times New Roman;sans-serif" w:hAnsi="Times New Roman;sans-serif"/>
                <w:color w:val="0000FF"/>
              </w:rPr>
              <w:fldChar w:fldCharType="end"/>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4/29/2025</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agreements under the 2023 Equity Incentive Plan</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 POS</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333-270147</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6/8/2023</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ans-serif" w:hAnsi="Times New Roman;sans-serif"/>
                  <w:b w:val="false"/>
                  <w:color w:val="0000FF"/>
                  <w:sz w:val="20"/>
                  <w:u w:val="single"/>
                </w:rPr>
                <w:t>Filing Fee Table</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60" w:after="283"/>
        <w:ind w:left="0" w:right="0" w:hanging="1060"/>
        <w:jc w:val="left"/>
        <w:rPr/>
      </w:pPr>
      <w:r>
        <w:rPr/>
      </w:r>
    </w:p>
    <w:p>
      <w:pPr>
        <w:pStyle w:val="TextBody"/>
        <w:bidi w:val="0"/>
        <w:spacing w:before="0" w:after="140"/>
        <w:ind w:left="0" w:right="0" w:hanging="10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17th day of June 2025.</w:t>
      </w:r>
    </w:p>
    <w:tbl>
      <w:tblPr>
        <w:tblW w:w="4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bidi w:val="0"/>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bl>
    <w:p>
      <w:pPr>
        <w:pStyle w:val="TextBody"/>
        <w:bidi w:val="0"/>
        <w:spacing w:before="60"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ans-serif" w:hAnsi="Times New Roman;sans-serif"/>
          <w:b/>
          <w:color w:val="000000"/>
          <w:sz w:val="20"/>
        </w:rPr>
        <w:t>POWER OF</w:t>
      </w:r>
      <w:r>
        <w:rPr>
          <w:color w:val="000000"/>
        </w:rPr>
        <w:t xml:space="preserve"> </w:t>
      </w:r>
      <w:r>
        <w:rPr>
          <w:rFonts w:ascii="Times New Roman;sans-serif" w:hAnsi="Times New Roman;sans-serif"/>
          <w:b/>
          <w:color w:val="000000"/>
          <w:sz w:val="20"/>
        </w:rPr>
        <w:t>ATTORNEY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Registration Statement has been signed by the following persons in the capacities and on the dates indicated.</w:t>
      </w:r>
    </w:p>
    <w:p>
      <w:pPr>
        <w:pStyle w:val="TextBody"/>
        <w:bidi w:val="0"/>
        <w:spacing w:before="0" w:after="140"/>
        <w:jc w:val="left"/>
        <w:rPr/>
      </w:pPr>
      <w:r>
        <w:rPr/>
      </w:r>
    </w:p>
    <w:tbl>
      <w:tblPr>
        <w:tblW w:w="9714" w:type="dxa"/>
        <w:jc w:val="left"/>
        <w:tblInd w:w="0" w:type="dxa"/>
        <w:tblLayout w:type="fixed"/>
        <w:tblCellMar>
          <w:top w:w="28" w:type="dxa"/>
          <w:left w:w="28" w:type="dxa"/>
          <w:bottom w:w="28" w:type="dxa"/>
          <w:right w:w="28" w:type="dxa"/>
        </w:tblCellMar>
      </w:tblPr>
      <w:tblGrid>
        <w:gridCol w:w="1122"/>
        <w:gridCol w:w="986"/>
        <w:gridCol w:w="997"/>
        <w:gridCol w:w="109"/>
        <w:gridCol w:w="109"/>
        <w:gridCol w:w="109"/>
        <w:gridCol w:w="1548"/>
        <w:gridCol w:w="1548"/>
        <w:gridCol w:w="1569"/>
        <w:gridCol w:w="109"/>
        <w:gridCol w:w="109"/>
        <w:gridCol w:w="109"/>
        <w:gridCol w:w="377"/>
        <w:gridCol w:w="377"/>
        <w:gridCol w:w="536"/>
      </w:tblGrid>
      <w:tr>
        <w:trPr/>
        <w:tc>
          <w:tcPr>
            <w:tcW w:w="11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VERACYTE,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32"/>
        <w:gridCol w:w="1294"/>
        <w:gridCol w:w="1203"/>
        <w:gridCol w:w="1218"/>
        <w:gridCol w:w="1704"/>
        <w:gridCol w:w="1127"/>
        <w:gridCol w:w="1428"/>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32" w:type="dxa"/>
            <w:tcBorders/>
            <w:shd w:fill="E7E7E2" w:val="clear"/>
            <w:vAlign w:val="center"/>
          </w:tcPr>
          <w:p>
            <w:pPr>
              <w:pStyle w:val="TableContents"/>
              <w:bidi w:val="0"/>
              <w:spacing w:before="0" w:after="283"/>
              <w:jc w:val="left"/>
              <w:rPr/>
            </w:pPr>
            <w:r>
              <w:rPr/>
              <w:t xml:space="preserve">Common stock, $0.001 par value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2,500,000 </w:t>
            </w:r>
          </w:p>
        </w:tc>
        <w:tc>
          <w:tcPr>
            <w:tcW w:w="1218" w:type="dxa"/>
            <w:tcBorders/>
            <w:shd w:fill="E7E7E2" w:val="clear"/>
            <w:vAlign w:val="center"/>
          </w:tcPr>
          <w:p>
            <w:pPr>
              <w:pStyle w:val="TableContents"/>
              <w:bidi w:val="0"/>
              <w:spacing w:before="0" w:after="283"/>
              <w:jc w:val="right"/>
              <w:rPr/>
            </w:pPr>
            <w:r>
              <w:rPr/>
              <w:t xml:space="preserve">$ 26.385 </w:t>
            </w:r>
          </w:p>
        </w:tc>
        <w:tc>
          <w:tcPr>
            <w:tcW w:w="1704" w:type="dxa"/>
            <w:tcBorders/>
            <w:shd w:fill="E7E7E2" w:val="clear"/>
            <w:vAlign w:val="center"/>
          </w:tcPr>
          <w:p>
            <w:pPr>
              <w:pStyle w:val="TableContents"/>
              <w:bidi w:val="0"/>
              <w:spacing w:before="0" w:after="283"/>
              <w:jc w:val="right"/>
              <w:rPr/>
            </w:pPr>
            <w:r>
              <w:rPr/>
              <w:t xml:space="preserve">$ 65,962,500.00 </w:t>
            </w:r>
          </w:p>
        </w:tc>
        <w:tc>
          <w:tcPr>
            <w:tcW w:w="1127" w:type="dxa"/>
            <w:tcBorders/>
            <w:shd w:fill="E7E7E2" w:val="clear"/>
            <w:vAlign w:val="center"/>
          </w:tcPr>
          <w:p>
            <w:pPr>
              <w:pStyle w:val="TableContents"/>
              <w:bidi w:val="0"/>
              <w:spacing w:before="0" w:after="283"/>
              <w:jc w:val="right"/>
              <w:rPr/>
            </w:pPr>
            <w:r>
              <w:rPr/>
              <w:t xml:space="preserve">0.0001531 </w:t>
            </w:r>
          </w:p>
        </w:tc>
        <w:tc>
          <w:tcPr>
            <w:tcW w:w="1428" w:type="dxa"/>
            <w:tcBorders/>
            <w:shd w:fill="E7E7E2" w:val="clear"/>
            <w:vAlign w:val="center"/>
          </w:tcPr>
          <w:p>
            <w:pPr>
              <w:pStyle w:val="TableContents"/>
              <w:bidi w:val="0"/>
              <w:spacing w:before="0" w:after="283"/>
              <w:jc w:val="right"/>
              <w:rPr/>
            </w:pPr>
            <w:r>
              <w:rPr/>
              <w:t xml:space="preserve">$ 10,098.86 </w:t>
            </w:r>
          </w:p>
        </w:tc>
      </w:tr>
      <w:tr>
        <w:trPr/>
        <w:tc>
          <w:tcPr>
            <w:tcW w:w="4728" w:type="dxa"/>
            <w:gridSpan w:val="5"/>
            <w:tcBorders/>
            <w:vAlign w:val="center"/>
          </w:tcPr>
          <w:p>
            <w:pPr>
              <w:pStyle w:val="TableContents"/>
              <w:bidi w:val="0"/>
              <w:spacing w:before="0" w:after="0"/>
              <w:ind w:left="0" w:right="0" w:hanging="0"/>
              <w:jc w:val="right"/>
              <w:rPr/>
            </w:pPr>
            <w:r>
              <w:rPr/>
              <w:t>Total Offering Amounts:</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0"/>
              <w:ind w:left="0" w:right="0" w:hanging="0"/>
              <w:jc w:val="right"/>
              <w:rPr/>
            </w:pPr>
            <w:bookmarkStart w:id="4" w:name="MaxAggtOfferingPrice"/>
            <w:bookmarkEnd w:id="4"/>
            <w:r>
              <w:rPr/>
              <w:t xml:space="preserve">$ 65,962,500.00 </w:t>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$ 10,098.86 </w:t>
            </w:r>
          </w:p>
        </w:tc>
      </w:tr>
      <w:tr>
        <w:trPr/>
        <w:tc>
          <w:tcPr>
            <w:tcW w:w="4728" w:type="dxa"/>
            <w:gridSpan w:val="5"/>
            <w:tcBorders/>
            <w:vAlign w:val="center"/>
          </w:tcPr>
          <w:p>
            <w:pPr>
              <w:pStyle w:val="TableContents"/>
              <w:bidi w:val="0"/>
              <w:spacing w:before="0" w:after="0"/>
              <w:ind w:left="0" w:right="0" w:hanging="0"/>
              <w:jc w:val="right"/>
              <w:rPr/>
            </w:pPr>
            <w:r>
              <w:rPr/>
              <w:t xml:space="preserve">Total Fee Offsets: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28" w:type="dxa"/>
            <w:gridSpan w:val="5"/>
            <w:tcBorders/>
            <w:vAlign w:val="center"/>
          </w:tcPr>
          <w:p>
            <w:pPr>
              <w:pStyle w:val="TableContents"/>
              <w:bidi w:val="0"/>
              <w:spacing w:before="0" w:after="0"/>
              <w:ind w:left="0" w:right="0" w:hanging="0"/>
              <w:jc w:val="right"/>
              <w:rPr/>
            </w:pPr>
            <w:r>
              <w:rPr/>
              <w:t xml:space="preserve">Net Fee Due: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7" w:name="NetFeeAmt"/>
            <w:bookmarkEnd w:id="7"/>
            <w:r>
              <w:rPr/>
              <w:t xml:space="preserve">$ 10,098.86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0005"/>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tcBorders/>
            <w:vAlign w:val="center"/>
          </w:tcPr>
          <w:p>
            <w:pPr>
              <w:pStyle w:val="TableContents"/>
              <w:bidi w:val="0"/>
              <w:spacing w:before="0" w:after="283"/>
              <w:jc w:val="left"/>
              <w:rPr/>
            </w:pPr>
            <w:r>
              <w:rPr/>
              <w:t xml:space="preserve">The amount registered represents additional shares of the Registrant's common stock available for issuance pursuant to awards that may be granted under the Veracyte, Inc. 2023 Equity Incentive Plan, as amended (the "Plan"). Pursuant to Rule 416(a) of the Securities Act of 1933, as amended, this Registration Statement also registers an indeterminate number of additional shares that may be issued pursuant to the Plan as a result of any future stock dividend, stock split, recapitalization or any other similar transaction effected without the receipt of consideration which results in an increase in the number of our outstanding shares of common stock. The proposed maximum offering price per share and proposed maximum aggregate offering price for the shares of the common stock covered by this Registration Statement have been estimated in accordance with Rule 457(c) and 457(h) solely for the purpose of calculating the registration fee. The maximum price per share and the maximum aggregate offering price are based upon the average of the high and low prices of the Registrant's common stock as reported on The Nasdaq Stock Market on June 16, 2025, which date is within five business days prior to filing this Registration Statement. </w:t>
            </w:r>
          </w:p>
        </w:tc>
      </w:tr>
      <w:tr>
        <w:trPr/>
        <w:tc>
          <w:tcPr>
            <w:tcW w:w="200" w:type="dxa"/>
            <w:tcBorders/>
            <w:vAlign w:val="center"/>
          </w:tcPr>
          <w:p>
            <w:pPr>
              <w:pStyle w:val="TableContents"/>
              <w:bidi w:val="0"/>
              <w:spacing w:before="0" w:after="283"/>
              <w:jc w:val="left"/>
              <w:rPr>
                <w:sz w:val="4"/>
                <w:szCs w:val="4"/>
              </w:rPr>
            </w:pPr>
            <w:r>
              <w:rPr>
                <w:sz w:val="4"/>
                <w:szCs w:val="4"/>
              </w:rPr>
            </w:r>
          </w:p>
        </w:tc>
        <w:tc>
          <w:tcPr>
            <w:tcW w:w="10005" w:type="dxa"/>
            <w:tcBorders/>
            <w:vAlign w:val="center"/>
          </w:tcPr>
          <w:p>
            <w:pPr>
              <w:pStyle w:val="HorizontalLine"/>
              <w:pBdr>
                <w:bottom w:val="double" w:sz="2" w:space="0" w:color="808080"/>
              </w:pBdr>
              <w:bidi w:val="0"/>
              <w:spacing w:before="0" w:after="283"/>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p>
    <w:tbl>
      <w:tblPr>
        <w:tblW w:w="10205" w:type="dxa"/>
        <w:jc w:val="left"/>
        <w:tblInd w:w="0" w:type="dxa"/>
        <w:tblLayout w:type="fixed"/>
        <w:tblCellMar>
          <w:top w:w="28" w:type="dxa"/>
          <w:left w:w="28" w:type="dxa"/>
          <w:bottom w:w="28" w:type="dxa"/>
          <w:right w:w="28" w:type="dxa"/>
        </w:tblCellMar>
      </w:tblPr>
      <w:tblGrid>
        <w:gridCol w:w="1341"/>
        <w:gridCol w:w="1179"/>
        <w:gridCol w:w="1181"/>
        <w:gridCol w:w="819"/>
        <w:gridCol w:w="643"/>
        <w:gridCol w:w="446"/>
        <w:gridCol w:w="1341"/>
        <w:gridCol w:w="1341"/>
        <w:gridCol w:w="191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3701" w:type="dxa"/>
            <w:gridSpan w:val="3"/>
            <w:vMerge w:val="restart"/>
            <w:tcBorders/>
            <w:tcMar>
              <w:top w:w="0" w:type="dxa"/>
              <w:left w:w="0" w:type="dxa"/>
              <w:bottom w:w="0" w:type="dxa"/>
              <w:right w:w="0" w:type="dxa"/>
            </w:tcMar>
            <w:vAlign w:val="center"/>
          </w:tcPr>
          <w:p>
            <w:pPr>
              <w:pStyle w:val="TableContents"/>
              <w:bidi w:val="0"/>
              <w:spacing w:before="20" w:after="283"/>
              <w:jc w:val="left"/>
              <w:rPr/>
            </w:pPr>
            <w:r>
              <w:rPr/>
              <w:drawing>
                <wp:inline distT="0" distB="0" distL="0" distR="0">
                  <wp:extent cx="2286000" cy="1428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1"/>
                          <a:stretch>
                            <a:fillRect/>
                          </a:stretch>
                        </pic:blipFill>
                        <pic:spPr bwMode="auto">
                          <a:xfrm>
                            <a:off x="0" y="0"/>
                            <a:ext cx="2286000" cy="142875"/>
                          </a:xfrm>
                          <a:prstGeom prst="rect">
                            <a:avLst/>
                          </a:prstGeom>
                        </pic:spPr>
                      </pic:pic>
                    </a:graphicData>
                  </a:graphic>
                </wp:inline>
              </w:drawing>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2100 L STREET, NW</w:t>
            </w:r>
          </w:p>
        </w:tc>
        <w:tc>
          <w:tcPr>
            <w:tcW w:w="4596" w:type="dxa"/>
            <w:gridSpan w:val="3"/>
            <w:vMerge w:val="restart"/>
            <w:tcBorders/>
            <w:tcMar>
              <w:top w:w="0" w:type="dxa"/>
              <w:left w:w="0" w:type="dxa"/>
              <w:bottom w:w="0" w:type="dxa"/>
              <w:right w:w="0" w:type="dxa"/>
            </w:tcMar>
            <w:vAlign w:val="center"/>
          </w:tcPr>
          <w:p>
            <w:pPr>
              <w:pStyle w:val="TableContents"/>
              <w:bidi w:val="0"/>
              <w:spacing w:lineRule="auto" w:line="300" w:before="0" w:after="80"/>
              <w:jc w:val="left"/>
              <w:rPr>
                <w:rFonts w:ascii="Garamond;serif" w:hAnsi="Garamond;serif"/>
                <w:b w:val="false"/>
                <w:color w:val="000000"/>
                <w:sz w:val="13"/>
              </w:rPr>
            </w:pPr>
            <w:r>
              <w:rPr>
                <w:rFonts w:ascii="Garamond;serif" w:hAnsi="Garamond;serif"/>
                <w:b w:val="false"/>
                <w:color w:val="000000"/>
                <w:sz w:val="13"/>
              </w:rPr>
              <w:t>morrison &amp; foerster llp</w:t>
            </w:r>
          </w:p>
          <w:p>
            <w:pPr>
              <w:pStyle w:val="TableContents"/>
              <w:bidi w:val="0"/>
              <w:spacing w:lineRule="auto" w:line="300" w:before="0" w:after="80"/>
              <w:jc w:val="left"/>
              <w:rPr>
                <w:rFonts w:ascii="Garamond;serif" w:hAnsi="Garamond;serif"/>
                <w:b w:val="false"/>
                <w:color w:val="000000"/>
                <w:sz w:val="13"/>
              </w:rPr>
            </w:pPr>
            <w:r>
              <w:rPr>
                <w:rFonts w:ascii="Garamond;serif" w:hAnsi="Garamond;serif"/>
                <w:b w:val="false"/>
                <w:color w:val="000000"/>
                <w:sz w:val="13"/>
              </w:rPr>
              <w:t>amsterdam, austin, berlin, boston, brussels, denver, hong kong, london, los angeles, miami, new york, palo alto, san diego, san francisco, shanghai, singapore, tokyo, washington, d.c.</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SUITE 900</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WASHINGTON</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DC 20037</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120" w:after="283"/>
              <w:jc w:val="left"/>
              <w:rPr>
                <w:rFonts w:ascii="Garamond;serif" w:hAnsi="Garamond;serif"/>
                <w:b w:val="false"/>
                <w:color w:val="000000"/>
                <w:sz w:val="16"/>
              </w:rPr>
            </w:pPr>
            <w:r>
              <w:rPr>
                <w:rFonts w:ascii="Garamond;serif" w:hAnsi="Garamond;serif"/>
                <w:b w:val="false"/>
                <w:color w:val="000000"/>
                <w:sz w:val="16"/>
              </w:rPr>
              <w:t>TELEPHONE: 202.887.1500</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FACSIMILE: 202.887.0763</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120" w:after="283"/>
              <w:jc w:val="left"/>
              <w:rPr>
                <w:rFonts w:ascii="Garamond;serif" w:hAnsi="Garamond;serif"/>
                <w:b w:val="false"/>
                <w:color w:val="000000"/>
                <w:sz w:val="16"/>
              </w:rPr>
            </w:pPr>
            <w:r>
              <w:rPr>
                <w:rFonts w:ascii="Garamond;serif" w:hAnsi="Garamond;serif"/>
                <w:b w:val="false"/>
                <w:color w:val="000000"/>
                <w:sz w:val="16"/>
              </w:rPr>
              <w:t>WWW.MOFO.COM</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17, 2025</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Board of Directors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Veracyte,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6000 Shoreline Court, Suite 300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South San Francisco, California, 94080</w:t>
      </w:r>
    </w:p>
    <w:p>
      <w:pPr>
        <w:pStyle w:val="TextBody"/>
        <w:bidi w:val="0"/>
        <w:spacing w:lineRule="auto" w:line="288" w:before="240" w:after="283"/>
        <w:jc w:val="left"/>
        <w:rPr/>
      </w:pPr>
      <w:r>
        <w:rPr>
          <w:rFonts w:ascii="Times New Roman;sans-serif" w:hAnsi="Times New Roman;sans-serif"/>
          <w:b w:val="false"/>
          <w:color w:val="000000"/>
          <w:sz w:val="24"/>
        </w:rPr>
        <w:t xml:space="preserve">Re: </w:t>
      </w:r>
      <w:r>
        <w:rPr>
          <w:rFonts w:ascii="Times New Roman;sans-serif" w:hAnsi="Times New Roman;sans-serif"/>
          <w:b w:val="false"/>
          <w:color w:val="000000"/>
          <w:sz w:val="24"/>
          <w:u w:val="single"/>
        </w:rPr>
        <w:t xml:space="preserve">Registration Statement on Form S-8 </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We are acting as counsel to Veracyte, Inc., a Delaware corporation (the “Company”), in connection with its registration statement on Form S-8 (the “Registration Statement”), filed with the Securities and Exchange Commission under the Securities Act of 1933, as amended (the “Securities Act”), relating to the proposed offering of up to 2,500,000 shares (the “Shares”) of the Company’s common stock, par value $0.001 per share, all of which Shares may be issued pursuant to awards under the Company’s 2023 Equity Incentive Plan, as amended (the “Plan”).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 examination, we have assumed the genuineness of all signatures, the authenticity of all documents submitted to us as originals and the conformity with the originals of all documents submitted to us as copies. For the purpose of the opinion rendered below, we have assumed that in connection with the issuance of the Shares, the Company will receive consideration in an amount not less than the aggregate par value of the Shares covered by each such issuance. This opinion letter is given, and all statements herein are made, in the context of the foregoing.</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opinion expressed herein is limited to the General Corporation Law of the State of Delaware, the Delaware Constitution and reported judicial decisions interpreting those laws, each as currently in effect.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Based upon and subject to the foregoing, it is our opinion that following (i) effectiveness of the Registration Statement, (ii) issuance of the Shares pursuant to the terms of the Plan, and (iii) receipt by the Company of the consideration for the Shares specified in the applicable resolutions of the Board of Directors or a duly authorized committee thereof and the Plan, the Shares will be validly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use of this opinion as an exhibit to the Registration Statement, and we consent to the reference of our name wherever appearing in the Registration Statement and any amendments thereto. In giving such consent, we do not thereby admit that we are in the category of persons whose consent is required under Section 7 of the Securities Act.</w:t>
      </w:r>
    </w:p>
    <w:p>
      <w:pPr>
        <w:pStyle w:val="TextBody"/>
        <w:bidi w:val="0"/>
        <w:spacing w:lineRule="auto" w:line="288" w:before="48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48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 Morrison &amp; Foerster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199"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CONSENT OF INDEPENDENT REGISTERED PUBLIC ACCOUNTING FIRM </w:t>
      </w:r>
    </w:p>
    <w:p>
      <w:pPr>
        <w:pStyle w:val="TextBody"/>
        <w:bidi w:val="0"/>
        <w:spacing w:before="0" w:after="20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pertaining to the 2023 Equity Incentive Plan of Veracyte, Inc. of our reports dated February 27, 2025, with respect to the consolidated financial statements of Veracyte, Inc. and the effectiveness of internal control over financial reporting of Veracyte, Inc. included in its Annual Report (Form 10-K) for the year ended December 31, 2024, filed with the Securities and Exchange Commission.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17, 2025</w:t>
      </w:r>
    </w:p>
    <w:p>
      <w:pPr>
        <w:pStyle w:val="TextBody"/>
        <w:bidi w:val="0"/>
        <w:spacing w:before="0" w:after="0"/>
        <w:jc w:val="both"/>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384101/000138410125000014/vcyt-20241231.htm" TargetMode="External"/><Relationship Id="rId3" Type="http://schemas.openxmlformats.org/officeDocument/2006/relationships/hyperlink" Target="https://www.sec.gov/ix?doc=/Archives/edgar/data/1384101/000138410125000014/vcyt-20241231.htm" TargetMode="External"/><Relationship Id="rId4" Type="http://schemas.openxmlformats.org/officeDocument/2006/relationships/hyperlink" Target="https://www.sec.gov/ix?doc=/Archives/edgar/data/1384101/000138410125000014/vcyt-20241231.htm" TargetMode="External"/><Relationship Id="rId5" Type="http://schemas.openxmlformats.org/officeDocument/2006/relationships/hyperlink" Target="https://www.sec.gov/ix?doc=/Archives/edgar/data/1384101/000138410125000014/vcyt-20241231.htm" TargetMode="External"/><Relationship Id="rId6" Type="http://schemas.openxmlformats.org/officeDocument/2006/relationships/hyperlink" Target="https://www.sec.gov/ix?doc=/Archives/edgar/data/1384101/000138410125000014/vcyt-20241231.htm" TargetMode="External"/><Relationship Id="rId7" Type="http://schemas.openxmlformats.org/officeDocument/2006/relationships/hyperlink" Target="https://www.sec.gov/ix?doc=/Archives/edgar/data/1384101/000138410125000014/vcyt-20241231.htm" TargetMode="External"/><Relationship Id="rId8" Type="http://schemas.openxmlformats.org/officeDocument/2006/relationships/hyperlink" Target="https://www.sec.gov/ix?doc=/Archives/edgar/data/1384101/000138410125000014/vcyt-2024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10465913078343/a13-16266_158a12b.htm" TargetMode="External"/><Relationship Id="rId11" Type="http://schemas.openxmlformats.org/officeDocument/2006/relationships/hyperlink" Target="https://www.sec.gov/Archives/edgar/data/1384101/000110465913078343/a13-16266_158a12b.htm" TargetMode="External"/><Relationship Id="rId12" Type="http://schemas.openxmlformats.org/officeDocument/2006/relationships/hyperlink" Target="https://www.sec.gov/Archives/edgar/data/1384101/000110465913078343/a13-16266_158a12b.htm" TargetMode="External"/><Relationship Id="rId13" Type="http://schemas.openxmlformats.org/officeDocument/2006/relationships/hyperlink" Target="https://www.sec.gov/Archives/edgar/data/1384101/000110465913078343/a13-16266_158a12b.htm" TargetMode="External"/><Relationship Id="rId14" Type="http://schemas.openxmlformats.org/officeDocument/2006/relationships/hyperlink" Target="https://www.sec.gov/Archives/edgar/data/1384101/000110465913078343/a13-16266_158a12b.htm" TargetMode="External"/><Relationship Id="rId15" Type="http://schemas.openxmlformats.org/officeDocument/2006/relationships/hyperlink" Target="https://www.sec.gov/Archives/edgar/data/1384101/000110465913078343/a13-16266_158a12b.htm" TargetMode="External"/><Relationship Id="rId16" Type="http://schemas.openxmlformats.org/officeDocument/2006/relationships/hyperlink" Target="https://www.sec.gov/Archives/edgar/data/1384101/000138410125000014/vcyt-12312024xex42.htm" TargetMode="External"/><Relationship Id="rId17" Type="http://schemas.openxmlformats.org/officeDocument/2006/relationships/hyperlink" Target="https://www.sec.gov/Archives/edgar/data/1384101/000138410123000112/ex32-restatedcertificateof.htm" TargetMode="External"/><Relationship Id="rId18" Type="http://schemas.openxmlformats.org/officeDocument/2006/relationships/hyperlink" Target="https://www.sec.gov/Archives/edgar/data/1384101/000138410123000112/ex33-veracytexamendedandre.htm" TargetMode="External"/><Relationship Id="rId19" Type="http://schemas.openxmlformats.org/officeDocument/2006/relationships/hyperlink" Target="https://www.sec.gov/Archives/edgar/data/1384101/000104746913009631/a2216954zex-4_1.htm" TargetMode="External"/><Relationship Id="rId20" Type="http://schemas.openxmlformats.org/officeDocument/2006/relationships/hyperlink" Target="https://www.sec.gov/Archives/edgar/data/1384101/000138410123000100/ex996-2023eipformofagreeme.htm" TargetMode="External"/><Relationship Id="rId21" Type="http://schemas.openxmlformats.org/officeDocument/2006/relationships/image" Target="media/image1.pn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2305</Words>
  <Characters>12414</Characters>
  <CharactersWithSpaces>14521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